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79"/>
        </w:tabs>
        <w:spacing w:line="59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广东省药品监督管理局</w:t>
      </w:r>
    </w:p>
    <w:p>
      <w:pPr>
        <w:tabs>
          <w:tab w:val="left" w:pos="1279"/>
        </w:tabs>
        <w:spacing w:line="59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行政处罚决定书</w:t>
      </w:r>
    </w:p>
    <w:p>
      <w:pPr>
        <w:pStyle w:val="2"/>
        <w:tabs>
          <w:tab w:val="left" w:pos="319"/>
          <w:tab w:val="left" w:pos="1486"/>
          <w:tab w:val="left" w:pos="2353"/>
          <w:tab w:val="left" w:pos="3199"/>
        </w:tabs>
        <w:spacing w:line="590" w:lineRule="exact"/>
        <w:ind w:left="0"/>
        <w:jc w:val="center"/>
        <w:rPr>
          <w:rFonts w:ascii="仿宋" w:hAnsi="仿宋" w:eastAsia="仿宋" w:cs="仿宋"/>
          <w:color w:val="000000"/>
          <w:lang w:eastAsia="zh-CN"/>
        </w:rPr>
      </w:pPr>
      <w:r>
        <w:rPr>
          <w:rFonts w:hint="eastAsia" w:ascii="仿宋" w:hAnsi="仿宋" w:eastAsia="仿宋" w:cs="仿宋"/>
          <w:color w:val="000000"/>
          <w:lang w:eastAsia="zh-CN"/>
        </w:rPr>
        <w:t>粤药监药罚</w:t>
      </w:r>
      <w:r>
        <w:rPr>
          <w:rFonts w:hint="eastAsia"/>
          <w:color w:val="231F20"/>
          <w:lang w:eastAsia="zh-CN"/>
        </w:rPr>
        <w:t>〔2</w:t>
      </w:r>
      <w:r>
        <w:rPr>
          <w:rFonts w:hint="eastAsia"/>
          <w:color w:val="231F20"/>
          <w:lang w:val="en-US" w:eastAsia="zh-CN"/>
        </w:rPr>
        <w:t>019</w:t>
      </w:r>
      <w:r>
        <w:rPr>
          <w:rFonts w:hint="eastAsia"/>
          <w:color w:val="231F20"/>
          <w:lang w:eastAsia="zh-CN"/>
        </w:rPr>
        <w:t>〕60</w:t>
      </w:r>
      <w:r>
        <w:rPr>
          <w:rFonts w:hint="eastAsia"/>
          <w:color w:val="231F20"/>
          <w:lang w:val="en-US" w:eastAsia="zh-CN"/>
        </w:rPr>
        <w:t>06</w:t>
      </w:r>
      <w:r>
        <w:rPr>
          <w:rFonts w:hint="eastAsia" w:ascii="仿宋" w:hAnsi="仿宋" w:eastAsia="仿宋" w:cs="仿宋"/>
          <w:color w:val="000000"/>
          <w:lang w:eastAsia="zh-CN"/>
        </w:rPr>
        <w:t>号</w:t>
      </w:r>
    </w:p>
    <w:p>
      <w:pPr>
        <w:pStyle w:val="2"/>
        <w:keepNext w:val="0"/>
        <w:keepLines w:val="0"/>
        <w:pageBreakBefore w:val="0"/>
        <w:widowControl w:val="0"/>
        <w:tabs>
          <w:tab w:val="left" w:pos="4440"/>
          <w:tab w:val="left" w:pos="8920"/>
        </w:tabs>
        <w:kinsoku/>
        <w:overflowPunct/>
        <w:topLinePunct w:val="0"/>
        <w:autoSpaceDE/>
        <w:autoSpaceDN/>
        <w:bidi w:val="0"/>
        <w:snapToGrid/>
        <w:spacing w:line="420" w:lineRule="exact"/>
        <w:ind w:left="0"/>
        <w:jc w:val="both"/>
        <w:textAlignment w:val="auto"/>
        <w:rPr>
          <w:rFonts w:hint="eastAsia" w:ascii="仿宋" w:hAnsi="仿宋" w:eastAsia="仿宋" w:cs="仿宋"/>
          <w:color w:val="000000"/>
          <w:u w:val="none" w:color="auto"/>
          <w:lang w:eastAsia="zh-CN"/>
        </w:rPr>
      </w:pPr>
      <w:r>
        <w:rPr>
          <w:rFonts w:hint="eastAsia" w:ascii="仿宋" w:hAnsi="仿宋" w:eastAsia="仿宋" w:cs="仿宋"/>
          <w:color w:val="000000"/>
          <w:u w:val="none" w:color="auto"/>
          <w:lang w:eastAsia="zh-CN"/>
        </w:rPr>
        <w:t xml:space="preserve">当事人：广东龙晟制药有限公司                                              </w:t>
      </w:r>
    </w:p>
    <w:p>
      <w:pPr>
        <w:pStyle w:val="2"/>
        <w:keepNext w:val="0"/>
        <w:keepLines w:val="0"/>
        <w:pageBreakBefore w:val="0"/>
        <w:widowControl w:val="0"/>
        <w:tabs>
          <w:tab w:val="left" w:pos="4440"/>
          <w:tab w:val="left" w:pos="8920"/>
        </w:tabs>
        <w:kinsoku/>
        <w:overflowPunct/>
        <w:topLinePunct w:val="0"/>
        <w:autoSpaceDE/>
        <w:autoSpaceDN/>
        <w:bidi w:val="0"/>
        <w:snapToGrid/>
        <w:spacing w:line="420" w:lineRule="exact"/>
        <w:ind w:left="0"/>
        <w:jc w:val="both"/>
        <w:textAlignment w:val="auto"/>
        <w:rPr>
          <w:rFonts w:hint="eastAsia" w:ascii="仿宋" w:hAnsi="仿宋" w:eastAsia="仿宋" w:cs="仿宋"/>
          <w:color w:val="000000"/>
          <w:u w:val="none" w:color="auto"/>
          <w:lang w:eastAsia="zh-CN"/>
        </w:rPr>
      </w:pPr>
      <w:r>
        <w:rPr>
          <w:rFonts w:hint="eastAsia" w:ascii="仿宋" w:hAnsi="仿宋" w:eastAsia="仿宋" w:cs="仿宋"/>
          <w:color w:val="000000"/>
          <w:u w:val="none" w:color="auto"/>
          <w:lang w:eastAsia="zh-CN"/>
        </w:rPr>
        <w:t xml:space="preserve">主体资格证照名称： </w:t>
      </w:r>
      <w:r>
        <w:rPr>
          <w:rFonts w:hint="eastAsia" w:ascii="仿宋" w:hAnsi="仿宋" w:eastAsia="仿宋" w:cs="仿宋"/>
          <w:color w:val="000000"/>
          <w:u w:val="none" w:color="auto"/>
          <w:lang w:val="en-US" w:eastAsia="zh-CN"/>
        </w:rPr>
        <w:t>《营业执照》</w:t>
      </w:r>
      <w:r>
        <w:rPr>
          <w:rFonts w:hint="eastAsia" w:ascii="仿宋" w:hAnsi="仿宋" w:eastAsia="仿宋" w:cs="仿宋"/>
          <w:color w:val="000000"/>
          <w:u w:val="none" w:color="auto"/>
          <w:lang w:eastAsia="zh-CN"/>
        </w:rPr>
        <w:t xml:space="preserve">                                    </w:t>
      </w:r>
    </w:p>
    <w:p>
      <w:pPr>
        <w:pStyle w:val="2"/>
        <w:keepNext w:val="0"/>
        <w:keepLines w:val="0"/>
        <w:pageBreakBefore w:val="0"/>
        <w:widowControl w:val="0"/>
        <w:tabs>
          <w:tab w:val="left" w:pos="4440"/>
          <w:tab w:val="left" w:pos="8920"/>
        </w:tabs>
        <w:kinsoku/>
        <w:overflowPunct/>
        <w:topLinePunct w:val="0"/>
        <w:autoSpaceDE/>
        <w:autoSpaceDN/>
        <w:bidi w:val="0"/>
        <w:snapToGrid/>
        <w:spacing w:line="420" w:lineRule="exact"/>
        <w:ind w:left="0"/>
        <w:jc w:val="both"/>
        <w:textAlignment w:val="auto"/>
        <w:rPr>
          <w:rFonts w:hint="eastAsia" w:ascii="仿宋" w:hAnsi="仿宋" w:eastAsia="仿宋" w:cs="仿宋"/>
          <w:color w:val="000000"/>
          <w:u w:val="none" w:color="auto"/>
          <w:lang w:eastAsia="zh-CN"/>
        </w:rPr>
      </w:pPr>
      <w:r>
        <w:rPr>
          <w:rFonts w:hint="eastAsia" w:ascii="仿宋" w:hAnsi="仿宋" w:eastAsia="仿宋" w:cs="仿宋"/>
          <w:color w:val="000000"/>
          <w:u w:val="none" w:color="auto"/>
          <w:lang w:eastAsia="zh-CN"/>
        </w:rPr>
        <w:t>统一社会信用代码（注册号）：</w:t>
      </w:r>
      <w:bookmarkStart w:id="0" w:name="OLE_LINK4"/>
      <w:r>
        <w:rPr>
          <w:rFonts w:hint="eastAsia" w:ascii="仿宋" w:hAnsi="仿宋" w:eastAsia="仿宋" w:cs="仿宋"/>
          <w:color w:val="000000"/>
          <w:u w:val="none" w:color="auto"/>
          <w:lang w:eastAsia="zh-CN"/>
        </w:rPr>
        <w:t>91441</w:t>
      </w:r>
      <w:bookmarkEnd w:id="0"/>
      <w:r>
        <w:rPr>
          <w:rFonts w:hint="eastAsia" w:ascii="仿宋" w:hAnsi="仿宋" w:eastAsia="仿宋" w:cs="仿宋"/>
          <w:color w:val="000000"/>
          <w:u w:val="none" w:color="auto"/>
          <w:lang w:val="en-US" w:eastAsia="zh-CN"/>
        </w:rPr>
        <w:t>80258825641X5</w:t>
      </w:r>
      <w:r>
        <w:rPr>
          <w:rFonts w:hint="eastAsia" w:ascii="仿宋" w:hAnsi="仿宋" w:eastAsia="仿宋" w:cs="仿宋"/>
          <w:color w:val="000000"/>
          <w:u w:val="none" w:color="auto"/>
          <w:lang w:eastAsia="zh-CN"/>
        </w:rPr>
        <w:t xml:space="preserve">                         </w:t>
      </w:r>
    </w:p>
    <w:p>
      <w:pPr>
        <w:pStyle w:val="2"/>
        <w:keepNext w:val="0"/>
        <w:keepLines w:val="0"/>
        <w:pageBreakBefore w:val="0"/>
        <w:widowControl w:val="0"/>
        <w:tabs>
          <w:tab w:val="left" w:pos="4120"/>
          <w:tab w:val="left" w:pos="4440"/>
          <w:tab w:val="left" w:pos="8920"/>
        </w:tabs>
        <w:kinsoku/>
        <w:overflowPunct/>
        <w:topLinePunct w:val="0"/>
        <w:autoSpaceDE/>
        <w:autoSpaceDN/>
        <w:bidi w:val="0"/>
        <w:snapToGrid/>
        <w:spacing w:line="420" w:lineRule="exact"/>
        <w:ind w:left="0"/>
        <w:jc w:val="both"/>
        <w:textAlignment w:val="auto"/>
        <w:rPr>
          <w:rFonts w:hint="eastAsia" w:ascii="仿宋" w:hAnsi="仿宋" w:eastAsia="仿宋" w:cs="仿宋"/>
          <w:color w:val="000000"/>
          <w:u w:val="none" w:color="auto"/>
          <w:lang w:eastAsia="zh-CN"/>
        </w:rPr>
      </w:pPr>
      <w:r>
        <w:rPr>
          <w:rFonts w:hint="eastAsia" w:ascii="仿宋" w:hAnsi="仿宋" w:eastAsia="仿宋" w:cs="仿宋"/>
          <w:color w:val="000000"/>
          <w:u w:val="none" w:color="auto"/>
          <w:lang w:eastAsia="zh-CN"/>
        </w:rPr>
        <w:t>住所（住址）：清远市横荷荷兴工业园民族南路9号尚宏（清远）理容椅业有限公司办公楼</w:t>
      </w:r>
    </w:p>
    <w:p>
      <w:pPr>
        <w:pStyle w:val="2"/>
        <w:keepNext w:val="0"/>
        <w:keepLines w:val="0"/>
        <w:pageBreakBefore w:val="0"/>
        <w:widowControl w:val="0"/>
        <w:tabs>
          <w:tab w:val="left" w:pos="4440"/>
          <w:tab w:val="left" w:pos="8920"/>
        </w:tabs>
        <w:kinsoku/>
        <w:overflowPunct/>
        <w:topLinePunct w:val="0"/>
        <w:autoSpaceDE/>
        <w:autoSpaceDN/>
        <w:bidi w:val="0"/>
        <w:snapToGrid/>
        <w:spacing w:line="420" w:lineRule="exact"/>
        <w:ind w:left="0"/>
        <w:jc w:val="both"/>
        <w:textAlignment w:val="auto"/>
        <w:rPr>
          <w:rFonts w:hint="eastAsia" w:ascii="仿宋" w:hAnsi="仿宋" w:eastAsia="仿宋" w:cs="仿宋"/>
          <w:color w:val="000000"/>
          <w:u w:val="none" w:color="auto"/>
          <w:lang w:eastAsia="zh-CN"/>
        </w:rPr>
      </w:pPr>
      <w:r>
        <w:rPr>
          <w:rFonts w:hint="eastAsia" w:ascii="仿宋" w:hAnsi="仿宋" w:eastAsia="仿宋" w:cs="仿宋"/>
          <w:color w:val="000000"/>
          <w:u w:val="none" w:color="auto"/>
          <w:lang w:eastAsia="zh-CN"/>
        </w:rPr>
        <w:t xml:space="preserve">法定代表人（负责人、经营者）：王磊                        </w:t>
      </w:r>
    </w:p>
    <w:p>
      <w:pPr>
        <w:pStyle w:val="2"/>
        <w:keepNext w:val="0"/>
        <w:keepLines w:val="0"/>
        <w:pageBreakBefore w:val="0"/>
        <w:widowControl w:val="0"/>
        <w:tabs>
          <w:tab w:val="left" w:pos="4440"/>
          <w:tab w:val="left" w:pos="8920"/>
        </w:tabs>
        <w:kinsoku/>
        <w:overflowPunct/>
        <w:topLinePunct w:val="0"/>
        <w:autoSpaceDE/>
        <w:autoSpaceDN/>
        <w:bidi w:val="0"/>
        <w:snapToGrid/>
        <w:spacing w:line="420" w:lineRule="exact"/>
        <w:ind w:left="0"/>
        <w:jc w:val="both"/>
        <w:textAlignment w:val="auto"/>
        <w:rPr>
          <w:rFonts w:hint="eastAsia" w:ascii="仿宋" w:hAnsi="仿宋" w:eastAsia="仿宋" w:cs="仿宋"/>
          <w:color w:val="000000"/>
          <w:u w:val="none" w:color="auto"/>
          <w:lang w:eastAsia="zh-CN"/>
        </w:rPr>
      </w:pPr>
      <w:r>
        <w:rPr>
          <w:rFonts w:hint="eastAsia" w:ascii="仿宋" w:hAnsi="仿宋" w:eastAsia="仿宋" w:cs="仿宋"/>
          <w:color w:val="000000"/>
          <w:u w:val="none" w:color="auto"/>
          <w:lang w:eastAsia="zh-CN"/>
        </w:rPr>
        <w:t>身份证（其他有效证件）号码：341</w:t>
      </w:r>
      <w:r>
        <w:rPr>
          <w:rFonts w:hint="eastAsia" w:ascii="华文仿宋" w:hAnsi="华文仿宋" w:eastAsia="华文仿宋" w:cs="华文仿宋"/>
          <w:i w:val="0"/>
          <w:iCs w:val="0"/>
          <w:color w:val="231F20"/>
          <w:spacing w:val="0"/>
          <w:sz w:val="32"/>
          <w:szCs w:val="32"/>
          <w:u w:val="none" w:color="auto"/>
          <w:lang w:val="en-US" w:eastAsia="zh-CN"/>
        </w:rPr>
        <w:t>XXXXXXXXXXXX</w:t>
      </w:r>
      <w:r>
        <w:rPr>
          <w:rFonts w:hint="eastAsia" w:ascii="仿宋" w:hAnsi="仿宋" w:eastAsia="仿宋" w:cs="仿宋"/>
          <w:color w:val="000000"/>
          <w:u w:val="none" w:color="auto"/>
          <w:lang w:eastAsia="zh-CN"/>
        </w:rPr>
        <w:t xml:space="preserve">83X                            </w:t>
      </w:r>
    </w:p>
    <w:p>
      <w:pPr>
        <w:pStyle w:val="2"/>
        <w:keepNext w:val="0"/>
        <w:keepLines w:val="0"/>
        <w:pageBreakBefore w:val="0"/>
        <w:widowControl w:val="0"/>
        <w:tabs>
          <w:tab w:val="left" w:pos="4440"/>
          <w:tab w:val="left" w:pos="8920"/>
        </w:tabs>
        <w:kinsoku/>
        <w:overflowPunct/>
        <w:topLinePunct w:val="0"/>
        <w:autoSpaceDE/>
        <w:autoSpaceDN/>
        <w:bidi w:val="0"/>
        <w:snapToGrid/>
        <w:spacing w:line="420" w:lineRule="exact"/>
        <w:ind w:left="0"/>
        <w:jc w:val="both"/>
        <w:textAlignment w:val="auto"/>
        <w:rPr>
          <w:rFonts w:hint="eastAsia" w:ascii="仿宋" w:hAnsi="仿宋" w:eastAsia="仿宋" w:cs="仿宋"/>
          <w:color w:val="000000"/>
          <w:u w:val="none" w:color="auto"/>
          <w:lang w:eastAsia="zh-CN"/>
        </w:rPr>
      </w:pPr>
      <w:r>
        <w:rPr>
          <w:rFonts w:hint="eastAsia" w:ascii="仿宋" w:hAnsi="仿宋" w:eastAsia="仿宋" w:cs="仿宋"/>
          <w:color w:val="000000"/>
          <w:u w:val="none" w:color="auto"/>
          <w:lang w:eastAsia="zh-CN"/>
        </w:rPr>
        <w:t>联系电话：</w:t>
      </w:r>
      <w:r>
        <w:rPr>
          <w:rFonts w:hint="eastAsia" w:ascii="仿宋_GB2312" w:hAnsi="仿宋_GB2312" w:eastAsia="仿宋_GB2312" w:cs="仿宋_GB2312"/>
          <w:sz w:val="32"/>
          <w:szCs w:val="32"/>
          <w:lang w:eastAsia="zh-CN"/>
        </w:rPr>
        <w:t>13</w:t>
      </w:r>
      <w:r>
        <w:rPr>
          <w:rFonts w:hint="eastAsia" w:ascii="华文仿宋" w:hAnsi="华文仿宋" w:eastAsia="华文仿宋" w:cs="华文仿宋"/>
          <w:color w:val="231F20"/>
          <w:spacing w:val="0"/>
          <w:sz w:val="32"/>
          <w:szCs w:val="32"/>
          <w:u w:val="none" w:color="auto"/>
          <w:lang w:val="en-US" w:eastAsia="zh-CN"/>
        </w:rPr>
        <w:t>XXXXXXX</w:t>
      </w:r>
      <w:r>
        <w:rPr>
          <w:rFonts w:hint="eastAsia" w:ascii="仿宋_GB2312" w:hAnsi="仿宋_GB2312" w:eastAsia="仿宋_GB2312" w:cs="仿宋_GB2312"/>
          <w:sz w:val="32"/>
          <w:szCs w:val="32"/>
          <w:lang w:eastAsia="zh-CN"/>
        </w:rPr>
        <w:t>09</w:t>
      </w:r>
      <w:r>
        <w:rPr>
          <w:rFonts w:hint="eastAsia" w:ascii="仿宋" w:hAnsi="仿宋" w:eastAsia="仿宋" w:cs="仿宋"/>
          <w:color w:val="000000"/>
          <w:u w:val="none" w:color="auto"/>
          <w:lang w:eastAsia="zh-CN"/>
        </w:rPr>
        <w:t xml:space="preserve">    其他联系方式：                </w:t>
      </w:r>
    </w:p>
    <w:p>
      <w:pPr>
        <w:pStyle w:val="2"/>
        <w:keepNext w:val="0"/>
        <w:keepLines w:val="0"/>
        <w:pageBreakBefore w:val="0"/>
        <w:widowControl w:val="0"/>
        <w:tabs>
          <w:tab w:val="left" w:pos="4440"/>
          <w:tab w:val="left" w:pos="8920"/>
        </w:tabs>
        <w:kinsoku/>
        <w:overflowPunct/>
        <w:topLinePunct w:val="0"/>
        <w:autoSpaceDE/>
        <w:autoSpaceDN/>
        <w:bidi w:val="0"/>
        <w:snapToGrid/>
        <w:spacing w:line="420" w:lineRule="exact"/>
        <w:ind w:left="0"/>
        <w:jc w:val="both"/>
        <w:textAlignment w:val="auto"/>
        <w:rPr>
          <w:rFonts w:hint="eastAsia" w:ascii="仿宋" w:hAnsi="仿宋" w:eastAsia="仿宋" w:cs="仿宋"/>
          <w:color w:val="000000"/>
          <w:u w:val="none" w:color="auto"/>
          <w:lang w:eastAsia="zh-CN"/>
        </w:rPr>
      </w:pPr>
      <w:r>
        <w:rPr>
          <w:rFonts w:hint="eastAsia" w:ascii="仿宋" w:hAnsi="仿宋" w:eastAsia="仿宋" w:cs="仿宋"/>
          <w:color w:val="000000"/>
          <w:u w:val="none" w:color="auto"/>
          <w:lang w:eastAsia="zh-CN"/>
        </w:rPr>
        <w:t xml:space="preserve">联系地址：清远市横荷荷兴工业园民族南路9号尚宏（清远）理容椅业有限公司办公楼 </w:t>
      </w:r>
    </w:p>
    <w:p>
      <w:pPr>
        <w:keepNext w:val="0"/>
        <w:keepLines w:val="0"/>
        <w:pageBreakBefore w:val="0"/>
        <w:widowControl w:val="0"/>
        <w:tabs>
          <w:tab w:val="left" w:pos="2440"/>
          <w:tab w:val="left" w:pos="8964"/>
        </w:tabs>
        <w:kinsoku/>
        <w:overflowPunct/>
        <w:topLinePunct w:val="0"/>
        <w:autoSpaceDE/>
        <w:autoSpaceDN/>
        <w:bidi w:val="0"/>
        <w:snapToGrid/>
        <w:spacing w:line="420" w:lineRule="exact"/>
        <w:ind w:firstLine="640" w:firstLineChars="200"/>
        <w:textAlignment w:val="auto"/>
        <w:rPr>
          <w:rFonts w:hint="eastAsia" w:ascii="华文仿宋" w:hAnsi="华文仿宋" w:eastAsia="华文仿宋" w:cs="华文仿宋"/>
          <w:color w:val="231F20"/>
          <w:lang w:eastAsia="zh-CN"/>
        </w:rPr>
      </w:pPr>
      <w:r>
        <w:rPr>
          <w:rFonts w:hint="eastAsia" w:ascii="华文仿宋" w:hAnsi="华文仿宋" w:eastAsia="华文仿宋" w:cs="华文仿宋"/>
          <w:color w:val="231F20"/>
          <w:lang w:eastAsia="zh-CN"/>
        </w:rPr>
        <w:t>湛江市市场监督管理局对广东龙晟制药有限公司生产的白及（批号：</w:t>
      </w:r>
      <w:r>
        <w:rPr>
          <w:rFonts w:hint="eastAsia" w:ascii="华文仿宋" w:hAnsi="华文仿宋" w:eastAsia="华文仿宋" w:cs="华文仿宋"/>
          <w:color w:val="231F20"/>
          <w:lang w:val="en-US" w:eastAsia="zh-CN"/>
        </w:rPr>
        <w:t>20180701Z</w:t>
      </w:r>
      <w:r>
        <w:rPr>
          <w:rFonts w:hint="eastAsia" w:ascii="华文仿宋" w:hAnsi="华文仿宋" w:eastAsia="华文仿宋" w:cs="华文仿宋"/>
          <w:color w:val="231F20"/>
          <w:lang w:eastAsia="zh-CN"/>
        </w:rPr>
        <w:t>）进行抽样，经湛江</w:t>
      </w:r>
      <w:r>
        <w:rPr>
          <w:rFonts w:hint="eastAsia" w:ascii="华文仿宋" w:hAnsi="华文仿宋" w:eastAsia="华文仿宋" w:cs="华文仿宋"/>
          <w:color w:val="231F20"/>
          <w:lang w:val="en-US" w:eastAsia="zh-CN"/>
        </w:rPr>
        <w:t>市食品药品检验所检验</w:t>
      </w:r>
      <w:r>
        <w:rPr>
          <w:rFonts w:hint="eastAsia" w:ascii="华文仿宋" w:hAnsi="华文仿宋" w:eastAsia="华文仿宋" w:cs="华文仿宋"/>
          <w:color w:val="231F20"/>
          <w:lang w:eastAsia="zh-CN"/>
        </w:rPr>
        <w:t>，该批次白及的［性状］和［鉴别］检验项目均不符合规定。</w:t>
      </w:r>
      <w:r>
        <w:rPr>
          <w:rFonts w:hint="eastAsia" w:ascii="华文仿宋" w:hAnsi="华文仿宋" w:eastAsia="华文仿宋" w:cs="华文仿宋"/>
          <w:color w:val="231F20"/>
          <w:lang w:val="en-US" w:eastAsia="zh-CN"/>
        </w:rPr>
        <w:t>2019年11月18日</w:t>
      </w:r>
      <w:r>
        <w:rPr>
          <w:rFonts w:hint="eastAsia" w:ascii="华文仿宋" w:hAnsi="华文仿宋" w:eastAsia="华文仿宋" w:cs="华文仿宋"/>
          <w:color w:val="000000"/>
          <w:lang w:eastAsia="zh-CN"/>
        </w:rPr>
        <w:t>你单位</w:t>
      </w:r>
      <w:r>
        <w:rPr>
          <w:rFonts w:hint="eastAsia" w:ascii="华文仿宋" w:hAnsi="华文仿宋" w:eastAsia="华文仿宋" w:cs="华文仿宋"/>
          <w:color w:val="231F20"/>
          <w:lang w:val="en-US" w:eastAsia="zh-CN"/>
        </w:rPr>
        <w:t>向广东省药品检验所申请复验。2020年1月10日，广东省药品检验所出具</w:t>
      </w:r>
      <w:r>
        <w:rPr>
          <w:rFonts w:hint="eastAsia" w:ascii="华文仿宋" w:hAnsi="华文仿宋" w:eastAsia="华文仿宋" w:cs="华文仿宋"/>
          <w:color w:val="231F20"/>
          <w:lang w:eastAsia="zh-CN"/>
        </w:rPr>
        <w:t>《检验报告书》</w:t>
      </w:r>
      <w:r>
        <w:rPr>
          <w:rFonts w:hint="eastAsia" w:ascii="华文仿宋" w:hAnsi="华文仿宋" w:eastAsia="华文仿宋" w:cs="华文仿宋"/>
          <w:color w:val="231F20"/>
          <w:lang w:val="en-US" w:eastAsia="zh-CN"/>
        </w:rPr>
        <w:t>，复验结论：</w:t>
      </w:r>
      <w:r>
        <w:rPr>
          <w:rFonts w:hint="eastAsia" w:ascii="华文仿宋" w:hAnsi="华文仿宋" w:eastAsia="华文仿宋" w:cs="华文仿宋"/>
          <w:color w:val="231F20"/>
          <w:lang w:eastAsia="zh-CN"/>
        </w:rPr>
        <w:t>该批次白及为非药典规定品种，结果不符合标准规定。你单位生产的药品白及经检验测定结果不符合标准规定，根据《药品管理法》（2015年版）第四十八条第二款第二项“以非药品冒充药品或者以他种药品冒充此种药品的，按假药论处”的规定，该批药品为假药。</w:t>
      </w:r>
    </w:p>
    <w:p>
      <w:pPr>
        <w:keepNext w:val="0"/>
        <w:keepLines w:val="0"/>
        <w:pageBreakBefore w:val="0"/>
        <w:widowControl w:val="0"/>
        <w:tabs>
          <w:tab w:val="left" w:pos="2440"/>
          <w:tab w:val="left" w:pos="8964"/>
        </w:tabs>
        <w:kinsoku/>
        <w:overflowPunct/>
        <w:topLinePunct w:val="0"/>
        <w:autoSpaceDE/>
        <w:autoSpaceDN/>
        <w:bidi w:val="0"/>
        <w:snapToGrid/>
        <w:spacing w:line="420" w:lineRule="exact"/>
        <w:ind w:firstLine="640" w:firstLineChars="200"/>
        <w:textAlignment w:val="auto"/>
        <w:rPr>
          <w:rFonts w:hint="eastAsia" w:ascii="仿宋" w:hAnsi="仿宋" w:eastAsia="仿宋" w:cs="仿宋"/>
          <w:color w:val="000000"/>
          <w:u w:val="none" w:color="auto"/>
          <w:lang w:val="en-US" w:eastAsia="zh-CN"/>
        </w:rPr>
      </w:pPr>
      <w:r>
        <w:rPr>
          <w:rFonts w:hint="eastAsia" w:ascii="仿宋" w:hAnsi="仿宋" w:eastAsia="仿宋" w:cs="仿宋"/>
          <w:color w:val="000000"/>
          <w:u w:val="none" w:color="auto"/>
          <w:lang w:eastAsia="zh-CN"/>
        </w:rPr>
        <w:t>经调查核实，上述批次白及物料是你单位从安国市康鸣中药材销售有限公司购进的，该批次购进物料</w:t>
      </w:r>
      <w:r>
        <w:rPr>
          <w:rFonts w:hint="eastAsia" w:ascii="仿宋" w:hAnsi="仿宋" w:eastAsia="仿宋" w:cs="仿宋"/>
          <w:color w:val="000000"/>
          <w:u w:val="none" w:color="auto"/>
          <w:lang w:val="en-US" w:eastAsia="zh-CN"/>
        </w:rPr>
        <w:t>12kg,单价是231元,含税货值共2772元</w:t>
      </w:r>
      <w:r>
        <w:rPr>
          <w:rFonts w:hint="eastAsia" w:ascii="仿宋" w:hAnsi="仿宋" w:eastAsia="仿宋" w:cs="仿宋"/>
          <w:color w:val="000000"/>
          <w:u w:val="none" w:color="auto"/>
          <w:lang w:eastAsia="zh-CN"/>
        </w:rPr>
        <w:t>。该批次物料经过生产工序，最终生产成品白及</w:t>
      </w:r>
      <w:r>
        <w:rPr>
          <w:rFonts w:hint="eastAsia" w:ascii="仿宋" w:hAnsi="仿宋" w:eastAsia="仿宋" w:cs="仿宋"/>
          <w:color w:val="000000"/>
          <w:u w:val="none" w:color="auto"/>
          <w:lang w:val="en-US" w:eastAsia="zh-CN"/>
        </w:rPr>
        <w:t>10.08kg，其中10kg用于销售，0.08kg用于留样。10kg白及全部销售给广东九州通医药有限公司，销售单价为340元/kg，销售收入为3400元。</w:t>
      </w:r>
    </w:p>
    <w:p>
      <w:pPr>
        <w:keepNext w:val="0"/>
        <w:keepLines w:val="0"/>
        <w:pageBreakBefore w:val="0"/>
        <w:widowControl w:val="0"/>
        <w:tabs>
          <w:tab w:val="left" w:pos="2440"/>
          <w:tab w:val="left" w:pos="8964"/>
        </w:tabs>
        <w:kinsoku/>
        <w:overflowPunct/>
        <w:topLinePunct w:val="0"/>
        <w:autoSpaceDE/>
        <w:autoSpaceDN/>
        <w:bidi w:val="0"/>
        <w:snapToGrid/>
        <w:spacing w:line="420" w:lineRule="exact"/>
        <w:ind w:firstLine="640" w:firstLineChars="200"/>
        <w:textAlignment w:val="auto"/>
        <w:rPr>
          <w:rFonts w:hint="eastAsia" w:ascii="仿宋" w:hAnsi="仿宋" w:eastAsia="仿宋" w:cs="仿宋"/>
          <w:color w:val="000000"/>
          <w:szCs w:val="32"/>
          <w:u w:val="none" w:color="auto"/>
        </w:rPr>
      </w:pPr>
      <w:r>
        <w:rPr>
          <w:rFonts w:hint="eastAsia" w:ascii="仿宋" w:hAnsi="仿宋" w:eastAsia="仿宋" w:cs="仿宋"/>
          <w:color w:val="000000"/>
          <w:u w:val="none" w:color="auto"/>
        </w:rPr>
        <w:t>上述事实，主要有以下证据证明：</w:t>
      </w:r>
      <w:r>
        <w:rPr>
          <w:rFonts w:hint="eastAsia" w:ascii="仿宋" w:hAnsi="仿宋" w:eastAsia="仿宋" w:cs="仿宋"/>
          <w:color w:val="000000"/>
          <w:szCs w:val="32"/>
          <w:u w:val="none" w:color="auto"/>
        </w:rPr>
        <w:t>《营业执照》、《药品生产许可证》、身份证复印件等、</w:t>
      </w:r>
      <w:r>
        <w:rPr>
          <w:rFonts w:hint="eastAsia" w:ascii="仿宋" w:hAnsi="仿宋" w:cs="仿宋"/>
          <w:color w:val="000000"/>
          <w:kern w:val="0"/>
          <w:szCs w:val="32"/>
          <w:u w:val="none" w:color="auto"/>
          <w:lang w:eastAsia="zh-CN"/>
        </w:rPr>
        <w:t>批生产记录、</w:t>
      </w:r>
      <w:r>
        <w:rPr>
          <w:rFonts w:hint="eastAsia" w:ascii="仿宋" w:hAnsi="仿宋" w:eastAsia="仿宋" w:cs="仿宋"/>
          <w:color w:val="000000"/>
          <w:kern w:val="0"/>
          <w:szCs w:val="32"/>
          <w:u w:val="none" w:color="auto"/>
        </w:rPr>
        <w:t>《药品出库单》</w:t>
      </w:r>
      <w:r>
        <w:rPr>
          <w:rFonts w:hint="eastAsia" w:ascii="仿宋" w:hAnsi="仿宋" w:cs="仿宋"/>
          <w:color w:val="000000"/>
          <w:kern w:val="0"/>
          <w:szCs w:val="32"/>
          <w:u w:val="none" w:color="auto"/>
          <w:lang w:eastAsia="zh-CN"/>
        </w:rPr>
        <w:t>、</w:t>
      </w:r>
      <w:r>
        <w:rPr>
          <w:rFonts w:hint="eastAsia" w:ascii="仿宋" w:hAnsi="仿宋" w:eastAsia="仿宋" w:cs="仿宋"/>
          <w:color w:val="000000"/>
          <w:szCs w:val="32"/>
          <w:u w:val="none" w:color="auto"/>
        </w:rPr>
        <w:t>《现场调查笔录》、《询问笔录》、《检验报告》等资料</w:t>
      </w:r>
      <w:r>
        <w:rPr>
          <w:rFonts w:hint="eastAsia" w:ascii="仿宋" w:hAnsi="仿宋" w:cs="仿宋"/>
          <w:color w:val="000000"/>
          <w:u w:val="none" w:color="auto"/>
          <w:lang w:eastAsia="zh-CN"/>
        </w:rPr>
        <w:t>。</w:t>
      </w:r>
    </w:p>
    <w:p>
      <w:pPr>
        <w:pStyle w:val="2"/>
        <w:keepNext w:val="0"/>
        <w:keepLines w:val="0"/>
        <w:pageBreakBefore w:val="0"/>
        <w:widowControl w:val="0"/>
        <w:tabs>
          <w:tab w:val="left" w:pos="8920"/>
        </w:tabs>
        <w:kinsoku/>
        <w:overflowPunct/>
        <w:topLinePunct w:val="0"/>
        <w:autoSpaceDE/>
        <w:autoSpaceDN/>
        <w:bidi w:val="0"/>
        <w:snapToGrid/>
        <w:spacing w:line="420" w:lineRule="exact"/>
        <w:ind w:left="0" w:firstLine="636" w:firstLineChars="199"/>
        <w:textAlignment w:val="auto"/>
        <w:rPr>
          <w:rFonts w:hint="eastAsia" w:ascii="华文仿宋" w:hAnsi="华文仿宋" w:eastAsia="华文仿宋" w:cs="华文仿宋"/>
          <w:lang w:eastAsia="zh-CN"/>
        </w:rPr>
      </w:pPr>
      <w:r>
        <w:rPr>
          <w:rFonts w:hint="eastAsia" w:ascii="华文仿宋" w:hAnsi="华文仿宋" w:eastAsia="华文仿宋" w:cs="华文仿宋"/>
          <w:lang w:eastAsia="zh-CN"/>
        </w:rPr>
        <w:t>本局于</w:t>
      </w:r>
      <w:r>
        <w:rPr>
          <w:rFonts w:hint="eastAsia" w:ascii="华文仿宋" w:hAnsi="华文仿宋" w:eastAsia="华文仿宋" w:cs="华文仿宋"/>
          <w:lang w:val="en-US" w:eastAsia="zh-CN"/>
        </w:rPr>
        <w:t>2020</w:t>
      </w:r>
      <w:r>
        <w:rPr>
          <w:rFonts w:hint="eastAsia" w:ascii="华文仿宋" w:hAnsi="华文仿宋" w:eastAsia="华文仿宋" w:cs="华文仿宋"/>
          <w:lang w:eastAsia="zh-CN"/>
        </w:rPr>
        <w:t>年</w:t>
      </w:r>
      <w:r>
        <w:rPr>
          <w:rFonts w:hint="eastAsia" w:ascii="华文仿宋" w:hAnsi="华文仿宋" w:eastAsia="华文仿宋" w:cs="华文仿宋"/>
          <w:lang w:val="en-US" w:eastAsia="zh-CN"/>
        </w:rPr>
        <w:t>6</w:t>
      </w:r>
      <w:r>
        <w:rPr>
          <w:rFonts w:hint="eastAsia" w:ascii="华文仿宋" w:hAnsi="华文仿宋" w:eastAsia="华文仿宋" w:cs="华文仿宋"/>
          <w:lang w:eastAsia="zh-CN"/>
        </w:rPr>
        <w:t>月</w:t>
      </w:r>
      <w:r>
        <w:rPr>
          <w:rFonts w:hint="eastAsia" w:ascii="华文仿宋" w:hAnsi="华文仿宋" w:eastAsia="华文仿宋" w:cs="华文仿宋"/>
          <w:lang w:val="en-US" w:eastAsia="zh-CN"/>
        </w:rPr>
        <w:t>11</w:t>
      </w:r>
      <w:r>
        <w:rPr>
          <w:rFonts w:hint="eastAsia" w:ascii="华文仿宋" w:hAnsi="华文仿宋" w:eastAsia="华文仿宋" w:cs="华文仿宋"/>
          <w:lang w:eastAsia="zh-CN"/>
        </w:rPr>
        <w:t>日向你单位邮寄送达了《广东省药品监督管理局行政处罚告知书》（粤药监稽药罚告〔20</w:t>
      </w:r>
      <w:r>
        <w:rPr>
          <w:rFonts w:hint="eastAsia" w:ascii="华文仿宋" w:hAnsi="华文仿宋" w:eastAsia="华文仿宋" w:cs="华文仿宋"/>
          <w:lang w:val="en-US" w:eastAsia="zh-CN"/>
        </w:rPr>
        <w:t>19</w:t>
      </w:r>
      <w:r>
        <w:rPr>
          <w:rFonts w:hint="eastAsia" w:ascii="华文仿宋" w:hAnsi="华文仿宋" w:eastAsia="华文仿宋" w:cs="华文仿宋"/>
          <w:lang w:eastAsia="zh-CN"/>
        </w:rPr>
        <w:t>〕60</w:t>
      </w:r>
      <w:r>
        <w:rPr>
          <w:rFonts w:hint="eastAsia" w:ascii="华文仿宋" w:hAnsi="华文仿宋" w:eastAsia="华文仿宋" w:cs="华文仿宋"/>
          <w:lang w:val="en-US" w:eastAsia="zh-CN"/>
        </w:rPr>
        <w:t>06</w:t>
      </w:r>
      <w:r>
        <w:rPr>
          <w:rFonts w:hint="eastAsia" w:ascii="华文仿宋" w:hAnsi="华文仿宋" w:eastAsia="华文仿宋" w:cs="华文仿宋"/>
          <w:lang w:eastAsia="zh-CN"/>
        </w:rPr>
        <w:t>），你单位在收到上述文书后提出陈述、申辩。 根据广东省药品检验所出具的复验报告，且你单位在陈述申辩时未提出新的证据材料，经综合裁量，决定不予采纳。</w:t>
      </w:r>
    </w:p>
    <w:p>
      <w:pPr>
        <w:pStyle w:val="2"/>
        <w:keepNext w:val="0"/>
        <w:keepLines w:val="0"/>
        <w:pageBreakBefore w:val="0"/>
        <w:widowControl w:val="0"/>
        <w:tabs>
          <w:tab w:val="left" w:pos="8920"/>
        </w:tabs>
        <w:kinsoku/>
        <w:overflowPunct/>
        <w:topLinePunct w:val="0"/>
        <w:autoSpaceDE/>
        <w:autoSpaceDN/>
        <w:bidi w:val="0"/>
        <w:snapToGrid/>
        <w:spacing w:line="420" w:lineRule="exact"/>
        <w:ind w:left="0" w:firstLine="643" w:firstLineChars="200"/>
        <w:textAlignment w:val="auto"/>
        <w:rPr>
          <w:rFonts w:ascii="仿宋" w:hAnsi="仿宋" w:eastAsia="仿宋" w:cs="仿宋"/>
          <w:color w:val="000000"/>
          <w:u w:val="single" w:color="231F20"/>
          <w:lang w:eastAsia="zh-CN"/>
        </w:rPr>
      </w:pPr>
      <w:r>
        <w:rPr>
          <w:rFonts w:hint="eastAsia" w:ascii="仿宋" w:hAnsi="仿宋" w:eastAsia="仿宋" w:cs="仿宋"/>
          <w:b/>
          <w:bCs/>
          <w:color w:val="000000"/>
          <w:lang w:eastAsia="zh-CN"/>
        </w:rPr>
        <w:t>案件性质：</w:t>
      </w:r>
      <w:r>
        <w:rPr>
          <w:rFonts w:hint="eastAsia" w:ascii="华文仿宋" w:hAnsi="华文仿宋" w:eastAsia="华文仿宋" w:cs="华文仿宋"/>
          <w:color w:val="231F20"/>
          <w:lang w:eastAsia="zh-CN"/>
        </w:rPr>
        <w:t>生产假药</w:t>
      </w:r>
      <w:r>
        <w:rPr>
          <w:rFonts w:hint="eastAsia" w:ascii="仿宋" w:hAnsi="仿宋" w:eastAsia="仿宋" w:cs="仿宋"/>
          <w:color w:val="000000"/>
          <w:kern w:val="2"/>
          <w:u w:val="none" w:color="auto"/>
          <w:lang w:eastAsia="zh-CN"/>
        </w:rPr>
        <w:t>。</w:t>
      </w:r>
    </w:p>
    <w:p>
      <w:pPr>
        <w:pStyle w:val="2"/>
        <w:keepNext w:val="0"/>
        <w:keepLines w:val="0"/>
        <w:pageBreakBefore w:val="0"/>
        <w:widowControl w:val="0"/>
        <w:tabs>
          <w:tab w:val="left" w:pos="8920"/>
        </w:tabs>
        <w:kinsoku/>
        <w:overflowPunct/>
        <w:topLinePunct w:val="0"/>
        <w:autoSpaceDE/>
        <w:autoSpaceDN/>
        <w:bidi w:val="0"/>
        <w:snapToGrid/>
        <w:spacing w:line="420" w:lineRule="exact"/>
        <w:ind w:left="0" w:firstLine="636" w:firstLineChars="199"/>
        <w:textAlignment w:val="auto"/>
        <w:rPr>
          <w:rFonts w:hint="eastAsia" w:ascii="华文仿宋" w:hAnsi="华文仿宋" w:eastAsia="华文仿宋" w:cs="华文仿宋"/>
          <w:lang w:eastAsia="zh-CN"/>
        </w:rPr>
      </w:pPr>
      <w:r>
        <w:rPr>
          <w:rFonts w:hint="eastAsia" w:ascii="华文仿宋" w:hAnsi="华文仿宋" w:eastAsia="华文仿宋" w:cs="华文仿宋"/>
          <w:lang w:eastAsia="zh-CN"/>
        </w:rPr>
        <w:t>你单位</w:t>
      </w:r>
      <w:r>
        <w:rPr>
          <w:rFonts w:hint="eastAsia" w:ascii="华文仿宋" w:hAnsi="华文仿宋" w:eastAsia="华文仿宋" w:cs="华文仿宋"/>
          <w:color w:val="231F20"/>
          <w:lang w:eastAsia="zh-CN"/>
        </w:rPr>
        <w:t>生产假药</w:t>
      </w:r>
      <w:r>
        <w:rPr>
          <w:rFonts w:hint="eastAsia" w:ascii="华文仿宋" w:hAnsi="华文仿宋" w:eastAsia="华文仿宋" w:cs="华文仿宋"/>
          <w:lang w:eastAsia="zh-CN"/>
        </w:rPr>
        <w:t>的行为违反了《中华人民共和国药品管理法》（2015年版）第四十八条第一款的规定，对照《国家食品药品监督管理局关于印发药品和医疗器械行政处罚裁量适用规则的通知》第九条的规定，依据《中华人民共和国行政处罚法》第二十三条、《中华人民共和国药品管理法》（2015年版）第七十三条的规定，</w:t>
      </w:r>
      <w:r>
        <w:rPr>
          <w:rFonts w:hint="eastAsia" w:ascii="华文仿宋" w:hAnsi="华文仿宋" w:eastAsia="华文仿宋" w:cs="华文仿宋"/>
          <w:sz w:val="32"/>
          <w:szCs w:val="32"/>
          <w:u w:val="none" w:color="auto"/>
          <w:lang w:eastAsia="zh-CN"/>
        </w:rPr>
        <w:t>我局决定责令</w:t>
      </w:r>
      <w:r>
        <w:rPr>
          <w:rFonts w:hint="eastAsia" w:ascii="华文仿宋" w:hAnsi="华文仿宋" w:eastAsia="华文仿宋" w:cs="华文仿宋"/>
          <w:lang w:eastAsia="zh-CN"/>
        </w:rPr>
        <w:t>你单位</w:t>
      </w:r>
      <w:r>
        <w:rPr>
          <w:rFonts w:hint="eastAsia" w:ascii="华文仿宋" w:hAnsi="华文仿宋" w:eastAsia="华文仿宋" w:cs="华文仿宋"/>
          <w:sz w:val="32"/>
          <w:szCs w:val="32"/>
          <w:u w:val="none" w:color="auto"/>
          <w:lang w:eastAsia="zh-CN"/>
        </w:rPr>
        <w:t>停止生产该批次</w:t>
      </w:r>
      <w:r>
        <w:rPr>
          <w:rFonts w:hint="eastAsia" w:ascii="华文仿宋" w:hAnsi="华文仿宋" w:eastAsia="华文仿宋" w:cs="华文仿宋"/>
          <w:lang w:eastAsia="zh-CN"/>
        </w:rPr>
        <w:t>假</w:t>
      </w:r>
      <w:r>
        <w:rPr>
          <w:rFonts w:hint="eastAsia" w:ascii="华文仿宋" w:hAnsi="华文仿宋" w:eastAsia="华文仿宋" w:cs="华文仿宋"/>
          <w:sz w:val="32"/>
          <w:szCs w:val="32"/>
          <w:u w:val="none" w:color="auto"/>
          <w:lang w:eastAsia="zh-CN"/>
        </w:rPr>
        <w:t>药</w:t>
      </w:r>
      <w:r>
        <w:rPr>
          <w:rFonts w:hint="eastAsia" w:ascii="华文仿宋" w:hAnsi="华文仿宋" w:eastAsia="华文仿宋" w:cs="华文仿宋"/>
          <w:sz w:val="32"/>
          <w:szCs w:val="32"/>
          <w:u w:val="none" w:color="auto"/>
          <w:lang w:val="en-US" w:eastAsia="zh-CN"/>
        </w:rPr>
        <w:t>，</w:t>
      </w:r>
      <w:r>
        <w:rPr>
          <w:rFonts w:hint="eastAsia" w:ascii="华文仿宋" w:hAnsi="华文仿宋" w:eastAsia="华文仿宋" w:cs="华文仿宋"/>
          <w:sz w:val="32"/>
          <w:szCs w:val="32"/>
          <w:u w:val="none" w:color="auto"/>
          <w:lang w:eastAsia="zh-CN"/>
        </w:rPr>
        <w:t>并进行以下行政处罚：</w:t>
      </w:r>
    </w:p>
    <w:p>
      <w:pPr>
        <w:pStyle w:val="2"/>
        <w:keepNext w:val="0"/>
        <w:keepLines w:val="0"/>
        <w:pageBreakBefore w:val="0"/>
        <w:widowControl w:val="0"/>
        <w:numPr>
          <w:ilvl w:val="0"/>
          <w:numId w:val="1"/>
        </w:numPr>
        <w:tabs>
          <w:tab w:val="left" w:pos="8920"/>
        </w:tabs>
        <w:kinsoku/>
        <w:overflowPunct/>
        <w:topLinePunct w:val="0"/>
        <w:autoSpaceDE/>
        <w:autoSpaceDN/>
        <w:bidi w:val="0"/>
        <w:snapToGrid/>
        <w:spacing w:line="420" w:lineRule="exact"/>
        <w:ind w:left="0" w:firstLine="636" w:firstLineChars="199"/>
        <w:textAlignment w:val="auto"/>
        <w:rPr>
          <w:rFonts w:hint="eastAsia" w:ascii="华文仿宋" w:hAnsi="华文仿宋" w:eastAsia="华文仿宋" w:cs="华文仿宋"/>
          <w:lang w:eastAsia="zh-CN"/>
        </w:rPr>
      </w:pPr>
      <w:r>
        <w:rPr>
          <w:rFonts w:hint="eastAsia" w:ascii="华文仿宋" w:hAnsi="华文仿宋" w:eastAsia="华文仿宋" w:cs="华文仿宋"/>
          <w:lang w:eastAsia="zh-CN"/>
        </w:rPr>
        <w:t>没收违法所得</w:t>
      </w:r>
      <w:r>
        <w:rPr>
          <w:rFonts w:hint="eastAsia" w:ascii="华文仿宋" w:hAnsi="华文仿宋" w:eastAsia="华文仿宋" w:cs="华文仿宋"/>
          <w:lang w:val="en-US" w:eastAsia="zh-CN"/>
        </w:rPr>
        <w:t>3400</w:t>
      </w:r>
      <w:r>
        <w:rPr>
          <w:rFonts w:hint="eastAsia" w:ascii="华文仿宋" w:hAnsi="华文仿宋" w:eastAsia="华文仿宋" w:cs="华文仿宋"/>
          <w:lang w:eastAsia="zh-CN"/>
        </w:rPr>
        <w:t>元；</w:t>
      </w:r>
    </w:p>
    <w:p>
      <w:pPr>
        <w:pStyle w:val="2"/>
        <w:keepNext w:val="0"/>
        <w:keepLines w:val="0"/>
        <w:pageBreakBefore w:val="0"/>
        <w:widowControl w:val="0"/>
        <w:numPr>
          <w:ilvl w:val="0"/>
          <w:numId w:val="1"/>
        </w:numPr>
        <w:tabs>
          <w:tab w:val="left" w:pos="8920"/>
        </w:tabs>
        <w:kinsoku/>
        <w:overflowPunct/>
        <w:topLinePunct w:val="0"/>
        <w:autoSpaceDE/>
        <w:autoSpaceDN/>
        <w:bidi w:val="0"/>
        <w:snapToGrid/>
        <w:spacing w:line="420" w:lineRule="exact"/>
        <w:ind w:left="0" w:firstLine="636" w:firstLineChars="199"/>
        <w:textAlignment w:val="auto"/>
        <w:rPr>
          <w:rFonts w:hint="eastAsia" w:ascii="华文仿宋" w:hAnsi="华文仿宋" w:eastAsia="华文仿宋" w:cs="华文仿宋"/>
          <w:color w:val="231F20"/>
          <w:lang w:eastAsia="zh-CN"/>
        </w:rPr>
      </w:pPr>
      <w:r>
        <w:rPr>
          <w:rFonts w:hint="eastAsia" w:ascii="华文仿宋" w:hAnsi="华文仿宋" w:eastAsia="华文仿宋" w:cs="华文仿宋"/>
          <w:lang w:eastAsia="zh-CN"/>
        </w:rPr>
        <w:t>处违法生产销售药品货值金额</w:t>
      </w:r>
      <w:r>
        <w:rPr>
          <w:rFonts w:hint="eastAsia" w:ascii="华文仿宋" w:hAnsi="华文仿宋" w:eastAsia="华文仿宋" w:cs="华文仿宋"/>
          <w:lang w:val="en-US" w:eastAsia="zh-CN"/>
        </w:rPr>
        <w:t>3.5</w:t>
      </w:r>
      <w:r>
        <w:rPr>
          <w:rFonts w:hint="eastAsia" w:ascii="华文仿宋" w:hAnsi="华文仿宋" w:eastAsia="华文仿宋" w:cs="华文仿宋"/>
          <w:lang w:eastAsia="zh-CN"/>
        </w:rPr>
        <w:t>倍罚款</w:t>
      </w:r>
      <w:r>
        <w:rPr>
          <w:rFonts w:hint="eastAsia" w:ascii="华文仿宋" w:hAnsi="华文仿宋" w:eastAsia="华文仿宋" w:cs="华文仿宋"/>
          <w:lang w:val="en-US" w:eastAsia="zh-CN"/>
        </w:rPr>
        <w:t>11900</w:t>
      </w:r>
      <w:r>
        <w:rPr>
          <w:rFonts w:hint="eastAsia" w:ascii="华文仿宋" w:hAnsi="华文仿宋" w:eastAsia="华文仿宋" w:cs="华文仿宋"/>
          <w:lang w:eastAsia="zh-CN"/>
        </w:rPr>
        <w:t>元。</w:t>
      </w:r>
    </w:p>
    <w:p>
      <w:pPr>
        <w:keepNext w:val="0"/>
        <w:keepLines w:val="0"/>
        <w:pageBreakBefore w:val="0"/>
        <w:widowControl w:val="0"/>
        <w:kinsoku/>
        <w:overflowPunct/>
        <w:topLinePunct w:val="0"/>
        <w:autoSpaceDE/>
        <w:autoSpaceDN/>
        <w:bidi w:val="0"/>
        <w:snapToGrid/>
        <w:spacing w:line="420" w:lineRule="exact"/>
        <w:ind w:firstLine="640" w:firstLineChars="200"/>
        <w:textAlignment w:val="auto"/>
        <w:rPr>
          <w:rFonts w:hint="eastAsia" w:ascii="华文仿宋" w:hAnsi="华文仿宋" w:eastAsia="华文仿宋" w:cs="华文仿宋"/>
          <w:color w:val="231F20"/>
          <w:lang w:eastAsia="zh-CN"/>
        </w:rPr>
      </w:pPr>
      <w:r>
        <w:rPr>
          <w:rFonts w:hint="eastAsia" w:ascii="华文仿宋" w:hAnsi="华文仿宋" w:eastAsia="华文仿宋" w:cs="华文仿宋"/>
          <w:color w:val="231F20"/>
          <w:lang w:eastAsia="zh-CN"/>
        </w:rPr>
        <w:t>以上罚没款合计壹万伍仟零叁佰元整（¥</w:t>
      </w:r>
      <w:r>
        <w:rPr>
          <w:rFonts w:hint="eastAsia" w:ascii="华文仿宋" w:hAnsi="华文仿宋" w:eastAsia="华文仿宋" w:cs="华文仿宋"/>
          <w:color w:val="231F20"/>
          <w:lang w:val="en-US" w:eastAsia="zh-CN"/>
        </w:rPr>
        <w:t>15300</w:t>
      </w:r>
      <w:r>
        <w:rPr>
          <w:rFonts w:hint="eastAsia" w:ascii="华文仿宋" w:hAnsi="华文仿宋" w:eastAsia="华文仿宋" w:cs="华文仿宋"/>
          <w:color w:val="231F20"/>
          <w:lang w:eastAsia="zh-CN"/>
        </w:rPr>
        <w:t>元）。</w:t>
      </w:r>
    </w:p>
    <w:p>
      <w:pPr>
        <w:keepNext w:val="0"/>
        <w:keepLines w:val="0"/>
        <w:pageBreakBefore w:val="0"/>
        <w:widowControl w:val="0"/>
        <w:kinsoku/>
        <w:overflowPunct/>
        <w:topLinePunct w:val="0"/>
        <w:autoSpaceDE/>
        <w:autoSpaceDN/>
        <w:bidi w:val="0"/>
        <w:snapToGrid/>
        <w:spacing w:line="420" w:lineRule="exact"/>
        <w:ind w:firstLine="640" w:firstLineChars="200"/>
        <w:textAlignment w:val="auto"/>
        <w:rPr>
          <w:rFonts w:hint="eastAsia" w:ascii="仿宋" w:hAnsi="仿宋" w:eastAsia="仿宋" w:cs="仿宋"/>
          <w:color w:val="000000"/>
          <w:szCs w:val="32"/>
        </w:rPr>
      </w:pPr>
      <w:r>
        <w:rPr>
          <w:rFonts w:hint="eastAsia" w:ascii="仿宋" w:hAnsi="仿宋" w:eastAsia="仿宋" w:cs="仿宋"/>
          <w:color w:val="000000"/>
          <w:kern w:val="0"/>
          <w:szCs w:val="32"/>
          <w:u w:val="none"/>
          <w:lang w:eastAsia="zh-CN"/>
        </w:rPr>
        <w:t>你单位</w:t>
      </w:r>
      <w:r>
        <w:rPr>
          <w:rFonts w:hint="eastAsia" w:ascii="仿宋" w:hAnsi="仿宋" w:eastAsia="仿宋" w:cs="仿宋"/>
          <w:color w:val="000000"/>
          <w:szCs w:val="32"/>
        </w:rPr>
        <w:t>应当自收到本行政处罚决定书之日起十五日内，将罚没款缴至指定银行。逾期不履行行政处罚决定的，我局将依据《中华人民共和国行政处罚法》第五十一条的规定，将每日按罚款数额的百分之三加处罚款，并依法申请人民法院强制执行。</w:t>
      </w:r>
    </w:p>
    <w:p>
      <w:pPr>
        <w:pStyle w:val="2"/>
        <w:keepNext w:val="0"/>
        <w:keepLines w:val="0"/>
        <w:pageBreakBefore w:val="0"/>
        <w:widowControl w:val="0"/>
        <w:tabs>
          <w:tab w:val="left" w:pos="9044"/>
        </w:tabs>
        <w:kinsoku/>
        <w:overflowPunct/>
        <w:topLinePunct w:val="0"/>
        <w:autoSpaceDE/>
        <w:autoSpaceDN/>
        <w:bidi w:val="0"/>
        <w:adjustRightInd w:val="0"/>
        <w:snapToGrid/>
        <w:spacing w:line="420" w:lineRule="exact"/>
        <w:ind w:left="0" w:firstLine="640" w:firstLineChars="200"/>
        <w:jc w:val="both"/>
        <w:textAlignment w:val="auto"/>
        <w:rPr>
          <w:rFonts w:hint="eastAsia" w:ascii="仿宋" w:hAnsi="仿宋" w:eastAsia="仿宋" w:cs="仿宋"/>
          <w:color w:val="000000"/>
          <w:lang w:eastAsia="zh-CN"/>
        </w:rPr>
      </w:pPr>
      <w:r>
        <w:rPr>
          <w:rFonts w:hint="eastAsia" w:ascii="仿宋" w:hAnsi="仿宋" w:eastAsia="仿宋" w:cs="仿宋"/>
          <w:color w:val="000000"/>
          <w:kern w:val="0"/>
          <w:szCs w:val="32"/>
          <w:u w:val="none"/>
          <w:lang w:eastAsia="zh-CN"/>
        </w:rPr>
        <w:t>你单位</w:t>
      </w:r>
      <w:r>
        <w:rPr>
          <w:rFonts w:hint="eastAsia" w:ascii="仿宋" w:hAnsi="仿宋" w:eastAsia="仿宋" w:cs="仿宋"/>
          <w:color w:val="000000"/>
          <w:lang w:eastAsia="zh-CN"/>
        </w:rPr>
        <w:t>如不服本行政处罚决定，可以在收到本行政处罚决定书之日起60日内向广东省人民政府或者向国家药品监督管理局申请行政复议；也可以在六个月内依法向广州铁路运输法院提起行政诉讼。申请行政复议或者提起行政诉讼期间，行政处罚不停止执行。</w:t>
      </w:r>
    </w:p>
    <w:p>
      <w:pPr>
        <w:pStyle w:val="2"/>
        <w:keepNext w:val="0"/>
        <w:keepLines w:val="0"/>
        <w:pageBreakBefore w:val="0"/>
        <w:widowControl w:val="0"/>
        <w:tabs>
          <w:tab w:val="left" w:pos="9044"/>
        </w:tabs>
        <w:kinsoku/>
        <w:overflowPunct/>
        <w:topLinePunct w:val="0"/>
        <w:autoSpaceDE/>
        <w:autoSpaceDN/>
        <w:bidi w:val="0"/>
        <w:adjustRightInd w:val="0"/>
        <w:snapToGrid/>
        <w:spacing w:line="420" w:lineRule="exact"/>
        <w:ind w:left="0" w:firstLine="640" w:firstLineChars="200"/>
        <w:jc w:val="both"/>
        <w:textAlignment w:val="auto"/>
        <w:rPr>
          <w:rFonts w:ascii="仿宋" w:hAnsi="仿宋" w:eastAsia="仿宋" w:cs="仿宋"/>
          <w:color w:val="000000"/>
          <w:lang w:eastAsia="zh-CN"/>
        </w:rPr>
      </w:pPr>
    </w:p>
    <w:p>
      <w:pPr>
        <w:pStyle w:val="2"/>
        <w:keepNext w:val="0"/>
        <w:keepLines w:val="0"/>
        <w:pageBreakBefore w:val="0"/>
        <w:widowControl w:val="0"/>
        <w:tabs>
          <w:tab w:val="left" w:pos="5003"/>
        </w:tabs>
        <w:kinsoku/>
        <w:wordWrap w:val="0"/>
        <w:overflowPunct/>
        <w:topLinePunct w:val="0"/>
        <w:autoSpaceDE/>
        <w:autoSpaceDN/>
        <w:bidi w:val="0"/>
        <w:snapToGrid/>
        <w:spacing w:line="420" w:lineRule="exact"/>
        <w:ind w:left="0"/>
        <w:jc w:val="right"/>
        <w:textAlignment w:val="auto"/>
        <w:rPr>
          <w:rFonts w:ascii="仿宋" w:hAnsi="仿宋" w:eastAsia="仿宋" w:cs="仿宋"/>
          <w:color w:val="000000"/>
          <w:lang w:eastAsia="zh-CN"/>
        </w:rPr>
      </w:pPr>
      <w:r>
        <w:rPr>
          <w:rFonts w:hint="eastAsia" w:ascii="仿宋" w:hAnsi="仿宋" w:eastAsia="仿宋" w:cs="仿宋"/>
          <w:color w:val="000000"/>
          <w:lang w:eastAsia="zh-CN"/>
        </w:rPr>
        <w:t xml:space="preserve"> 广东省药品监督管理局     </w:t>
      </w:r>
    </w:p>
    <w:p>
      <w:pPr>
        <w:pStyle w:val="2"/>
        <w:keepNext w:val="0"/>
        <w:keepLines w:val="0"/>
        <w:pageBreakBefore w:val="0"/>
        <w:widowControl w:val="0"/>
        <w:tabs>
          <w:tab w:val="left" w:pos="5083"/>
          <w:tab w:val="left" w:pos="6043"/>
        </w:tabs>
        <w:kinsoku/>
        <w:overflowPunct/>
        <w:topLinePunct w:val="0"/>
        <w:autoSpaceDE/>
        <w:autoSpaceDN/>
        <w:bidi w:val="0"/>
        <w:snapToGrid/>
        <w:spacing w:line="420" w:lineRule="exact"/>
        <w:ind w:left="0" w:right="1280" w:rightChars="400"/>
        <w:jc w:val="right"/>
        <w:textAlignment w:val="auto"/>
        <w:rPr>
          <w:rFonts w:hint="eastAsia" w:ascii="仿宋" w:hAnsi="仿宋" w:eastAsia="仿宋" w:cs="仿宋"/>
          <w:color w:val="000000"/>
          <w:lang w:eastAsia="zh-CN"/>
        </w:rPr>
      </w:pPr>
      <w:r>
        <w:rPr>
          <w:rFonts w:hint="eastAsia" w:ascii="仿宋" w:hAnsi="仿宋" w:eastAsia="仿宋" w:cs="仿宋"/>
          <w:color w:val="000000"/>
          <w:lang w:val="en-US" w:eastAsia="zh-CN"/>
        </w:rPr>
        <w:t>2020</w:t>
      </w:r>
      <w:r>
        <w:rPr>
          <w:rFonts w:hint="eastAsia" w:ascii="仿宋" w:hAnsi="仿宋" w:eastAsia="仿宋" w:cs="仿宋"/>
          <w:color w:val="000000"/>
          <w:lang w:eastAsia="zh-CN"/>
        </w:rPr>
        <w:t>年</w:t>
      </w:r>
      <w:r>
        <w:rPr>
          <w:rFonts w:hint="eastAsia" w:ascii="仿宋" w:hAnsi="仿宋" w:eastAsia="仿宋" w:cs="仿宋"/>
          <w:color w:val="000000"/>
          <w:lang w:val="en-US" w:eastAsia="zh-CN"/>
        </w:rPr>
        <w:t>7</w:t>
      </w:r>
      <w:r>
        <w:rPr>
          <w:rFonts w:hint="eastAsia" w:ascii="仿宋" w:hAnsi="仿宋" w:eastAsia="仿宋" w:cs="仿宋"/>
          <w:color w:val="000000"/>
          <w:lang w:eastAsia="zh-CN"/>
        </w:rPr>
        <w:t>月</w:t>
      </w:r>
      <w:r>
        <w:rPr>
          <w:rFonts w:hint="eastAsia" w:ascii="仿宋" w:hAnsi="仿宋" w:eastAsia="仿宋" w:cs="仿宋"/>
          <w:color w:val="000000"/>
          <w:lang w:val="en-US" w:eastAsia="zh-CN"/>
        </w:rPr>
        <w:t>2</w:t>
      </w:r>
      <w:bookmarkStart w:id="1" w:name="_GoBack"/>
      <w:bookmarkEnd w:id="1"/>
      <w:r>
        <w:rPr>
          <w:rFonts w:hint="eastAsia" w:ascii="仿宋" w:hAnsi="仿宋" w:eastAsia="仿宋" w:cs="仿宋"/>
          <w:color w:val="000000"/>
          <w:lang w:eastAsia="zh-CN"/>
        </w:rPr>
        <w:t>日</w:t>
      </w:r>
    </w:p>
    <w:p>
      <w:pPr>
        <w:pStyle w:val="2"/>
        <w:keepNext w:val="0"/>
        <w:keepLines w:val="0"/>
        <w:pageBreakBefore w:val="0"/>
        <w:widowControl w:val="0"/>
        <w:tabs>
          <w:tab w:val="left" w:pos="5083"/>
          <w:tab w:val="left" w:pos="6043"/>
        </w:tabs>
        <w:kinsoku/>
        <w:overflowPunct/>
        <w:topLinePunct w:val="0"/>
        <w:autoSpaceDE/>
        <w:autoSpaceDN/>
        <w:bidi w:val="0"/>
        <w:snapToGrid/>
        <w:spacing w:line="420" w:lineRule="exact"/>
        <w:ind w:left="0" w:right="1280" w:rightChars="400"/>
        <w:jc w:val="right"/>
        <w:textAlignment w:val="auto"/>
        <w:rPr>
          <w:rFonts w:hint="eastAsia" w:ascii="仿宋" w:hAnsi="仿宋" w:eastAsia="仿宋" w:cs="仿宋"/>
          <w:color w:val="000000"/>
          <w:lang w:eastAsia="zh-CN"/>
        </w:rPr>
      </w:pPr>
    </w:p>
    <w:p>
      <w:pPr>
        <w:pStyle w:val="2"/>
        <w:keepNext w:val="0"/>
        <w:keepLines w:val="0"/>
        <w:pageBreakBefore w:val="0"/>
        <w:widowControl w:val="0"/>
        <w:kinsoku/>
        <w:overflowPunct/>
        <w:topLinePunct w:val="0"/>
        <w:autoSpaceDE/>
        <w:autoSpaceDN/>
        <w:bidi w:val="0"/>
        <w:snapToGrid/>
        <w:spacing w:line="420" w:lineRule="exact"/>
        <w:ind w:left="0"/>
        <w:textAlignment w:val="auto"/>
        <w:rPr>
          <w:lang w:eastAsia="zh-CN"/>
        </w:rPr>
      </w:pPr>
      <w:r>
        <w:rPr>
          <w:rFonts w:hint="eastAsia" w:ascii="仿宋" w:hAnsi="仿宋" w:eastAsia="仿宋" w:cs="仿宋"/>
          <w:color w:val="000000"/>
          <w:sz w:val="30"/>
          <w:szCs w:val="30"/>
          <w:lang w:eastAsia="zh-CN"/>
        </w:rPr>
        <w:t>（广东省药品监督管理局将依法向社会公示本行政处罚决定信息）</w:t>
      </w:r>
    </w:p>
    <w:tbl>
      <w:tblPr>
        <w:tblStyle w:val="6"/>
        <w:tblW w:w="9105" w:type="dxa"/>
        <w:tblInd w:w="91" w:type="dxa"/>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105"/>
      </w:tblGrid>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725" w:hRule="atLeast"/>
        </w:trPr>
        <w:tc>
          <w:tcPr>
            <w:tcW w:w="9105" w:type="dxa"/>
            <w:tcBorders>
              <w:tl2br w:val="nil"/>
              <w:tr2bl w:val="nil"/>
            </w:tcBorders>
            <w:vAlign w:val="center"/>
          </w:tcPr>
          <w:p>
            <w:pPr>
              <w:keepNext w:val="0"/>
              <w:keepLines w:val="0"/>
              <w:pageBreakBefore w:val="0"/>
              <w:widowControl w:val="0"/>
              <w:kinsoku/>
              <w:overflowPunct/>
              <w:topLinePunct w:val="0"/>
              <w:autoSpaceDE/>
              <w:autoSpaceDN/>
              <w:bidi w:val="0"/>
              <w:snapToGrid/>
              <w:spacing w:line="420" w:lineRule="exact"/>
              <w:textAlignment w:val="auto"/>
              <w:rPr>
                <w:rFonts w:ascii="宋体" w:hAnsi="宋体" w:eastAsia="宋体" w:cs="宋体"/>
                <w:color w:val="000000"/>
                <w:sz w:val="28"/>
                <w:szCs w:val="28"/>
              </w:rPr>
            </w:pPr>
            <w:r>
              <w:rPr>
                <w:rFonts w:hint="eastAsia" w:ascii="宋体" w:hAnsi="宋体" w:eastAsia="宋体" w:cs="宋体"/>
                <w:color w:val="000000"/>
                <w:sz w:val="28"/>
                <w:szCs w:val="28"/>
              </w:rPr>
              <w:t>本文书一式</w:t>
            </w:r>
            <w:r>
              <w:rPr>
                <w:rFonts w:hint="eastAsia" w:ascii="宋体" w:hAnsi="宋体" w:eastAsia="宋体" w:cs="宋体"/>
                <w:color w:val="000000"/>
                <w:sz w:val="28"/>
                <w:szCs w:val="28"/>
                <w:u w:val="single" w:color="231F20"/>
                <w:lang w:eastAsia="zh-CN"/>
              </w:rPr>
              <w:t>叁</w:t>
            </w:r>
            <w:r>
              <w:rPr>
                <w:rFonts w:hint="eastAsia" w:ascii="宋体" w:hAnsi="宋体" w:eastAsia="宋体" w:cs="宋体"/>
                <w:color w:val="000000"/>
                <w:sz w:val="28"/>
                <w:szCs w:val="28"/>
              </w:rPr>
              <w:t>份，</w:t>
            </w:r>
            <w:r>
              <w:rPr>
                <w:rFonts w:hint="eastAsia" w:ascii="宋体" w:hAnsi="宋体" w:eastAsia="宋体" w:cs="宋体"/>
                <w:color w:val="000000"/>
                <w:sz w:val="28"/>
                <w:szCs w:val="28"/>
                <w:u w:val="single" w:color="231F20"/>
                <w:lang w:eastAsia="zh-CN"/>
              </w:rPr>
              <w:t>壹</w:t>
            </w:r>
            <w:r>
              <w:rPr>
                <w:rFonts w:hint="eastAsia" w:ascii="宋体" w:hAnsi="宋体" w:eastAsia="宋体" w:cs="宋体"/>
                <w:color w:val="000000"/>
                <w:sz w:val="28"/>
                <w:szCs w:val="28"/>
              </w:rPr>
              <w:t>份送达，</w:t>
            </w:r>
            <w:r>
              <w:rPr>
                <w:rFonts w:hint="eastAsia" w:ascii="宋体" w:hAnsi="宋体" w:eastAsia="宋体" w:cs="宋体"/>
                <w:color w:val="000000"/>
                <w:sz w:val="28"/>
                <w:szCs w:val="28"/>
                <w:u w:val="single" w:color="231F20"/>
                <w:lang w:eastAsia="zh-CN"/>
              </w:rPr>
              <w:t>壹</w:t>
            </w:r>
            <w:r>
              <w:rPr>
                <w:rFonts w:hint="eastAsia" w:ascii="宋体" w:hAnsi="宋体" w:eastAsia="宋体" w:cs="宋体"/>
                <w:color w:val="000000"/>
                <w:sz w:val="28"/>
                <w:szCs w:val="28"/>
              </w:rPr>
              <w:t>份归档，</w:t>
            </w:r>
            <w:r>
              <w:rPr>
                <w:rFonts w:hint="eastAsia" w:ascii="宋体" w:hAnsi="宋体" w:eastAsia="宋体" w:cs="宋体"/>
                <w:color w:val="000000"/>
                <w:sz w:val="28"/>
                <w:szCs w:val="28"/>
                <w:u w:val="single" w:color="231F20"/>
                <w:lang w:eastAsia="zh-CN"/>
              </w:rPr>
              <w:t>壹</w:t>
            </w:r>
            <w:r>
              <w:rPr>
                <w:rFonts w:hint="eastAsia" w:ascii="宋体" w:hAnsi="宋体" w:eastAsia="宋体" w:cs="宋体"/>
                <w:color w:val="000000"/>
                <w:sz w:val="28"/>
                <w:szCs w:val="28"/>
                <w:u w:val="none" w:color="auto"/>
                <w:lang w:eastAsia="zh-CN"/>
              </w:rPr>
              <w:t>份备查</w:t>
            </w:r>
            <w:r>
              <w:rPr>
                <w:rFonts w:hint="eastAsia" w:ascii="宋体" w:hAnsi="宋体" w:eastAsia="宋体" w:cs="宋体"/>
                <w:color w:val="000000"/>
                <w:sz w:val="28"/>
                <w:szCs w:val="28"/>
              </w:rPr>
              <w:t>。</w:t>
            </w:r>
          </w:p>
        </w:tc>
      </w:tr>
    </w:tbl>
    <w:p>
      <w:pPr>
        <w:keepNext w:val="0"/>
        <w:keepLines w:val="0"/>
        <w:pageBreakBefore w:val="0"/>
        <w:widowControl w:val="0"/>
        <w:kinsoku/>
        <w:overflowPunct/>
        <w:topLinePunct w:val="0"/>
        <w:autoSpaceDE/>
        <w:autoSpaceDN/>
        <w:bidi w:val="0"/>
        <w:snapToGrid/>
        <w:spacing w:line="420" w:lineRule="exact"/>
        <w:textAlignment w:val="auto"/>
      </w:pPr>
    </w:p>
    <w:sectPr>
      <w:footerReference r:id="rId3" w:type="default"/>
      <w:pgSz w:w="11906" w:h="16838"/>
      <w:pgMar w:top="1440" w:right="1633" w:bottom="144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B5D83"/>
    <w:multiLevelType w:val="singleLevel"/>
    <w:tmpl w:val="5EBB5D8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033482"/>
    <w:rsid w:val="01382DE4"/>
    <w:rsid w:val="0B641009"/>
    <w:rsid w:val="0C272E56"/>
    <w:rsid w:val="0D2C1EF4"/>
    <w:rsid w:val="0D4526B9"/>
    <w:rsid w:val="0DAE3C4E"/>
    <w:rsid w:val="11406593"/>
    <w:rsid w:val="12FA5355"/>
    <w:rsid w:val="14922629"/>
    <w:rsid w:val="18FA2E97"/>
    <w:rsid w:val="19746B3C"/>
    <w:rsid w:val="19F43B14"/>
    <w:rsid w:val="1C97657B"/>
    <w:rsid w:val="1DFC7B0A"/>
    <w:rsid w:val="2065648F"/>
    <w:rsid w:val="206C4829"/>
    <w:rsid w:val="23A90C50"/>
    <w:rsid w:val="26770CA2"/>
    <w:rsid w:val="2BC20AC6"/>
    <w:rsid w:val="2EB07798"/>
    <w:rsid w:val="30DF096E"/>
    <w:rsid w:val="33293387"/>
    <w:rsid w:val="337339DA"/>
    <w:rsid w:val="344C5322"/>
    <w:rsid w:val="350518EC"/>
    <w:rsid w:val="3D376379"/>
    <w:rsid w:val="3EDF1A97"/>
    <w:rsid w:val="3FE76666"/>
    <w:rsid w:val="46244190"/>
    <w:rsid w:val="46585D04"/>
    <w:rsid w:val="4BD15987"/>
    <w:rsid w:val="4D640ED3"/>
    <w:rsid w:val="50114158"/>
    <w:rsid w:val="505A658A"/>
    <w:rsid w:val="5160015A"/>
    <w:rsid w:val="53210DC7"/>
    <w:rsid w:val="545A120E"/>
    <w:rsid w:val="58033482"/>
    <w:rsid w:val="58DE1ED9"/>
    <w:rsid w:val="5BB92F1A"/>
    <w:rsid w:val="68637E41"/>
    <w:rsid w:val="6BE61DB5"/>
    <w:rsid w:val="718804A9"/>
    <w:rsid w:val="74A50711"/>
    <w:rsid w:val="74BE38BD"/>
    <w:rsid w:val="7B800428"/>
    <w:rsid w:val="7BEB470A"/>
    <w:rsid w:val="7C19780D"/>
    <w:rsid w:val="7E4F6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ind w:left="220"/>
      <w:jc w:val="left"/>
    </w:pPr>
    <w:rPr>
      <w:rFonts w:ascii="宋体" w:hAnsi="宋体" w:eastAsia="宋体" w:cs="Times New Roman"/>
      <w:kern w:val="0"/>
      <w:sz w:val="32"/>
      <w:szCs w:val="32"/>
      <w:lang w:eastAsia="en-US"/>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2020-01-16T06:39:00Z</dcterms:created>
  <dc:creator>安源</dc:creator>
  <cp:lastModifiedBy>张剑峰</cp:lastModifiedBy>
  <cp:lastPrinted>2020-06-24T02:11:00Z</cp:lastPrinted>
  <dcterms:modified xsi:type="dcterms:W3CDTF">2020-07-03T06:58:19Z</dcterms:modified>
  <dc:title>广东省药品监督管理局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