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9"/>
        </w:tabs>
        <w:spacing w:beforeLines="0" w:afterLines="0" w:line="590" w:lineRule="exact"/>
        <w:ind w:left="0"/>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广东省药品监督管理局</w:t>
      </w:r>
    </w:p>
    <w:p>
      <w:pPr>
        <w:tabs>
          <w:tab w:val="left" w:pos="1279"/>
        </w:tabs>
        <w:spacing w:beforeLines="0" w:afterLines="0" w:line="590" w:lineRule="exact"/>
        <w:jc w:val="center"/>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行政处罚决定书</w:t>
      </w:r>
    </w:p>
    <w:p>
      <w:pPr>
        <w:pStyle w:val="2"/>
        <w:tabs>
          <w:tab w:val="left" w:pos="319"/>
          <w:tab w:val="left" w:pos="1486"/>
          <w:tab w:val="left" w:pos="2353"/>
          <w:tab w:val="left" w:pos="3199"/>
        </w:tabs>
        <w:spacing w:before="0" w:beforeLines="0" w:afterLines="0" w:line="590" w:lineRule="exact"/>
        <w:ind w:left="0"/>
        <w:jc w:val="center"/>
        <w:rPr>
          <w:rFonts w:hint="eastAsia" w:ascii="仿宋" w:hAnsi="仿宋" w:eastAsia="仿宋" w:cs="仿宋"/>
          <w:color w:val="000000"/>
          <w:lang w:eastAsia="zh-CN"/>
        </w:rPr>
      </w:pPr>
      <w:r>
        <w:rPr>
          <w:rFonts w:hint="eastAsia" w:ascii="仿宋" w:hAnsi="仿宋" w:eastAsia="仿宋" w:cs="仿宋"/>
          <w:color w:val="000000"/>
          <w:u w:val="none" w:color="auto"/>
          <w:lang w:eastAsia="zh-CN"/>
        </w:rPr>
        <w:t>粤药监械罚〔</w:t>
      </w:r>
      <w:r>
        <w:rPr>
          <w:rFonts w:hint="eastAsia" w:ascii="仿宋" w:hAnsi="仿宋" w:eastAsia="仿宋" w:cs="仿宋"/>
          <w:color w:val="000000"/>
          <w:lang w:val="en-US" w:eastAsia="zh-CN"/>
        </w:rPr>
        <w:t>2020</w:t>
      </w:r>
      <w:r>
        <w:rPr>
          <w:rFonts w:hint="eastAsia" w:ascii="仿宋" w:hAnsi="仿宋" w:eastAsia="仿宋" w:cs="仿宋"/>
          <w:color w:val="000000"/>
          <w:u w:val="none" w:color="auto"/>
          <w:lang w:eastAsia="zh-CN"/>
        </w:rPr>
        <w:t>〕</w:t>
      </w:r>
      <w:r>
        <w:rPr>
          <w:rFonts w:hint="eastAsia" w:ascii="仿宋" w:hAnsi="仿宋" w:eastAsia="仿宋" w:cs="仿宋"/>
          <w:color w:val="auto"/>
          <w:highlight w:val="none"/>
          <w:u w:val="none" w:color="auto"/>
          <w:lang w:val="en-US" w:eastAsia="zh-CN"/>
        </w:rPr>
        <w:t>3013</w:t>
      </w:r>
      <w:r>
        <w:rPr>
          <w:rFonts w:hint="eastAsia" w:ascii="仿宋" w:hAnsi="仿宋" w:eastAsia="仿宋" w:cs="仿宋"/>
          <w:color w:val="000000"/>
          <w:lang w:eastAsia="zh-CN"/>
        </w:rPr>
        <w:t>号</w:t>
      </w:r>
    </w:p>
    <w:p>
      <w:pPr>
        <w:spacing w:before="0" w:beforeLines="0" w:afterLines="0" w:line="500" w:lineRule="exact"/>
        <w:rPr>
          <w:rFonts w:hint="eastAsia" w:ascii="仿宋" w:hAnsi="仿宋" w:cs="仿宋"/>
          <w:color w:val="000000"/>
          <w:sz w:val="32"/>
          <w:szCs w:val="32"/>
          <w:lang w:eastAsia="zh-CN"/>
        </w:rPr>
      </w:pP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beforeLines="0" w:afterLines="0" w:line="540" w:lineRule="exact"/>
        <w:ind w:left="0" w:right="0"/>
        <w:jc w:val="both"/>
        <w:textAlignment w:val="auto"/>
        <w:rPr>
          <w:rFonts w:hint="eastAsia" w:ascii="仿宋" w:hAnsi="仿宋" w:eastAsia="仿宋" w:cs="仿宋"/>
          <w:color w:val="000000"/>
          <w:u w:color="auto"/>
          <w:lang w:val="en-US" w:eastAsia="zh-CN"/>
        </w:rPr>
      </w:pPr>
      <w:r>
        <w:rPr>
          <w:rFonts w:hint="eastAsia" w:ascii="仿宋" w:hAnsi="仿宋" w:eastAsia="仿宋" w:cs="仿宋"/>
          <w:color w:val="000000"/>
          <w:u w:color="auto"/>
          <w:lang w:val="en-US" w:eastAsia="zh-CN"/>
        </w:rPr>
        <w:t>当事人：深圳市摩力康医疗科技处有限公司</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beforeLines="0" w:afterLines="0" w:line="540" w:lineRule="exact"/>
        <w:ind w:left="0" w:right="0"/>
        <w:jc w:val="both"/>
        <w:textAlignment w:val="auto"/>
        <w:rPr>
          <w:rFonts w:hint="eastAsia" w:ascii="仿宋" w:hAnsi="仿宋" w:eastAsia="仿宋" w:cs="仿宋"/>
          <w:color w:val="000000"/>
          <w:u w:color="auto"/>
          <w:lang w:val="en-US" w:eastAsia="zh-CN"/>
        </w:rPr>
      </w:pPr>
      <w:r>
        <w:rPr>
          <w:rFonts w:hint="eastAsia" w:ascii="仿宋" w:hAnsi="仿宋" w:eastAsia="仿宋" w:cs="仿宋"/>
          <w:color w:val="000000"/>
          <w:u w:color="auto"/>
          <w:lang w:eastAsia="zh-CN"/>
        </w:rPr>
        <w:t>主体</w:t>
      </w:r>
      <w:r>
        <w:rPr>
          <w:rFonts w:hint="eastAsia" w:ascii="仿宋" w:hAnsi="仿宋" w:eastAsia="仿宋" w:cs="仿宋"/>
          <w:color w:val="000000"/>
          <w:u w:color="auto"/>
          <w:lang w:val="en-US" w:eastAsia="zh-CN"/>
        </w:rPr>
        <w:t>资格证照名称：《营业执照》</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beforeLines="0" w:afterLines="0" w:line="540" w:lineRule="exact"/>
        <w:ind w:left="0" w:right="0"/>
        <w:jc w:val="both"/>
        <w:textAlignment w:val="auto"/>
        <w:rPr>
          <w:rFonts w:hint="default" w:ascii="仿宋" w:hAnsi="仿宋" w:eastAsia="仿宋" w:cs="仿宋"/>
          <w:color w:val="000000"/>
          <w:u w:color="auto"/>
          <w:lang w:val="en-US" w:eastAsia="zh-CN"/>
        </w:rPr>
      </w:pPr>
      <w:r>
        <w:rPr>
          <w:rFonts w:hint="eastAsia" w:ascii="仿宋" w:hAnsi="仿宋" w:eastAsia="仿宋" w:cs="仿宋"/>
          <w:color w:val="000000"/>
          <w:u w:color="auto"/>
          <w:lang w:val="en-US" w:eastAsia="zh-CN"/>
        </w:rPr>
        <w:t>统一社会信用代码：</w:t>
      </w:r>
      <w:r>
        <w:rPr>
          <w:rFonts w:hint="eastAsia" w:ascii="仿宋" w:hAnsi="仿宋" w:cs="仿宋"/>
          <w:color w:val="000000"/>
          <w:u w:val="none" w:color="auto"/>
          <w:lang w:val="en-US" w:eastAsia="zh-CN"/>
        </w:rPr>
        <w:t>914403005571547526</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beforeLines="0" w:afterLines="0" w:line="540" w:lineRule="exact"/>
        <w:ind w:left="0" w:right="0"/>
        <w:jc w:val="both"/>
        <w:textAlignment w:val="auto"/>
        <w:rPr>
          <w:rFonts w:hint="eastAsia" w:ascii="仿宋" w:hAnsi="仿宋" w:cs="仿宋"/>
          <w:color w:val="000000"/>
          <w:u w:val="none" w:color="auto"/>
          <w:lang w:val="en-US" w:eastAsia="zh-CN"/>
        </w:rPr>
      </w:pPr>
      <w:r>
        <w:rPr>
          <w:rFonts w:hint="eastAsia" w:ascii="仿宋" w:hAnsi="仿宋" w:eastAsia="仿宋" w:cs="仿宋"/>
          <w:color w:val="000000"/>
          <w:u w:color="auto"/>
          <w:lang w:val="en-US" w:eastAsia="zh-CN"/>
        </w:rPr>
        <w:t>住所（住址）：深圳市龙岗区街道宝龙二路3号京能科技环保工业园3号厂房第3层西侧</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beforeLines="0" w:afterLines="0" w:line="540" w:lineRule="exact"/>
        <w:ind w:left="0" w:right="0"/>
        <w:jc w:val="both"/>
        <w:textAlignment w:val="auto"/>
        <w:rPr>
          <w:rFonts w:hint="eastAsia" w:ascii="仿宋" w:hAnsi="仿宋" w:eastAsia="仿宋" w:cs="仿宋"/>
          <w:color w:val="000000"/>
          <w:u w:color="auto"/>
          <w:lang w:val="en-US" w:eastAsia="zh-CN"/>
        </w:rPr>
      </w:pPr>
      <w:r>
        <w:rPr>
          <w:rFonts w:hint="eastAsia" w:ascii="仿宋" w:hAnsi="仿宋" w:eastAsia="仿宋" w:cs="仿宋"/>
          <w:color w:val="000000"/>
          <w:u w:color="auto"/>
          <w:lang w:val="en-US" w:eastAsia="zh-CN"/>
        </w:rPr>
        <w:t xml:space="preserve">法定代表人：于学锋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beforeLines="0" w:afterLines="0" w:line="540" w:lineRule="exact"/>
        <w:ind w:left="0" w:right="0"/>
        <w:jc w:val="both"/>
        <w:textAlignment w:val="auto"/>
        <w:rPr>
          <w:rFonts w:hint="eastAsia" w:ascii="仿宋" w:hAnsi="仿宋" w:eastAsia="仿宋" w:cs="仿宋"/>
          <w:color w:val="000000"/>
          <w:u w:color="auto"/>
          <w:lang w:val="en-US" w:eastAsia="zh-CN"/>
        </w:rPr>
      </w:pPr>
      <w:r>
        <w:rPr>
          <w:rFonts w:hint="eastAsia" w:ascii="仿宋" w:hAnsi="仿宋" w:eastAsia="仿宋" w:cs="仿宋"/>
          <w:color w:val="000000"/>
          <w:u w:color="auto"/>
          <w:lang w:val="en-US" w:eastAsia="zh-CN"/>
        </w:rPr>
        <w:t xml:space="preserve">被委托人：/                        </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beforeLines="0" w:afterLines="0" w:line="540" w:lineRule="exact"/>
        <w:ind w:left="0" w:right="0"/>
        <w:jc w:val="both"/>
        <w:textAlignment w:val="auto"/>
        <w:rPr>
          <w:rFonts w:hint="eastAsia" w:ascii="仿宋" w:hAnsi="仿宋" w:eastAsia="仿宋" w:cs="仿宋"/>
          <w:color w:val="000000"/>
          <w:u w:color="auto"/>
          <w:lang w:val="en-US" w:eastAsia="zh-CN"/>
        </w:rPr>
      </w:pPr>
      <w:r>
        <w:rPr>
          <w:rFonts w:hint="eastAsia" w:ascii="仿宋" w:hAnsi="仿宋" w:eastAsia="仿宋" w:cs="仿宋"/>
          <w:color w:val="000000"/>
          <w:u w:color="auto"/>
          <w:lang w:val="en-US" w:eastAsia="zh-CN"/>
        </w:rPr>
        <w:t>联系电话：158********8     其他联系方式：/</w:t>
      </w:r>
    </w:p>
    <w:p>
      <w:pPr>
        <w:pStyle w:val="2"/>
        <w:keepNext w:val="0"/>
        <w:keepLines w:val="0"/>
        <w:pageBreakBefore w:val="0"/>
        <w:widowControl w:val="0"/>
        <w:tabs>
          <w:tab w:val="left" w:pos="4440"/>
          <w:tab w:val="left" w:pos="8920"/>
        </w:tabs>
        <w:kinsoku/>
        <w:wordWrap/>
        <w:overflowPunct/>
        <w:topLinePunct w:val="0"/>
        <w:autoSpaceDE/>
        <w:autoSpaceDN/>
        <w:bidi w:val="0"/>
        <w:adjustRightInd/>
        <w:snapToGrid/>
        <w:spacing w:beforeLines="0" w:afterLines="0" w:line="540" w:lineRule="exact"/>
        <w:ind w:left="0" w:right="0"/>
        <w:jc w:val="both"/>
        <w:textAlignment w:val="auto"/>
        <w:rPr>
          <w:rFonts w:hint="eastAsia" w:ascii="仿宋" w:hAnsi="仿宋" w:eastAsia="仿宋" w:cs="仿宋"/>
          <w:color w:val="000000"/>
          <w:u w:color="auto"/>
          <w:lang w:eastAsia="zh-CN"/>
        </w:rPr>
      </w:pPr>
      <w:r>
        <w:rPr>
          <w:rFonts w:hint="eastAsia" w:ascii="仿宋" w:hAnsi="仿宋" w:eastAsia="仿宋" w:cs="仿宋"/>
          <w:color w:val="000000"/>
          <w:u w:color="auto"/>
          <w:lang w:val="en-US" w:eastAsia="zh-CN"/>
        </w:rPr>
        <w:t xml:space="preserve">联系地址：深圳市龙岗区街道宝龙二路3号京能科技环保工业园3号厂房第3层西侧   </w:t>
      </w:r>
      <w:r>
        <w:rPr>
          <w:rFonts w:hint="eastAsia" w:ascii="仿宋" w:hAnsi="仿宋" w:eastAsia="仿宋" w:cs="仿宋"/>
          <w:color w:val="000000"/>
          <w:spacing w:val="0"/>
          <w:u w:color="auto"/>
          <w:lang w:val="en-US" w:eastAsia="zh-CN"/>
        </w:rPr>
        <w:t xml:space="preserve">   </w:t>
      </w:r>
    </w:p>
    <w:p>
      <w:pPr>
        <w:pStyle w:val="2"/>
        <w:keepNext w:val="0"/>
        <w:keepLines w:val="0"/>
        <w:pageBreakBefore w:val="0"/>
        <w:widowControl w:val="0"/>
        <w:tabs>
          <w:tab w:val="left" w:pos="8964"/>
        </w:tabs>
        <w:kinsoku/>
        <w:wordWrap/>
        <w:overflowPunct/>
        <w:topLinePunct w:val="0"/>
        <w:autoSpaceDE/>
        <w:autoSpaceDN/>
        <w:bidi w:val="0"/>
        <w:adjustRightInd/>
        <w:snapToGrid/>
        <w:spacing w:before="0" w:beforeLines="0" w:afterLines="0" w:line="540" w:lineRule="exact"/>
        <w:ind w:left="0" w:firstLine="640" w:firstLineChars="200"/>
        <w:jc w:val="both"/>
        <w:textAlignment w:val="auto"/>
        <w:rPr>
          <w:rFonts w:hint="eastAsia" w:ascii="仿宋" w:hAnsi="仿宋" w:eastAsia="仿宋" w:cs="仿宋"/>
          <w:color w:val="auto"/>
          <w:u w:val="none" w:color="auto"/>
          <w:lang w:val="en-US" w:eastAsia="zh-CN"/>
        </w:rPr>
      </w:pPr>
      <w:r>
        <w:rPr>
          <w:rFonts w:hint="eastAsia" w:ascii="仿宋" w:hAnsi="仿宋" w:eastAsia="仿宋" w:cs="仿宋"/>
          <w:color w:val="000000"/>
          <w:spacing w:val="0"/>
          <w:u w:val="none" w:color="auto"/>
          <w:lang w:val="en-US" w:eastAsia="zh-CN"/>
        </w:rPr>
        <w:t>在深圳市医疗器械监督抽检工作中</w:t>
      </w:r>
      <w:r>
        <w:rPr>
          <w:rFonts w:hint="eastAsia" w:ascii="仿宋" w:hAnsi="仿宋" w:eastAsia="仿宋" w:cs="仿宋"/>
          <w:color w:val="auto"/>
          <w:u w:val="none" w:color="auto"/>
          <w:lang w:val="en-US" w:eastAsia="zh-CN"/>
        </w:rPr>
        <w:t>，当事人生产的</w:t>
      </w:r>
      <w:r>
        <w:rPr>
          <w:rFonts w:hint="eastAsia" w:ascii="仿宋" w:hAnsi="仿宋" w:eastAsia="仿宋" w:cs="仿宋"/>
          <w:color w:val="000000"/>
          <w:spacing w:val="0"/>
          <w:u w:val="none" w:color="auto"/>
          <w:lang w:val="en-US" w:eastAsia="zh-CN"/>
        </w:rPr>
        <w:t>医用超声雾化器（型号规格：MI-M780，产品批号：M780180801，产品编号：M780180801</w:t>
      </w:r>
      <w:r>
        <w:rPr>
          <w:rFonts w:hint="eastAsia" w:ascii="仿宋" w:hAnsi="仿宋" w:cs="仿宋"/>
          <w:color w:val="000000"/>
          <w:spacing w:val="0"/>
          <w:u w:val="none" w:color="auto"/>
          <w:lang w:val="en-US" w:eastAsia="zh-CN"/>
        </w:rPr>
        <w:t>0258</w:t>
      </w:r>
      <w:r>
        <w:rPr>
          <w:rFonts w:hint="eastAsia" w:ascii="仿宋" w:hAnsi="仿宋" w:eastAsia="仿宋" w:cs="仿宋"/>
          <w:color w:val="000000"/>
          <w:spacing w:val="0"/>
          <w:u w:val="none" w:color="auto"/>
          <w:lang w:val="en-US" w:eastAsia="zh-CN"/>
        </w:rPr>
        <w:t>）</w:t>
      </w:r>
      <w:r>
        <w:rPr>
          <w:rFonts w:hint="eastAsia" w:ascii="仿宋" w:hAnsi="仿宋" w:eastAsia="仿宋" w:cs="仿宋"/>
          <w:color w:val="auto"/>
          <w:u w:val="none" w:color="auto"/>
          <w:lang w:val="en-US" w:eastAsia="zh-CN"/>
        </w:rPr>
        <w:t>经检验，被检样品所检项目“超声振荡频率偏差”不符合安全试验（YY0109-2013）的要求。执法人员于</w:t>
      </w:r>
      <w:r>
        <w:rPr>
          <w:rFonts w:hint="eastAsia" w:ascii="仿宋" w:hAnsi="仿宋" w:eastAsia="仿宋" w:cs="仿宋"/>
          <w:color w:val="000000"/>
          <w:spacing w:val="0"/>
          <w:u w:val="none" w:color="auto"/>
          <w:lang w:val="en-US" w:eastAsia="zh-CN"/>
        </w:rPr>
        <w:t>2020年1月8日</w:t>
      </w:r>
      <w:r>
        <w:rPr>
          <w:rFonts w:hint="eastAsia" w:ascii="仿宋" w:hAnsi="仿宋" w:eastAsia="仿宋" w:cs="仿宋"/>
          <w:color w:val="auto"/>
          <w:u w:val="none" w:color="auto"/>
          <w:lang w:val="en-US" w:eastAsia="zh-CN"/>
        </w:rPr>
        <w:t>到达</w:t>
      </w:r>
      <w:r>
        <w:rPr>
          <w:rFonts w:hint="eastAsia" w:ascii="仿宋" w:hAnsi="仿宋" w:eastAsia="仿宋" w:cs="仿宋"/>
          <w:color w:val="000000"/>
          <w:spacing w:val="0"/>
          <w:u w:val="none" w:color="auto"/>
          <w:lang w:eastAsia="zh-CN"/>
        </w:rPr>
        <w:t>深圳市摩力康医疗科技有限公司</w:t>
      </w:r>
      <w:r>
        <w:rPr>
          <w:rFonts w:hint="eastAsia" w:ascii="仿宋" w:hAnsi="仿宋" w:eastAsia="仿宋" w:cs="仿宋"/>
          <w:color w:val="auto"/>
          <w:u w:val="none" w:color="auto"/>
          <w:lang w:val="en-US" w:eastAsia="zh-CN"/>
        </w:rPr>
        <w:t>检查，现场已将检验报告（编号：</w:t>
      </w:r>
      <w:r>
        <w:rPr>
          <w:rFonts w:hint="eastAsia" w:ascii="仿宋" w:hAnsi="仿宋" w:eastAsia="仿宋" w:cs="仿宋"/>
          <w:color w:val="000000"/>
          <w:spacing w:val="0"/>
          <w:u w:val="none" w:color="auto"/>
          <w:lang w:val="en-US" w:eastAsia="zh-CN"/>
        </w:rPr>
        <w:t>CQ20191765</w:t>
      </w:r>
      <w:r>
        <w:rPr>
          <w:rFonts w:hint="eastAsia" w:ascii="仿宋" w:hAnsi="仿宋" w:eastAsia="仿宋" w:cs="仿宋"/>
          <w:color w:val="auto"/>
          <w:u w:val="none" w:color="auto"/>
          <w:lang w:val="en-US" w:eastAsia="zh-CN"/>
        </w:rPr>
        <w:t>）送达至企业，</w:t>
      </w:r>
      <w:r>
        <w:rPr>
          <w:rFonts w:hint="eastAsia" w:ascii="仿宋" w:hAnsi="仿宋" w:eastAsia="仿宋" w:cs="仿宋"/>
          <w:color w:val="000000"/>
          <w:spacing w:val="0"/>
          <w:u w:color="auto"/>
          <w:lang w:val="en-US" w:eastAsia="zh-CN"/>
        </w:rPr>
        <w:t>并对企业的生产场所进行现场检查。</w:t>
      </w:r>
      <w:r>
        <w:rPr>
          <w:rFonts w:hint="eastAsia" w:ascii="仿宋" w:hAnsi="仿宋" w:eastAsia="仿宋" w:cs="仿宋"/>
          <w:color w:val="000000"/>
          <w:spacing w:val="0"/>
          <w:u w:val="none" w:color="auto"/>
          <w:lang w:val="en-US" w:eastAsia="zh-CN"/>
        </w:rPr>
        <w:t>现场检查未</w:t>
      </w:r>
      <w:r>
        <w:rPr>
          <w:rFonts w:hint="eastAsia" w:ascii="仿宋" w:hAnsi="仿宋" w:eastAsia="仿宋" w:cs="仿宋"/>
          <w:color w:val="000000"/>
          <w:spacing w:val="0"/>
          <w:u w:color="auto"/>
          <w:lang w:val="en-US" w:eastAsia="zh-CN"/>
        </w:rPr>
        <w:t>检验</w:t>
      </w:r>
      <w:r>
        <w:rPr>
          <w:rFonts w:hint="eastAsia" w:ascii="仿宋" w:hAnsi="仿宋" w:eastAsia="仿宋" w:cs="仿宋"/>
          <w:color w:val="auto"/>
          <w:u w:val="none" w:color="auto"/>
          <w:lang w:val="en-US" w:eastAsia="zh-CN"/>
        </w:rPr>
        <w:t>报告中涉及的同编号</w:t>
      </w:r>
      <w:r>
        <w:rPr>
          <w:rFonts w:hint="eastAsia" w:ascii="仿宋" w:hAnsi="仿宋" w:eastAsia="仿宋" w:cs="仿宋"/>
          <w:color w:val="000000"/>
          <w:spacing w:val="0"/>
          <w:u w:val="none" w:color="auto"/>
          <w:lang w:val="en-US" w:eastAsia="zh-CN"/>
        </w:rPr>
        <w:t>产品。</w:t>
      </w:r>
      <w:r>
        <w:rPr>
          <w:rFonts w:hint="eastAsia" w:ascii="仿宋" w:hAnsi="仿宋" w:eastAsia="仿宋" w:cs="仿宋"/>
          <w:color w:val="auto"/>
          <w:u w:val="none" w:color="auto"/>
          <w:lang w:val="en-US" w:eastAsia="zh-CN"/>
        </w:rPr>
        <w:t>我局对此进行立案调查。</w:t>
      </w:r>
    </w:p>
    <w:p>
      <w:pPr>
        <w:pStyle w:val="2"/>
        <w:keepNext w:val="0"/>
        <w:keepLines w:val="0"/>
        <w:pageBreakBefore w:val="0"/>
        <w:widowControl w:val="0"/>
        <w:tabs>
          <w:tab w:val="left" w:pos="8964"/>
        </w:tabs>
        <w:kinsoku/>
        <w:wordWrap/>
        <w:overflowPunct/>
        <w:topLinePunct w:val="0"/>
        <w:autoSpaceDE/>
        <w:autoSpaceDN/>
        <w:bidi w:val="0"/>
        <w:adjustRightInd/>
        <w:snapToGrid/>
        <w:spacing w:before="0" w:beforeLines="0" w:afterLines="0" w:line="540" w:lineRule="exact"/>
        <w:ind w:left="0" w:firstLine="640" w:firstLineChars="200"/>
        <w:jc w:val="both"/>
        <w:textAlignment w:val="auto"/>
        <w:rPr>
          <w:rFonts w:hint="eastAsia" w:ascii="仿宋" w:hAnsi="仿宋" w:eastAsia="仿宋" w:cs="仿宋"/>
          <w:color w:val="auto"/>
          <w:u w:val="none" w:color="auto"/>
          <w:lang w:eastAsia="zh-CN"/>
        </w:rPr>
      </w:pPr>
      <w:r>
        <w:rPr>
          <w:rFonts w:hint="eastAsia" w:ascii="仿宋" w:hAnsi="仿宋" w:eastAsia="仿宋" w:cs="仿宋"/>
          <w:color w:val="auto"/>
          <w:u w:val="none" w:color="auto"/>
          <w:lang w:val="en-US" w:eastAsia="zh-CN"/>
        </w:rPr>
        <w:t>经调查，当事人</w:t>
      </w:r>
      <w:r>
        <w:rPr>
          <w:rFonts w:hint="eastAsia" w:ascii="仿宋" w:hAnsi="仿宋" w:eastAsia="仿宋" w:cs="仿宋"/>
          <w:color w:val="auto"/>
          <w:u w:val="none" w:color="auto"/>
          <w:lang w:eastAsia="zh-CN"/>
        </w:rPr>
        <w:t>生产的</w:t>
      </w:r>
      <w:r>
        <w:rPr>
          <w:rFonts w:hint="eastAsia" w:ascii="仿宋" w:hAnsi="仿宋" w:eastAsia="仿宋" w:cs="仿宋"/>
          <w:color w:val="000000"/>
          <w:spacing w:val="0"/>
          <w:u w:val="none" w:color="auto"/>
          <w:lang w:val="en-US" w:eastAsia="zh-CN"/>
        </w:rPr>
        <w:t>医用超声雾化器（型号规格：MI-M780，产品批号：M780180801，产品编号：M780180801</w:t>
      </w:r>
      <w:r>
        <w:rPr>
          <w:rFonts w:hint="eastAsia" w:ascii="仿宋" w:hAnsi="仿宋" w:cs="仿宋"/>
          <w:color w:val="000000"/>
          <w:spacing w:val="0"/>
          <w:u w:val="none" w:color="auto"/>
          <w:lang w:val="en-US" w:eastAsia="zh-CN"/>
        </w:rPr>
        <w:t>0258</w:t>
      </w:r>
      <w:r>
        <w:rPr>
          <w:rFonts w:hint="eastAsia" w:ascii="仿宋" w:hAnsi="仿宋" w:eastAsia="仿宋" w:cs="仿宋"/>
          <w:color w:val="000000"/>
          <w:spacing w:val="0"/>
          <w:u w:val="none" w:color="auto"/>
          <w:lang w:val="en-US" w:eastAsia="zh-CN"/>
        </w:rPr>
        <w:t>）经检验，被检样品所检项目“超声振荡频率偏差”不符合</w:t>
      </w:r>
      <w:r>
        <w:rPr>
          <w:rFonts w:hint="eastAsia" w:ascii="仿宋" w:hAnsi="仿宋" w:eastAsia="仿宋" w:cs="仿宋"/>
          <w:color w:val="auto"/>
          <w:u w:val="none" w:color="auto"/>
          <w:lang w:val="en-US" w:eastAsia="zh-CN"/>
        </w:rPr>
        <w:t>安全试验（YY0109-2013）</w:t>
      </w:r>
      <w:r>
        <w:rPr>
          <w:rFonts w:hint="eastAsia" w:ascii="仿宋" w:hAnsi="仿宋" w:eastAsia="仿宋" w:cs="仿宋"/>
          <w:color w:val="000000"/>
          <w:spacing w:val="0"/>
          <w:u w:val="none" w:color="auto"/>
          <w:lang w:val="en-US" w:eastAsia="zh-CN"/>
        </w:rPr>
        <w:t>的要求。上述产品共生产了1个，被深圳市医疗器械检测中心抽检，同类产品销售价格是87元/台，货值为87元。上述事实，主要有以下证据证明：1.检验报告（编号：CQ20191765）。2.于学锋的询问调查笔录。3.当事人的生产记录、检测记录等相关记录。</w:t>
      </w:r>
    </w:p>
    <w:p>
      <w:pPr>
        <w:pStyle w:val="2"/>
        <w:keepNext w:val="0"/>
        <w:keepLines w:val="0"/>
        <w:pageBreakBefore w:val="0"/>
        <w:widowControl w:val="0"/>
        <w:tabs>
          <w:tab w:val="left" w:pos="8964"/>
        </w:tabs>
        <w:kinsoku/>
        <w:wordWrap/>
        <w:overflowPunct/>
        <w:topLinePunct w:val="0"/>
        <w:autoSpaceDE/>
        <w:autoSpaceDN/>
        <w:bidi w:val="0"/>
        <w:adjustRightInd/>
        <w:snapToGrid/>
        <w:spacing w:before="0" w:beforeLines="0" w:afterLines="0" w:line="540" w:lineRule="exact"/>
        <w:ind w:left="0" w:firstLine="640" w:firstLineChars="200"/>
        <w:jc w:val="both"/>
        <w:textAlignment w:val="auto"/>
        <w:rPr>
          <w:rFonts w:hint="eastAsia" w:ascii="仿宋" w:hAnsi="仿宋" w:eastAsia="仿宋" w:cs="仿宋"/>
          <w:color w:val="000000"/>
          <w:spacing w:val="0"/>
          <w:u w:val="none" w:color="auto"/>
          <w:lang w:val="en-US" w:eastAsia="zh-CN"/>
        </w:rPr>
      </w:pPr>
      <w:r>
        <w:rPr>
          <w:rFonts w:hint="eastAsia" w:ascii="仿宋" w:hAnsi="仿宋" w:eastAsia="仿宋" w:cs="仿宋"/>
          <w:color w:val="auto"/>
          <w:u w:val="none" w:color="auto"/>
          <w:lang w:val="en-US" w:eastAsia="zh-CN"/>
        </w:rPr>
        <w:t>我局在作出本行政处罚决定前，已于2020年6月15日将《行政处罚告知书》（粤药监稽械罚告〔2020〕3010号）送达给当事人，告知其拟作出行政处罚决定的事实、理由及依据，并告知当事人依法享有陈</w:t>
      </w:r>
      <w:r>
        <w:rPr>
          <w:rFonts w:hint="eastAsia" w:ascii="仿宋" w:hAnsi="仿宋" w:eastAsia="仿宋" w:cs="仿宋"/>
          <w:color w:val="000000"/>
          <w:spacing w:val="0"/>
          <w:u w:val="none" w:color="auto"/>
          <w:lang w:val="en-US" w:eastAsia="zh-CN"/>
        </w:rPr>
        <w:t>述权、申辩权等权利。当事人没有在规定期限内提出陈述、申辩。</w:t>
      </w:r>
    </w:p>
    <w:p>
      <w:pPr>
        <w:pStyle w:val="2"/>
        <w:keepNext w:val="0"/>
        <w:keepLines w:val="0"/>
        <w:pageBreakBefore w:val="0"/>
        <w:widowControl w:val="0"/>
        <w:tabs>
          <w:tab w:val="left" w:pos="8920"/>
        </w:tabs>
        <w:kinsoku/>
        <w:wordWrap/>
        <w:overflowPunct/>
        <w:topLinePunct w:val="0"/>
        <w:autoSpaceDE/>
        <w:autoSpaceDN/>
        <w:bidi w:val="0"/>
        <w:adjustRightInd/>
        <w:snapToGrid/>
        <w:spacing w:beforeLines="0" w:afterLines="0" w:line="540" w:lineRule="exact"/>
        <w:ind w:left="0" w:firstLine="640" w:firstLineChars="200"/>
        <w:textAlignment w:val="auto"/>
        <w:rPr>
          <w:rFonts w:hint="eastAsia" w:ascii="仿宋" w:hAnsi="仿宋" w:eastAsia="仿宋" w:cs="仿宋"/>
          <w:color w:val="000000"/>
          <w:spacing w:val="0"/>
          <w:u w:val="none" w:color="auto"/>
          <w:lang w:val="en-US" w:eastAsia="zh-CN"/>
        </w:rPr>
      </w:pPr>
      <w:r>
        <w:rPr>
          <w:rFonts w:hint="eastAsia" w:ascii="仿宋" w:hAnsi="仿宋" w:eastAsia="仿宋" w:cs="仿宋"/>
          <w:color w:val="auto"/>
          <w:u w:val="none" w:color="auto"/>
          <w:lang w:eastAsia="zh-CN"/>
        </w:rPr>
        <w:t>当事人在收到检验报告后，主动配合执法人员对涉案产品进行查封，对已卖出的产品进行召回，详细剖析了问题产生的原因，及时中止了违法行为。根据</w:t>
      </w:r>
      <w:bookmarkStart w:id="0" w:name="OLE_LINK3"/>
      <w:r>
        <w:rPr>
          <w:rFonts w:hint="eastAsia" w:ascii="仿宋" w:hAnsi="仿宋" w:eastAsia="仿宋" w:cs="仿宋"/>
          <w:color w:val="auto"/>
          <w:u w:val="none" w:color="auto"/>
          <w:lang w:eastAsia="zh-CN"/>
        </w:rPr>
        <w:t>《广东省食品药品监督管理局规范行政处罚自由裁量权适用规则》第七条第（三）项</w:t>
      </w:r>
      <w:bookmarkEnd w:id="0"/>
      <w:r>
        <w:rPr>
          <w:rFonts w:hint="eastAsia" w:ascii="仿宋" w:hAnsi="仿宋" w:eastAsia="仿宋" w:cs="仿宋"/>
          <w:color w:val="auto"/>
          <w:u w:val="none" w:color="auto"/>
          <w:lang w:eastAsia="zh-CN"/>
        </w:rPr>
        <w:t>的规定，依法给予从轻处罚。</w:t>
      </w:r>
    </w:p>
    <w:p>
      <w:pPr>
        <w:pStyle w:val="2"/>
        <w:keepNext w:val="0"/>
        <w:keepLines w:val="0"/>
        <w:pageBreakBefore w:val="0"/>
        <w:widowControl w:val="0"/>
        <w:tabs>
          <w:tab w:val="left" w:pos="8964"/>
        </w:tabs>
        <w:kinsoku/>
        <w:wordWrap/>
        <w:overflowPunct/>
        <w:topLinePunct w:val="0"/>
        <w:autoSpaceDE/>
        <w:autoSpaceDN/>
        <w:bidi w:val="0"/>
        <w:adjustRightInd/>
        <w:snapToGrid/>
        <w:spacing w:before="0" w:beforeLines="0" w:afterLines="0" w:line="540" w:lineRule="exact"/>
        <w:ind w:left="0" w:firstLine="640" w:firstLineChars="200"/>
        <w:jc w:val="both"/>
        <w:textAlignment w:val="auto"/>
        <w:rPr>
          <w:rFonts w:hint="eastAsia" w:ascii="仿宋" w:hAnsi="仿宋" w:eastAsia="仿宋" w:cs="仿宋"/>
          <w:color w:val="000000"/>
          <w:spacing w:val="0"/>
          <w:u w:val="none" w:color="auto"/>
          <w:lang w:val="en-US" w:eastAsia="zh-CN"/>
        </w:rPr>
      </w:pPr>
      <w:r>
        <w:rPr>
          <w:rFonts w:hint="eastAsia" w:ascii="仿宋" w:hAnsi="仿宋" w:eastAsia="仿宋" w:cs="仿宋"/>
          <w:color w:val="000000"/>
          <w:spacing w:val="0"/>
          <w:u w:val="none" w:color="auto"/>
          <w:lang w:val="en-US" w:eastAsia="zh-CN"/>
        </w:rPr>
        <w:t>当事人生产</w:t>
      </w:r>
      <w:r>
        <w:rPr>
          <w:rFonts w:hint="eastAsia" w:ascii="仿宋" w:hAnsi="仿宋" w:eastAsia="仿宋"/>
          <w:sz w:val="32"/>
          <w:szCs w:val="32"/>
        </w:rPr>
        <w:t>不符合</w:t>
      </w:r>
      <w:r>
        <w:rPr>
          <w:rFonts w:hint="eastAsia" w:ascii="仿宋" w:hAnsi="仿宋" w:eastAsia="仿宋"/>
          <w:sz w:val="32"/>
          <w:szCs w:val="32"/>
          <w:lang w:eastAsia="zh-CN"/>
        </w:rPr>
        <w:t>国家技术</w:t>
      </w:r>
      <w:r>
        <w:rPr>
          <w:rFonts w:hint="eastAsia" w:ascii="仿宋" w:hAnsi="仿宋" w:eastAsia="仿宋"/>
          <w:sz w:val="32"/>
          <w:szCs w:val="32"/>
        </w:rPr>
        <w:t>标准的医疗器械</w:t>
      </w:r>
      <w:r>
        <w:rPr>
          <w:rFonts w:hint="eastAsia" w:ascii="仿宋" w:hAnsi="仿宋" w:eastAsia="仿宋" w:cs="仿宋"/>
          <w:color w:val="000000"/>
          <w:spacing w:val="0"/>
          <w:u w:val="none" w:color="auto"/>
          <w:lang w:val="en-US" w:eastAsia="zh-CN"/>
        </w:rPr>
        <w:t>行为，违反了《医疗器械监督管理条例》第二十四条第一款的规定：</w:t>
      </w:r>
      <w:r>
        <w:rPr>
          <w:rFonts w:hint="default" w:ascii="仿宋" w:hAnsi="仿宋" w:eastAsia="仿宋" w:cs="仿宋"/>
          <w:color w:val="000000"/>
          <w:spacing w:val="0"/>
          <w:u w:val="none" w:color="auto"/>
          <w:lang w:val="en-US" w:eastAsia="zh-CN"/>
        </w:rPr>
        <w:t>医疗器械生产企业应当按照医疗器械生产质量管理规范的要求，建立健全与所生产医疗器械相适应的质量管理体系并保证其有效运行；严格按照经注册或者备案的产品技术要求组织生产，保证出厂的医疗器械符合强制性标准以及经注册或者备案的产品技术要求。</w:t>
      </w:r>
      <w:r>
        <w:rPr>
          <w:rFonts w:hint="eastAsia" w:ascii="仿宋" w:hAnsi="仿宋" w:eastAsia="仿宋" w:cs="仿宋"/>
          <w:color w:val="000000"/>
          <w:spacing w:val="0"/>
          <w:u w:val="none" w:color="auto"/>
          <w:lang w:val="en-US" w:eastAsia="zh-CN"/>
        </w:rPr>
        <w:t xml:space="preserve">                 </w:t>
      </w:r>
    </w:p>
    <w:p>
      <w:pPr>
        <w:pStyle w:val="2"/>
        <w:keepNext w:val="0"/>
        <w:keepLines w:val="0"/>
        <w:pageBreakBefore w:val="0"/>
        <w:widowControl w:val="0"/>
        <w:tabs>
          <w:tab w:val="left" w:pos="8964"/>
        </w:tabs>
        <w:kinsoku/>
        <w:wordWrap/>
        <w:overflowPunct/>
        <w:topLinePunct w:val="0"/>
        <w:autoSpaceDE/>
        <w:autoSpaceDN/>
        <w:bidi w:val="0"/>
        <w:adjustRightInd/>
        <w:snapToGrid/>
        <w:spacing w:before="0" w:beforeLines="0" w:afterLines="0" w:line="540" w:lineRule="exact"/>
        <w:ind w:left="0" w:firstLine="640" w:firstLineChars="200"/>
        <w:jc w:val="both"/>
        <w:textAlignment w:val="auto"/>
        <w:rPr>
          <w:rFonts w:hint="eastAsia" w:ascii="仿宋" w:hAnsi="仿宋" w:eastAsia="仿宋" w:cs="仿宋"/>
          <w:color w:val="000000"/>
          <w:spacing w:val="0"/>
          <w:u w:val="none" w:color="auto"/>
          <w:lang w:val="en-US" w:eastAsia="zh-CN"/>
        </w:rPr>
      </w:pPr>
      <w:r>
        <w:rPr>
          <w:rFonts w:hint="eastAsia" w:ascii="仿宋" w:hAnsi="仿宋" w:eastAsia="仿宋" w:cs="仿宋"/>
          <w:color w:val="000000"/>
          <w:spacing w:val="0"/>
          <w:u w:val="none" w:color="auto"/>
          <w:lang w:val="en-US" w:eastAsia="zh-CN"/>
        </w:rPr>
        <w:t>依据《医疗器械监督管理条例》第六十六条第一款第（一）项“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一）</w:t>
      </w:r>
      <w:r>
        <w:rPr>
          <w:rFonts w:hint="default" w:ascii="仿宋" w:hAnsi="仿宋" w:eastAsia="仿宋" w:cs="仿宋"/>
          <w:color w:val="000000"/>
          <w:spacing w:val="0"/>
          <w:u w:val="none" w:color="auto"/>
          <w:lang w:val="en-US" w:eastAsia="zh-CN"/>
        </w:rPr>
        <w:t>生产、经营、使用不符合强制性标准或者不符合经注册或者备案的产品技术要求的医疗器械的</w:t>
      </w:r>
      <w:r>
        <w:rPr>
          <w:rFonts w:hint="eastAsia" w:ascii="仿宋" w:hAnsi="仿宋" w:eastAsia="仿宋" w:cs="仿宋"/>
          <w:color w:val="000000"/>
          <w:spacing w:val="0"/>
          <w:u w:val="none" w:color="auto"/>
          <w:lang w:val="en-US" w:eastAsia="zh-CN"/>
        </w:rPr>
        <w:t xml:space="preserve">”和《广东省食品药品监督管理局规范行政处罚自由裁量权适用规则》第七条第（三）项“当事人有下列情形之一的，应当依法从轻处罚：（三）能够主动改正或者及时中止违法行为，且其违法行为未造成严重后果的”的规定，现对当事人给予罚款21000元的行政处罚。                                                 </w:t>
      </w:r>
    </w:p>
    <w:p>
      <w:pPr>
        <w:pStyle w:val="2"/>
        <w:keepNext w:val="0"/>
        <w:keepLines w:val="0"/>
        <w:pageBreakBefore w:val="0"/>
        <w:widowControl w:val="0"/>
        <w:tabs>
          <w:tab w:val="left" w:pos="8964"/>
        </w:tabs>
        <w:kinsoku/>
        <w:wordWrap/>
        <w:overflowPunct/>
        <w:topLinePunct w:val="0"/>
        <w:autoSpaceDE/>
        <w:autoSpaceDN/>
        <w:bidi w:val="0"/>
        <w:adjustRightInd/>
        <w:snapToGrid/>
        <w:spacing w:before="0" w:beforeLines="0" w:afterLines="0" w:line="540" w:lineRule="exact"/>
        <w:ind w:left="0" w:firstLine="640" w:firstLineChars="200"/>
        <w:jc w:val="both"/>
        <w:textAlignment w:val="auto"/>
        <w:rPr>
          <w:rFonts w:hint="eastAsia" w:ascii="仿宋" w:hAnsi="仿宋" w:eastAsia="仿宋" w:cs="仿宋"/>
          <w:color w:val="000000"/>
          <w:u w:val="none" w:color="auto"/>
          <w:lang w:val="en-US" w:eastAsia="zh-CN"/>
        </w:rPr>
      </w:pPr>
      <w:r>
        <w:rPr>
          <w:rFonts w:hint="eastAsia" w:ascii="仿宋" w:hAnsi="仿宋" w:eastAsia="仿宋" w:cs="仿宋"/>
          <w:color w:val="000000"/>
          <w:spacing w:val="0"/>
          <w:u w:val="none" w:color="auto"/>
          <w:lang w:val="en-US" w:eastAsia="zh-CN"/>
        </w:rPr>
        <w:t>当事人如不服本行政处罚决定，可以在收到本行政处罚决定书之日起60日内向广东省人民政府或者向国家药品监督管理局申请行政复议；也可以在六个月内依法向广州铁路运输法院提起行政诉讼。申请行政复议或者提起行政诉讼期间，行政处罚不停止执行。</w:t>
      </w:r>
    </w:p>
    <w:p>
      <w:pPr>
        <w:pStyle w:val="2"/>
        <w:keepNext w:val="0"/>
        <w:keepLines w:val="0"/>
        <w:pageBreakBefore w:val="0"/>
        <w:widowControl w:val="0"/>
        <w:tabs>
          <w:tab w:val="left" w:pos="5003"/>
        </w:tabs>
        <w:kinsoku/>
        <w:wordWrap/>
        <w:overflowPunct/>
        <w:topLinePunct w:val="0"/>
        <w:autoSpaceDE/>
        <w:autoSpaceDN/>
        <w:bidi w:val="0"/>
        <w:snapToGrid/>
        <w:spacing w:beforeLines="0" w:afterLines="0" w:line="460" w:lineRule="exact"/>
        <w:ind w:left="0"/>
        <w:jc w:val="right"/>
        <w:textAlignment w:val="auto"/>
        <w:rPr>
          <w:rFonts w:hint="eastAsia" w:ascii="仿宋" w:hAnsi="仿宋" w:eastAsia="仿宋" w:cs="仿宋"/>
          <w:color w:val="000000"/>
          <w:u w:val="none" w:color="auto"/>
          <w:lang w:val="en-US" w:eastAsia="zh-CN"/>
        </w:rPr>
      </w:pPr>
    </w:p>
    <w:p>
      <w:pPr>
        <w:pStyle w:val="2"/>
        <w:keepNext w:val="0"/>
        <w:keepLines w:val="0"/>
        <w:pageBreakBefore w:val="0"/>
        <w:widowControl w:val="0"/>
        <w:tabs>
          <w:tab w:val="left" w:pos="5003"/>
        </w:tabs>
        <w:kinsoku/>
        <w:wordWrap w:val="0"/>
        <w:overflowPunct/>
        <w:topLinePunct w:val="0"/>
        <w:autoSpaceDE/>
        <w:autoSpaceDN/>
        <w:bidi w:val="0"/>
        <w:snapToGrid/>
        <w:spacing w:beforeLines="0" w:afterLines="0" w:line="460" w:lineRule="exact"/>
        <w:ind w:left="0"/>
        <w:jc w:val="right"/>
        <w:textAlignment w:val="auto"/>
        <w:rPr>
          <w:rFonts w:hint="eastAsia" w:ascii="仿宋" w:hAnsi="仿宋" w:eastAsia="仿宋" w:cs="仿宋"/>
          <w:color w:val="000000"/>
          <w:u w:val="none" w:color="auto"/>
          <w:lang w:val="en-US" w:eastAsia="zh-CN"/>
        </w:rPr>
      </w:pPr>
    </w:p>
    <w:p>
      <w:pPr>
        <w:pStyle w:val="2"/>
        <w:keepNext w:val="0"/>
        <w:keepLines w:val="0"/>
        <w:pageBreakBefore w:val="0"/>
        <w:widowControl w:val="0"/>
        <w:tabs>
          <w:tab w:val="left" w:pos="5003"/>
        </w:tabs>
        <w:kinsoku/>
        <w:wordWrap/>
        <w:overflowPunct/>
        <w:topLinePunct w:val="0"/>
        <w:autoSpaceDE/>
        <w:autoSpaceDN/>
        <w:bidi w:val="0"/>
        <w:snapToGrid/>
        <w:spacing w:beforeLines="0" w:afterLines="0" w:line="460" w:lineRule="exact"/>
        <w:ind w:firstLine="3200" w:firstLineChars="1000"/>
        <w:jc w:val="both"/>
        <w:textAlignment w:val="auto"/>
        <w:rPr>
          <w:rFonts w:hint="eastAsia" w:ascii="仿宋" w:hAnsi="仿宋" w:eastAsia="仿宋" w:cs="仿宋"/>
          <w:color w:val="000000"/>
          <w:u w:val="none" w:color="auto"/>
          <w:lang w:eastAsia="zh-CN"/>
        </w:rPr>
      </w:pPr>
      <w:r>
        <w:rPr>
          <w:rFonts w:hint="eastAsia" w:ascii="仿宋" w:hAnsi="仿宋" w:eastAsia="仿宋" w:cs="仿宋"/>
          <w:color w:val="000000"/>
          <w:u w:val="none" w:color="auto"/>
          <w:lang w:val="en-US" w:eastAsia="zh-CN"/>
        </w:rPr>
        <w:t xml:space="preserve">    </w:t>
      </w:r>
      <w:r>
        <w:rPr>
          <w:rFonts w:hint="eastAsia" w:ascii="仿宋" w:hAnsi="仿宋" w:eastAsia="仿宋" w:cs="仿宋"/>
          <w:color w:val="000000"/>
          <w:u w:val="none" w:color="auto"/>
          <w:lang w:eastAsia="zh-CN"/>
        </w:rPr>
        <w:t>广东省药品监督管理局</w:t>
      </w:r>
      <w:r>
        <w:rPr>
          <w:rFonts w:hint="eastAsia" w:ascii="仿宋" w:hAnsi="仿宋" w:eastAsia="仿宋" w:cs="仿宋"/>
          <w:color w:val="000000"/>
          <w:u w:val="none" w:color="auto"/>
          <w:lang w:val="en-US" w:eastAsia="zh-CN"/>
        </w:rPr>
        <w:t xml:space="preserve">      </w:t>
      </w:r>
      <w:r>
        <w:rPr>
          <w:rFonts w:hint="eastAsia" w:ascii="仿宋" w:hAnsi="仿宋" w:eastAsia="仿宋" w:cs="仿宋"/>
          <w:color w:val="000000"/>
          <w:spacing w:val="0"/>
          <w:u w:val="none" w:color="auto"/>
          <w:lang w:val="en-US" w:eastAsia="zh-CN"/>
        </w:rPr>
        <w:t xml:space="preserve">        </w:t>
      </w:r>
      <w:r>
        <w:rPr>
          <w:rFonts w:hint="eastAsia" w:ascii="仿宋" w:hAnsi="仿宋" w:eastAsia="仿宋" w:cs="仿宋"/>
          <w:color w:val="000000"/>
          <w:u w:val="none" w:color="auto"/>
          <w:lang w:val="en-US" w:eastAsia="zh-CN"/>
        </w:rPr>
        <w:t xml:space="preserve">      </w:t>
      </w:r>
      <w:r>
        <w:rPr>
          <w:rFonts w:hint="eastAsia" w:ascii="仿宋" w:hAnsi="仿宋" w:eastAsia="仿宋" w:cs="仿宋"/>
          <w:color w:val="000000"/>
          <w:spacing w:val="0"/>
          <w:u w:val="none" w:color="auto"/>
          <w:lang w:val="en-US" w:eastAsia="zh-CN"/>
        </w:rPr>
        <w:t xml:space="preserve">        </w:t>
      </w:r>
    </w:p>
    <w:p>
      <w:pPr>
        <w:pStyle w:val="2"/>
        <w:keepNext w:val="0"/>
        <w:keepLines w:val="0"/>
        <w:pageBreakBefore w:val="0"/>
        <w:widowControl w:val="0"/>
        <w:tabs>
          <w:tab w:val="left" w:pos="5083"/>
          <w:tab w:val="left" w:pos="6043"/>
        </w:tabs>
        <w:kinsoku/>
        <w:overflowPunct/>
        <w:topLinePunct w:val="0"/>
        <w:autoSpaceDE/>
        <w:autoSpaceDN/>
        <w:bidi w:val="0"/>
        <w:snapToGrid/>
        <w:spacing w:before="0" w:beforeLines="0" w:afterLines="0" w:line="560" w:lineRule="exact"/>
        <w:ind w:left="0" w:right="1280" w:rightChars="400"/>
        <w:jc w:val="right"/>
        <w:textAlignment w:val="auto"/>
        <w:rPr>
          <w:rFonts w:hint="eastAsia" w:ascii="仿宋" w:hAnsi="仿宋" w:eastAsia="仿宋" w:cs="仿宋"/>
          <w:snapToGrid w:val="0"/>
          <w:color w:val="000000"/>
          <w:spacing w:val="0"/>
          <w:w w:val="90"/>
          <w:sz w:val="30"/>
          <w:szCs w:val="30"/>
          <w:lang w:eastAsia="zh-CN"/>
        </w:rPr>
      </w:pPr>
      <w:r>
        <w:rPr>
          <w:rFonts w:hint="eastAsia" w:ascii="仿宋" w:hAnsi="仿宋" w:eastAsia="仿宋" w:cs="仿宋"/>
          <w:color w:val="auto"/>
          <w:u w:val="none" w:color="auto"/>
          <w:lang w:val="en-US" w:eastAsia="zh-CN"/>
        </w:rPr>
        <w:t>2020</w:t>
      </w:r>
      <w:r>
        <w:rPr>
          <w:rFonts w:hint="eastAsia" w:ascii="仿宋" w:hAnsi="仿宋" w:eastAsia="仿宋" w:cs="仿宋"/>
          <w:color w:val="auto"/>
          <w:u w:val="none" w:color="auto"/>
          <w:lang w:eastAsia="zh-CN"/>
        </w:rPr>
        <w:t>年</w:t>
      </w:r>
      <w:r>
        <w:rPr>
          <w:rFonts w:hint="eastAsia" w:ascii="仿宋" w:hAnsi="仿宋" w:eastAsia="仿宋" w:cs="仿宋"/>
          <w:color w:val="auto"/>
          <w:u w:val="none" w:color="auto"/>
          <w:lang w:val="en-US" w:eastAsia="zh-CN"/>
        </w:rPr>
        <w:t>6</w:t>
      </w:r>
      <w:r>
        <w:rPr>
          <w:rFonts w:hint="eastAsia" w:ascii="仿宋" w:hAnsi="仿宋" w:eastAsia="仿宋" w:cs="仿宋"/>
          <w:color w:val="auto"/>
          <w:u w:val="none" w:color="auto"/>
          <w:lang w:eastAsia="zh-CN"/>
        </w:rPr>
        <w:t>月</w:t>
      </w:r>
      <w:r>
        <w:rPr>
          <w:rFonts w:hint="eastAsia" w:ascii="仿宋" w:hAnsi="仿宋" w:eastAsia="仿宋" w:cs="仿宋"/>
          <w:color w:val="auto"/>
          <w:u w:val="none" w:color="auto"/>
          <w:lang w:val="en-US" w:eastAsia="zh-CN"/>
        </w:rPr>
        <w:t>30</w:t>
      </w:r>
      <w:r>
        <w:rPr>
          <w:rFonts w:hint="eastAsia" w:ascii="仿宋" w:hAnsi="仿宋" w:eastAsia="仿宋" w:cs="仿宋"/>
          <w:color w:val="auto"/>
          <w:u w:val="none" w:color="auto"/>
          <w:lang w:eastAsia="zh-CN"/>
        </w:rPr>
        <w:t>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snapToGrid w:val="0"/>
          <w:color w:val="000000"/>
          <w:spacing w:val="0"/>
          <w:w w:val="90"/>
          <w:sz w:val="30"/>
          <w:szCs w:val="30"/>
          <w:lang w:eastAsia="zh-CN"/>
        </w:rPr>
      </w:pPr>
      <w:bookmarkStart w:id="1" w:name="_GoBack"/>
      <w:bookmarkEnd w:id="1"/>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snapToGrid w:val="0"/>
          <w:color w:val="000000"/>
          <w:spacing w:val="0"/>
          <w:w w:val="90"/>
          <w:sz w:val="30"/>
          <w:szCs w:val="30"/>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snapToGrid w:val="0"/>
          <w:color w:val="000000"/>
          <w:spacing w:val="0"/>
          <w:w w:val="90"/>
          <w:sz w:val="30"/>
          <w:szCs w:val="30"/>
          <w:lang w:eastAsia="zh-CN"/>
        </w:rPr>
      </w:pPr>
    </w:p>
    <w:tbl>
      <w:tblPr>
        <w:tblStyle w:val="5"/>
        <w:tblpPr w:leftFromText="180" w:rightFromText="180" w:vertAnchor="text" w:horzAnchor="page" w:tblpX="2027" w:tblpY="799"/>
        <w:tblOverlap w:val="never"/>
        <w:tblW w:w="9105" w:type="dxa"/>
        <w:tblInd w:w="0"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105"/>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725" w:hRule="atLeast"/>
        </w:trPr>
        <w:tc>
          <w:tcPr>
            <w:tcW w:w="9105" w:type="dxa"/>
            <w:tcBorders>
              <w:tl2br w:val="nil"/>
              <w:tr2bl w:val="nil"/>
            </w:tcBorders>
            <w:vAlign w:val="center"/>
          </w:tcPr>
          <w:p>
            <w:pPr>
              <w:keepNext w:val="0"/>
              <w:keepLines w:val="0"/>
              <w:pageBreakBefore w:val="0"/>
              <w:widowControl w:val="0"/>
              <w:kinsoku/>
              <w:overflowPunct/>
              <w:topLinePunct w:val="0"/>
              <w:autoSpaceDE/>
              <w:autoSpaceDN/>
              <w:bidi w:val="0"/>
              <w:snapToGrid/>
              <w:spacing w:line="560" w:lineRule="exact"/>
              <w:jc w:val="both"/>
              <w:textAlignment w:val="auto"/>
              <w:rPr>
                <w:rFonts w:hint="eastAsia" w:ascii="宋体" w:hAnsi="宋体" w:eastAsia="宋体" w:cs="宋体"/>
                <w:color w:val="000000"/>
                <w:kern w:val="2"/>
                <w:sz w:val="28"/>
                <w:szCs w:val="28"/>
                <w:vertAlign w:val="baseline"/>
                <w:lang w:val="en-US" w:eastAsia="zh-CN" w:bidi="ar-SA"/>
              </w:rPr>
            </w:pPr>
            <w:r>
              <w:rPr>
                <w:rFonts w:hint="eastAsia" w:ascii="宋体" w:hAnsi="宋体" w:eastAsia="宋体" w:cs="宋体"/>
                <w:color w:val="000000"/>
                <w:sz w:val="28"/>
                <w:szCs w:val="28"/>
                <w:lang w:eastAsia="zh-CN"/>
              </w:rPr>
              <w:t>本文书一式</w:t>
            </w:r>
            <w:r>
              <w:rPr>
                <w:rFonts w:hint="eastAsia" w:ascii="宋体" w:hAnsi="宋体" w:eastAsia="宋体" w:cs="宋体"/>
                <w:color w:val="000000"/>
                <w:sz w:val="28"/>
                <w:szCs w:val="28"/>
                <w:u w:val="single" w:color="231F20"/>
                <w:lang w:eastAsia="zh-CN"/>
              </w:rPr>
              <w:t>三</w:t>
            </w:r>
            <w:r>
              <w:rPr>
                <w:rFonts w:hint="eastAsia" w:ascii="宋体" w:hAnsi="宋体" w:eastAsia="宋体" w:cs="宋体"/>
                <w:color w:val="000000"/>
                <w:sz w:val="28"/>
                <w:szCs w:val="28"/>
                <w:lang w:eastAsia="zh-CN"/>
              </w:rPr>
              <w:t>份</w:t>
            </w:r>
            <w:r>
              <w:rPr>
                <w:rFonts w:hint="eastAsia" w:ascii="宋体" w:hAnsi="宋体" w:eastAsia="宋体" w:cs="宋体"/>
                <w:color w:val="000000"/>
                <w:sz w:val="28"/>
                <w:szCs w:val="28"/>
                <w:u w:val="none" w:color="auto"/>
                <w:lang w:eastAsia="zh-CN"/>
              </w:rPr>
              <w:t>，</w:t>
            </w:r>
            <w:r>
              <w:rPr>
                <w:rFonts w:hint="eastAsia" w:ascii="宋体" w:hAnsi="宋体" w:eastAsia="宋体" w:cs="宋体"/>
                <w:color w:val="000000"/>
                <w:sz w:val="28"/>
                <w:szCs w:val="28"/>
                <w:u w:val="single" w:color="231F20"/>
                <w:lang w:eastAsia="zh-CN"/>
              </w:rPr>
              <w:t>一</w:t>
            </w:r>
            <w:r>
              <w:rPr>
                <w:rFonts w:hint="eastAsia" w:ascii="宋体" w:hAnsi="宋体" w:eastAsia="宋体" w:cs="宋体"/>
                <w:color w:val="000000"/>
                <w:sz w:val="28"/>
                <w:szCs w:val="28"/>
                <w:lang w:eastAsia="zh-CN"/>
              </w:rPr>
              <w:t>份送达</w:t>
            </w:r>
            <w:r>
              <w:rPr>
                <w:rFonts w:hint="eastAsia" w:ascii="宋体" w:hAnsi="宋体" w:eastAsia="宋体" w:cs="宋体"/>
                <w:color w:val="000000"/>
                <w:spacing w:val="0"/>
                <w:sz w:val="28"/>
                <w:szCs w:val="28"/>
                <w:lang w:eastAsia="zh-CN"/>
              </w:rPr>
              <w:t>，</w:t>
            </w:r>
            <w:r>
              <w:rPr>
                <w:rFonts w:hint="eastAsia" w:ascii="宋体" w:hAnsi="宋体" w:eastAsia="宋体" w:cs="宋体"/>
                <w:color w:val="000000"/>
                <w:sz w:val="28"/>
                <w:szCs w:val="28"/>
                <w:lang w:eastAsia="zh-CN"/>
              </w:rPr>
              <w:t>一份归档</w:t>
            </w:r>
            <w:r>
              <w:rPr>
                <w:rFonts w:hint="eastAsia" w:ascii="宋体" w:hAnsi="宋体" w:eastAsia="宋体" w:cs="宋体"/>
                <w:color w:val="000000"/>
                <w:sz w:val="28"/>
                <w:szCs w:val="28"/>
                <w:u w:val="none" w:color="auto"/>
                <w:lang w:eastAsia="zh-CN"/>
              </w:rPr>
              <w:t>，</w:t>
            </w:r>
            <w:r>
              <w:rPr>
                <w:rFonts w:hint="eastAsia" w:ascii="宋体" w:hAnsi="宋体" w:eastAsia="宋体" w:cs="宋体"/>
                <w:color w:val="000000"/>
                <w:sz w:val="28"/>
                <w:szCs w:val="28"/>
                <w:u w:val="single" w:color="231F20"/>
                <w:lang w:eastAsia="zh-CN"/>
              </w:rPr>
              <w:t>一份备查</w:t>
            </w:r>
            <w:r>
              <w:rPr>
                <w:rFonts w:hint="eastAsia" w:ascii="宋体" w:hAnsi="宋体" w:eastAsia="宋体" w:cs="宋体"/>
                <w:color w:val="000000"/>
                <w:sz w:val="28"/>
                <w:szCs w:val="28"/>
                <w:lang w:eastAsia="zh-CN"/>
              </w:rPr>
              <w:t>。</w:t>
            </w:r>
          </w:p>
        </w:tc>
      </w:tr>
    </w:tbl>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pPr>
      <w:r>
        <w:rPr>
          <w:rFonts w:hint="eastAsia" w:ascii="仿宋" w:hAnsi="仿宋" w:eastAsia="仿宋" w:cs="仿宋"/>
          <w:snapToGrid w:val="0"/>
          <w:color w:val="000000"/>
          <w:spacing w:val="0"/>
          <w:w w:val="90"/>
          <w:sz w:val="30"/>
          <w:szCs w:val="30"/>
          <w:lang w:eastAsia="zh-CN"/>
        </w:rPr>
        <w:t>（</w:t>
      </w:r>
      <w:r>
        <w:rPr>
          <w:rFonts w:hint="eastAsia" w:ascii="仿宋" w:hAnsi="仿宋" w:eastAsia="仿宋" w:cs="仿宋"/>
          <w:snapToGrid w:val="0"/>
          <w:color w:val="000000"/>
          <w:w w:val="90"/>
          <w:sz w:val="30"/>
          <w:szCs w:val="30"/>
          <w:lang w:eastAsia="zh-CN"/>
        </w:rPr>
        <w:t>广东省药品监督管理局</w:t>
      </w:r>
      <w:r>
        <w:rPr>
          <w:rFonts w:hint="eastAsia" w:ascii="仿宋" w:hAnsi="仿宋" w:eastAsia="仿宋" w:cs="仿宋"/>
          <w:snapToGrid w:val="0"/>
          <w:color w:val="000000"/>
          <w:spacing w:val="0"/>
          <w:w w:val="90"/>
          <w:sz w:val="30"/>
          <w:szCs w:val="30"/>
          <w:lang w:eastAsia="zh-CN"/>
        </w:rPr>
        <w:t>将依法向社会公示本行政处罚决定信息）</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64453"/>
    <w:rsid w:val="01823BF3"/>
    <w:rsid w:val="03250269"/>
    <w:rsid w:val="06455083"/>
    <w:rsid w:val="0AFD15B7"/>
    <w:rsid w:val="0C5404DB"/>
    <w:rsid w:val="0E460433"/>
    <w:rsid w:val="10606383"/>
    <w:rsid w:val="10821291"/>
    <w:rsid w:val="1162708C"/>
    <w:rsid w:val="14831723"/>
    <w:rsid w:val="162C3D54"/>
    <w:rsid w:val="17192C4C"/>
    <w:rsid w:val="18242181"/>
    <w:rsid w:val="1CE97692"/>
    <w:rsid w:val="1DFE74B9"/>
    <w:rsid w:val="1E190A3F"/>
    <w:rsid w:val="1E370F7F"/>
    <w:rsid w:val="22010188"/>
    <w:rsid w:val="25BA26F0"/>
    <w:rsid w:val="26CF0B2A"/>
    <w:rsid w:val="296B3DE8"/>
    <w:rsid w:val="2A8C39C5"/>
    <w:rsid w:val="2B3D23B5"/>
    <w:rsid w:val="2D7D3512"/>
    <w:rsid w:val="2EFE6BBD"/>
    <w:rsid w:val="2F1D5C94"/>
    <w:rsid w:val="2F261963"/>
    <w:rsid w:val="30804B63"/>
    <w:rsid w:val="322D1147"/>
    <w:rsid w:val="3358111B"/>
    <w:rsid w:val="3B0941BF"/>
    <w:rsid w:val="3F070AE6"/>
    <w:rsid w:val="45667E93"/>
    <w:rsid w:val="458B0EF0"/>
    <w:rsid w:val="45B57DE2"/>
    <w:rsid w:val="46260AD2"/>
    <w:rsid w:val="48622485"/>
    <w:rsid w:val="4B3B6CE1"/>
    <w:rsid w:val="4C67521E"/>
    <w:rsid w:val="4CA92068"/>
    <w:rsid w:val="4EA93E9E"/>
    <w:rsid w:val="548A47BC"/>
    <w:rsid w:val="550F6FB1"/>
    <w:rsid w:val="55173041"/>
    <w:rsid w:val="551C1573"/>
    <w:rsid w:val="5C4A07B7"/>
    <w:rsid w:val="5C5364DF"/>
    <w:rsid w:val="5F3A0A7D"/>
    <w:rsid w:val="603D593E"/>
    <w:rsid w:val="63570391"/>
    <w:rsid w:val="66C91B28"/>
    <w:rsid w:val="6AEA0DA6"/>
    <w:rsid w:val="6B605BB9"/>
    <w:rsid w:val="6C9F3D1B"/>
    <w:rsid w:val="6F802AFE"/>
    <w:rsid w:val="720F1142"/>
    <w:rsid w:val="72AB5E98"/>
    <w:rsid w:val="743D1C2E"/>
    <w:rsid w:val="74D94B8F"/>
    <w:rsid w:val="750A5028"/>
    <w:rsid w:val="75426CA5"/>
    <w:rsid w:val="763E2A21"/>
    <w:rsid w:val="76495CDB"/>
    <w:rsid w:val="7C9A6FC1"/>
    <w:rsid w:val="7DFE15FB"/>
    <w:rsid w:val="7E790CBB"/>
    <w:rsid w:val="7FBE6413"/>
    <w:rsid w:val="7FC637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ind w:left="220"/>
      <w:jc w:val="left"/>
    </w:pPr>
    <w:rPr>
      <w:rFonts w:ascii="宋体" w:hAnsi="宋体" w:eastAsia="宋体" w:cs="Times New Roman"/>
      <w:kern w:val="0"/>
      <w:sz w:val="32"/>
      <w:szCs w:val="32"/>
      <w:lang w:eastAsia="en-US"/>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宋飛</cp:lastModifiedBy>
  <dcterms:modified xsi:type="dcterms:W3CDTF">2020-06-30T01:25:13Z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