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9"/>
        </w:tabs>
        <w:spacing w:line="590" w:lineRule="exact"/>
        <w:jc w:val="center"/>
        <w:rPr>
          <w:rFonts w:hint="eastAsia" w:ascii="方正小标宋简体" w:hAnsi="方正小标宋简体" w:eastAsia="方正小标宋简体" w:cs="方正小标宋简体"/>
          <w:color w:val="000000"/>
          <w:sz w:val="44"/>
          <w:szCs w:val="44"/>
        </w:rPr>
      </w:pPr>
    </w:p>
    <w:p>
      <w:pPr>
        <w:tabs>
          <w:tab w:val="left" w:pos="1279"/>
        </w:tabs>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广东省药品监督管理局</w:t>
      </w:r>
    </w:p>
    <w:p>
      <w:pPr>
        <w:tabs>
          <w:tab w:val="left" w:pos="1279"/>
        </w:tabs>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行政处罚决定书</w:t>
      </w:r>
    </w:p>
    <w:p>
      <w:pPr>
        <w:pStyle w:val="2"/>
        <w:tabs>
          <w:tab w:val="left" w:pos="319"/>
          <w:tab w:val="left" w:pos="1486"/>
          <w:tab w:val="left" w:pos="2353"/>
          <w:tab w:val="left" w:pos="3199"/>
        </w:tabs>
        <w:spacing w:line="590" w:lineRule="exact"/>
        <w:ind w:left="0"/>
        <w:jc w:val="center"/>
        <w:rPr>
          <w:rFonts w:ascii="仿宋_GB2312" w:hAnsi="仿宋" w:eastAsia="仿宋_GB2312" w:cs="仿宋"/>
          <w:color w:val="000000"/>
          <w:lang w:eastAsia="zh-CN"/>
        </w:rPr>
      </w:pPr>
      <w:r>
        <w:rPr>
          <w:rFonts w:hint="eastAsia" w:ascii="仿宋_GB2312" w:hAnsi="仿宋" w:eastAsia="仿宋_GB2312" w:cs="仿宋"/>
          <w:color w:val="000000"/>
          <w:lang w:eastAsia="zh-CN"/>
        </w:rPr>
        <w:t>粤药监药罚〔2020〕</w:t>
      </w:r>
      <w:r>
        <w:rPr>
          <w:rFonts w:hint="eastAsia" w:ascii="仿宋_GB2312" w:hAnsi="仿宋" w:eastAsia="仿宋_GB2312" w:cs="仿宋"/>
          <w:color w:val="000000"/>
          <w:lang w:val="en-US" w:eastAsia="zh-CN"/>
        </w:rPr>
        <w:t>2007</w:t>
      </w:r>
      <w:r>
        <w:rPr>
          <w:rFonts w:hint="eastAsia" w:ascii="仿宋_GB2312" w:hAnsi="仿宋" w:eastAsia="仿宋_GB2312" w:cs="仿宋"/>
          <w:color w:val="000000"/>
          <w:lang w:eastAsia="zh-CN"/>
        </w:rPr>
        <w:t>号</w:t>
      </w:r>
    </w:p>
    <w:p>
      <w:pPr>
        <w:spacing w:line="500" w:lineRule="exact"/>
        <w:rPr>
          <w:rFonts w:ascii="仿宋_GB2312" w:hAnsi="仿宋" w:eastAsia="仿宋_GB2312" w:cs="仿宋"/>
          <w:color w:val="000000"/>
          <w:kern w:val="0"/>
          <w:szCs w:val="32"/>
        </w:rPr>
      </w:pPr>
    </w:p>
    <w:p>
      <w:pPr>
        <w:pStyle w:val="2"/>
        <w:tabs>
          <w:tab w:val="left" w:pos="4440"/>
          <w:tab w:val="left" w:pos="8920"/>
        </w:tabs>
        <w:ind w:left="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当事人：中山大学孙逸仙纪念医院</w:t>
      </w:r>
    </w:p>
    <w:p>
      <w:pPr>
        <w:pStyle w:val="2"/>
        <w:tabs>
          <w:tab w:val="left" w:pos="4440"/>
          <w:tab w:val="left" w:pos="8920"/>
        </w:tabs>
        <w:ind w:left="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 xml:space="preserve">主体资格证照名称：营业执照                                      </w:t>
      </w:r>
    </w:p>
    <w:p>
      <w:pPr>
        <w:pStyle w:val="2"/>
        <w:tabs>
          <w:tab w:val="left" w:pos="4440"/>
          <w:tab w:val="left" w:pos="8920"/>
        </w:tabs>
        <w:ind w:left="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统一社会信用代码（注册号）：12100000455416037C</w:t>
      </w:r>
    </w:p>
    <w:p>
      <w:pPr>
        <w:pStyle w:val="2"/>
        <w:tabs>
          <w:tab w:val="left" w:pos="4440"/>
          <w:tab w:val="left" w:pos="8920"/>
        </w:tabs>
        <w:ind w:left="0"/>
        <w:jc w:val="both"/>
        <w:rPr>
          <w:rFonts w:ascii="仿宋" w:hAnsi="仿宋" w:eastAsia="仿宋" w:cs="仿宋"/>
          <w:color w:val="000000"/>
          <w:u w:val="single" w:color="231F20"/>
          <w:lang w:eastAsia="zh-CN"/>
        </w:rPr>
      </w:pPr>
      <w:r>
        <w:rPr>
          <w:rFonts w:hint="eastAsia" w:ascii="仿宋_GB2312" w:hAnsi="仿宋" w:eastAsia="仿宋_GB2312" w:cs="仿宋"/>
          <w:color w:val="000000"/>
          <w:lang w:eastAsia="zh-CN"/>
        </w:rPr>
        <w:t>住所（住址）：广州市沿江西路107号</w:t>
      </w:r>
    </w:p>
    <w:p>
      <w:pPr>
        <w:pStyle w:val="2"/>
        <w:tabs>
          <w:tab w:val="left" w:pos="4440"/>
          <w:tab w:val="left" w:pos="8920"/>
        </w:tabs>
        <w:ind w:left="0"/>
        <w:jc w:val="both"/>
        <w:rPr>
          <w:rFonts w:ascii="仿宋" w:hAnsi="仿宋" w:eastAsia="仿宋" w:cs="仿宋"/>
          <w:color w:val="000000"/>
          <w:u w:val="single" w:color="231F20"/>
          <w:lang w:eastAsia="zh-CN"/>
        </w:rPr>
      </w:pPr>
      <w:r>
        <w:rPr>
          <w:rFonts w:hint="eastAsia" w:ascii="仿宋_GB2312" w:hAnsi="仿宋" w:eastAsia="仿宋_GB2312" w:cs="仿宋"/>
          <w:color w:val="000000"/>
          <w:lang w:eastAsia="zh-CN"/>
        </w:rPr>
        <w:t>法定代表人：</w:t>
      </w:r>
      <w:r>
        <w:rPr>
          <w:rFonts w:ascii="仿宋_GB2312" w:hAnsi="仿宋" w:eastAsia="仿宋_GB2312" w:cs="仿宋"/>
          <w:color w:val="000000"/>
          <w:lang w:eastAsia="zh-CN"/>
        </w:rPr>
        <w:t>宋尔卫</w:t>
      </w:r>
    </w:p>
    <w:p>
      <w:pPr>
        <w:pStyle w:val="2"/>
        <w:tabs>
          <w:tab w:val="left" w:pos="4440"/>
          <w:tab w:val="left" w:pos="8920"/>
        </w:tabs>
        <w:ind w:left="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身份证（其他有效证件）号码：440</w:t>
      </w:r>
      <w:r>
        <w:rPr>
          <w:rFonts w:hint="eastAsia" w:ascii="仿宋_GB2312" w:hAnsi="仿宋" w:eastAsia="仿宋_GB2312" w:cs="仿宋"/>
          <w:color w:val="000000"/>
          <w:lang w:val="en-US" w:eastAsia="zh-CN"/>
        </w:rPr>
        <w:t>**********</w:t>
      </w:r>
      <w:r>
        <w:rPr>
          <w:rFonts w:hint="eastAsia" w:ascii="仿宋_GB2312" w:hAnsi="仿宋" w:eastAsia="仿宋_GB2312" w:cs="仿宋"/>
          <w:color w:val="000000"/>
          <w:lang w:eastAsia="zh-CN"/>
        </w:rPr>
        <w:t>313</w:t>
      </w:r>
    </w:p>
    <w:p>
      <w:pPr>
        <w:pStyle w:val="2"/>
        <w:tabs>
          <w:tab w:val="left" w:pos="4440"/>
          <w:tab w:val="left" w:pos="8920"/>
        </w:tabs>
        <w:ind w:left="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联系电话：138</w:t>
      </w:r>
      <w:r>
        <w:rPr>
          <w:rFonts w:hint="eastAsia" w:ascii="仿宋_GB2312" w:hAnsi="仿宋" w:eastAsia="仿宋_GB2312" w:cs="仿宋"/>
          <w:color w:val="000000"/>
          <w:lang w:val="en-US" w:eastAsia="zh-CN"/>
        </w:rPr>
        <w:t>*****</w:t>
      </w:r>
      <w:r>
        <w:rPr>
          <w:rFonts w:hint="eastAsia" w:ascii="仿宋_GB2312" w:hAnsi="仿宋" w:eastAsia="仿宋_GB2312" w:cs="仿宋"/>
          <w:color w:val="000000"/>
          <w:lang w:eastAsia="zh-CN"/>
        </w:rPr>
        <w:t xml:space="preserve">566    </w:t>
      </w:r>
      <w:bookmarkStart w:id="0" w:name="_GoBack"/>
      <w:bookmarkEnd w:id="0"/>
    </w:p>
    <w:p>
      <w:pPr>
        <w:pStyle w:val="2"/>
        <w:tabs>
          <w:tab w:val="left" w:pos="4440"/>
          <w:tab w:val="left" w:pos="8920"/>
        </w:tabs>
        <w:ind w:left="0"/>
        <w:jc w:val="both"/>
        <w:rPr>
          <w:rFonts w:ascii="仿宋" w:hAnsi="仿宋" w:eastAsia="仿宋" w:cs="仿宋"/>
          <w:color w:val="000000"/>
          <w:u w:val="single" w:color="231F20"/>
          <w:lang w:eastAsia="zh-CN"/>
        </w:rPr>
      </w:pPr>
      <w:r>
        <w:rPr>
          <w:rFonts w:hint="eastAsia" w:ascii="仿宋_GB2312" w:hAnsi="仿宋" w:eastAsia="仿宋_GB2312" w:cs="仿宋"/>
          <w:color w:val="000000"/>
          <w:lang w:eastAsia="zh-CN"/>
        </w:rPr>
        <w:t>联系地址：广州市沿江西路107号</w:t>
      </w:r>
    </w:p>
    <w:p>
      <w:pPr>
        <w:pStyle w:val="2"/>
        <w:tabs>
          <w:tab w:val="left" w:pos="4440"/>
          <w:tab w:val="left" w:pos="8920"/>
        </w:tabs>
        <w:ind w:left="0" w:firstLine="640" w:firstLineChars="200"/>
        <w:jc w:val="both"/>
        <w:rPr>
          <w:rFonts w:hint="eastAsia" w:ascii="仿宋_GB2312" w:hAnsi="仿宋" w:eastAsia="仿宋_GB2312" w:cs="仿宋"/>
          <w:color w:val="000000"/>
          <w:lang w:eastAsia="zh-CN"/>
        </w:rPr>
      </w:pP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我局在开展药品监督抽检工作中接到广州市药品检验所《药品检验报告》（报告编号：2019CHZ0827）中涉及碳酸氢钠滴耳液（20190925）经检验不合格的线索，2020年1月10日，我办执法人员前往中山大学孙逸仙纪念医院送达不合格报告，并对当事人</w:t>
      </w:r>
      <w:r>
        <w:rPr>
          <w:rFonts w:hint="eastAsia" w:ascii="仿宋_GB2312" w:hAnsi="仿宋" w:eastAsia="仿宋_GB2312" w:cs="仿宋"/>
          <w:color w:val="000000"/>
          <w:lang w:val="en-US" w:eastAsia="zh-CN"/>
        </w:rPr>
        <w:t>配制</w:t>
      </w:r>
      <w:r>
        <w:rPr>
          <w:rFonts w:hint="eastAsia" w:ascii="仿宋_GB2312" w:hAnsi="仿宋" w:eastAsia="仿宋_GB2312" w:cs="仿宋"/>
          <w:color w:val="000000"/>
          <w:lang w:eastAsia="zh-CN"/>
        </w:rPr>
        <w:t xml:space="preserve">车间、检验室、留样室等场所进行检查，当事人对碳酸氢钠滴耳液（20190925）抽检不合格提出异议，申请复验。2020年3月17日，我办接广东省药品检验所复验报告检验结论仍为不符合规定。我局于2020年3月23日予以立案调查。 上述产品均已销售完，没有库存。                    </w:t>
      </w:r>
    </w:p>
    <w:p>
      <w:pPr>
        <w:ind w:firstLine="640" w:firstLineChars="200"/>
        <w:rPr>
          <w:rFonts w:ascii="仿宋_GB2312" w:hAnsi="仿宋" w:eastAsia="仿宋_GB2312" w:cs="仿宋"/>
          <w:color w:val="000000"/>
        </w:rPr>
      </w:pPr>
      <w:r>
        <w:rPr>
          <w:rFonts w:hint="eastAsia" w:ascii="仿宋_GB2312" w:hAnsi="仿宋" w:eastAsia="仿宋_GB2312" w:cs="仿宋"/>
          <w:color w:val="000000"/>
        </w:rPr>
        <w:t>经查，当事人于2019年9月25日生产碳酸氢钠滴耳液（20190925），共300支，经广州市药品检验所抽样进行检验不符合规定。当事人生产的碳酸氢钠滴耳液（20190925）其中60支被广州市越秀区市场监督管理局进行抽样，其余产品于2019年9月25日至11月30日发放给本医院各药房共240支，每支价格为3.37元，共计808.8</w:t>
      </w:r>
      <w:r>
        <w:rPr>
          <w:rFonts w:hint="eastAsia" w:ascii="仿宋_GB2312" w:hAnsi="仿宋" w:eastAsia="仿宋_GB2312" w:cs="仿宋"/>
          <w:color w:val="000000"/>
          <w:lang w:val="en-US" w:eastAsia="zh-CN"/>
        </w:rPr>
        <w:t>0</w:t>
      </w:r>
      <w:r>
        <w:rPr>
          <w:rFonts w:hint="eastAsia" w:ascii="仿宋_GB2312" w:hAnsi="仿宋" w:eastAsia="仿宋_GB2312" w:cs="仿宋"/>
          <w:color w:val="000000"/>
        </w:rPr>
        <w:t>元，即违法所得808.8</w:t>
      </w:r>
      <w:r>
        <w:rPr>
          <w:rFonts w:hint="eastAsia" w:ascii="仿宋_GB2312" w:hAnsi="仿宋" w:eastAsia="仿宋_GB2312" w:cs="仿宋"/>
          <w:color w:val="000000"/>
          <w:lang w:val="en-US" w:eastAsia="zh-CN"/>
        </w:rPr>
        <w:t>0</w:t>
      </w:r>
      <w:r>
        <w:rPr>
          <w:rFonts w:hint="eastAsia" w:ascii="仿宋_GB2312" w:hAnsi="仿宋" w:eastAsia="仿宋_GB2312" w:cs="仿宋"/>
          <w:color w:val="000000"/>
        </w:rPr>
        <w:t>元。被抽样</w:t>
      </w:r>
      <w:r>
        <w:rPr>
          <w:rFonts w:hint="eastAsia" w:ascii="仿宋_GB2312" w:hAnsi="仿宋" w:eastAsia="仿宋_GB2312" w:cs="仿宋"/>
          <w:color w:val="000000"/>
          <w:lang w:val="en-US" w:eastAsia="zh-CN"/>
        </w:rPr>
        <w:t>的</w:t>
      </w:r>
      <w:r>
        <w:rPr>
          <w:rFonts w:hint="eastAsia" w:ascii="仿宋_GB2312" w:hAnsi="仿宋" w:eastAsia="仿宋_GB2312" w:cs="仿宋"/>
          <w:color w:val="000000"/>
        </w:rPr>
        <w:t>60支</w:t>
      </w:r>
      <w:r>
        <w:rPr>
          <w:rFonts w:hint="eastAsia" w:ascii="仿宋_GB2312" w:hAnsi="仿宋" w:eastAsia="仿宋_GB2312" w:cs="仿宋"/>
          <w:color w:val="000000"/>
          <w:lang w:val="en-US" w:eastAsia="zh-CN"/>
        </w:rPr>
        <w:t>滴耳液</w:t>
      </w:r>
      <w:r>
        <w:rPr>
          <w:rFonts w:hint="eastAsia" w:ascii="仿宋_GB2312" w:hAnsi="仿宋" w:eastAsia="仿宋_GB2312" w:cs="仿宋"/>
          <w:color w:val="000000"/>
        </w:rPr>
        <w:t>共计202.2</w:t>
      </w:r>
      <w:r>
        <w:rPr>
          <w:rFonts w:hint="eastAsia" w:ascii="仿宋_GB2312" w:hAnsi="仿宋" w:eastAsia="仿宋_GB2312" w:cs="仿宋"/>
          <w:color w:val="000000"/>
          <w:lang w:val="en-US" w:eastAsia="zh-CN"/>
        </w:rPr>
        <w:t>0</w:t>
      </w:r>
      <w:r>
        <w:rPr>
          <w:rFonts w:hint="eastAsia" w:ascii="仿宋_GB2312" w:hAnsi="仿宋" w:eastAsia="仿宋_GB2312" w:cs="仿宋"/>
          <w:color w:val="000000"/>
        </w:rPr>
        <w:t>元，即货值金额共计1011元。</w:t>
      </w:r>
    </w:p>
    <w:p>
      <w:pPr>
        <w:ind w:firstLine="640" w:firstLineChars="200"/>
        <w:rPr>
          <w:rFonts w:hint="eastAsia" w:ascii="仿宋_GB2312" w:hAnsi="仿宋" w:eastAsia="仿宋_GB2312" w:cs="仿宋"/>
          <w:color w:val="000000"/>
        </w:rPr>
      </w:pPr>
      <w:r>
        <w:rPr>
          <w:rFonts w:hint="eastAsia" w:ascii="仿宋_GB2312" w:hAnsi="仿宋" w:eastAsia="仿宋_GB2312" w:cs="仿宋"/>
          <w:color w:val="000000"/>
        </w:rPr>
        <w:t>当事人生产销售的碳酸氢钠滴耳液符合《药品管理法》第四十九条第二款第六项“其他不符合药品标准规定的”的情形，应按劣药论处，当事人的行为违反了《药品管理法》第四十九条第一款，生产销售劣药。</w:t>
      </w: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上述事实，主要有以下证据证明：</w:t>
      </w: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 xml:space="preserve">1.当事人的《医疗机构执业许可证》、《医疗机构制剂许可证》、《事业单位法人证书》复印件，证明违法主体及当事人生产销售资格；                                 </w:t>
      </w: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 xml:space="preserve">2. 广州市药品检验所《药品检验报告》（报告编号：2019CHZ0827），证明当事人生产销售的碳酸氢钠滴耳液经广州市越秀区市场监督管理局依法抽样的数量及经检验为不合格药品的事实；                                    </w:t>
      </w: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 xml:space="preserve">3.现场笔录1份、询问笔录1份、当事人情况说明、销售清单及销售发票等，证明当事人生产销售不合格产品的数量、价格及涉案货值等情况。               </w:t>
      </w: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当事人对上述违法事实及证据予以确认。依据《中华人民共和国行政处罚法》第三十一条的规定，本局于2020年</w:t>
      </w:r>
      <w:r>
        <w:rPr>
          <w:rFonts w:hint="eastAsia" w:ascii="仿宋_GB2312" w:hAnsi="仿宋" w:eastAsia="仿宋_GB2312" w:cs="仿宋"/>
          <w:color w:val="000000"/>
          <w:lang w:val="en-US" w:eastAsia="zh-CN"/>
        </w:rPr>
        <w:t>6</w:t>
      </w:r>
      <w:r>
        <w:rPr>
          <w:rFonts w:hint="eastAsia" w:ascii="仿宋_GB2312" w:hAnsi="仿宋" w:eastAsia="仿宋_GB2312" w:cs="仿宋"/>
          <w:color w:val="000000"/>
          <w:lang w:eastAsia="zh-CN"/>
        </w:rPr>
        <w:t>月</w:t>
      </w:r>
      <w:r>
        <w:rPr>
          <w:rFonts w:hint="eastAsia" w:ascii="仿宋_GB2312" w:hAnsi="仿宋" w:eastAsia="仿宋_GB2312" w:cs="仿宋"/>
          <w:color w:val="000000"/>
          <w:lang w:val="en-US" w:eastAsia="zh-CN"/>
        </w:rPr>
        <w:t>4</w:t>
      </w:r>
      <w:r>
        <w:rPr>
          <w:rFonts w:hint="eastAsia" w:ascii="仿宋_GB2312" w:hAnsi="仿宋" w:eastAsia="仿宋_GB2312" w:cs="仿宋"/>
          <w:color w:val="000000"/>
          <w:lang w:eastAsia="zh-CN"/>
        </w:rPr>
        <w:t>日依法向当事人直接送达《广东省药品监督管理局行政处罚告知书》（粤药监稽药罚告〔2020〕</w:t>
      </w:r>
      <w:r>
        <w:rPr>
          <w:rFonts w:hint="eastAsia" w:ascii="仿宋_GB2312" w:hAnsi="仿宋" w:eastAsia="仿宋_GB2312" w:cs="仿宋"/>
          <w:color w:val="000000"/>
          <w:lang w:val="en-US" w:eastAsia="zh-CN"/>
        </w:rPr>
        <w:t>2008</w:t>
      </w:r>
      <w:r>
        <w:rPr>
          <w:rFonts w:hint="eastAsia" w:ascii="仿宋_GB2312" w:hAnsi="仿宋" w:eastAsia="仿宋_GB2312" w:cs="仿宋"/>
          <w:color w:val="000000"/>
          <w:lang w:eastAsia="zh-CN"/>
        </w:rPr>
        <w:t>号）。当事人在法定期限内未提出陈述、申辩。</w:t>
      </w: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根据《广东省食品药品监督管理局规范行政处罚自由裁量权适用规则》第十条的规定，给予一般处罚。</w:t>
      </w:r>
    </w:p>
    <w:p>
      <w:pPr>
        <w:pStyle w:val="2"/>
        <w:tabs>
          <w:tab w:val="left" w:pos="8964"/>
        </w:tabs>
        <w:spacing w:line="590" w:lineRule="exact"/>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根据《药品管理法》第七十四条“生产、销售劣药的，没收违法生产、销售的药品和违法所得，并处违法生产、销售药品货值金额一倍以上三倍以下的罚款”结合自由裁量规定，对当事人生产销售劣药碳酸氢钠滴耳液做出以下行政处罚：1、没收违法所得808.8</w:t>
      </w:r>
      <w:r>
        <w:rPr>
          <w:rFonts w:hint="eastAsia" w:ascii="仿宋_GB2312" w:hAnsi="仿宋" w:eastAsia="仿宋_GB2312" w:cs="仿宋"/>
          <w:color w:val="000000"/>
          <w:lang w:val="en-US" w:eastAsia="zh-CN"/>
        </w:rPr>
        <w:t>0</w:t>
      </w:r>
      <w:r>
        <w:rPr>
          <w:rFonts w:hint="eastAsia" w:ascii="仿宋_GB2312" w:hAnsi="仿宋" w:eastAsia="仿宋_GB2312" w:cs="仿宋"/>
          <w:color w:val="000000"/>
          <w:lang w:eastAsia="zh-CN"/>
        </w:rPr>
        <w:t>元，2、处违法生产销售药品货值金额二倍的罚款2022元。合计罚没款2830.8</w:t>
      </w:r>
      <w:r>
        <w:rPr>
          <w:rFonts w:hint="eastAsia" w:ascii="仿宋_GB2312" w:hAnsi="仿宋" w:eastAsia="仿宋_GB2312" w:cs="仿宋"/>
          <w:color w:val="000000"/>
          <w:lang w:val="en-US" w:eastAsia="zh-CN"/>
        </w:rPr>
        <w:t>0</w:t>
      </w:r>
      <w:r>
        <w:rPr>
          <w:rFonts w:hint="eastAsia" w:ascii="仿宋_GB2312" w:hAnsi="仿宋" w:eastAsia="仿宋_GB2312" w:cs="仿宋"/>
          <w:color w:val="000000"/>
          <w:lang w:eastAsia="zh-CN"/>
        </w:rPr>
        <w:t>元。</w:t>
      </w: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当事人应在收到本处罚决定书之日起十五日内，按《广东省省级非税收入缴款通知书》的说明到指定银行缴交罚款。逾期不缴纳罚款的，每日按罚款数额的百分之三加处罚款。</w:t>
      </w:r>
    </w:p>
    <w:p>
      <w:pPr>
        <w:pStyle w:val="2"/>
        <w:tabs>
          <w:tab w:val="left" w:pos="4440"/>
          <w:tab w:val="left" w:pos="8920"/>
        </w:tabs>
        <w:ind w:left="0" w:firstLine="640" w:firstLineChars="200"/>
        <w:jc w:val="both"/>
        <w:rPr>
          <w:rFonts w:ascii="仿宋_GB2312" w:hAnsi="仿宋" w:eastAsia="仿宋_GB2312" w:cs="仿宋"/>
          <w:color w:val="000000"/>
          <w:lang w:eastAsia="zh-CN"/>
        </w:rPr>
      </w:pPr>
      <w:r>
        <w:rPr>
          <w:rFonts w:hint="eastAsia" w:ascii="仿宋_GB2312" w:hAnsi="仿宋" w:eastAsia="仿宋_GB2312" w:cs="仿宋"/>
          <w:color w:val="000000"/>
          <w:lang w:eastAsia="zh-CN"/>
        </w:rPr>
        <w:t>当事人如不服本行政处罚决定，可以在收到本行政处罚决定书之日起60日内向广东省人民政府或者向国家药品监督管理局申请行政复议；也可以在六个月内依法向广州铁路运输法院提起行政诉讼。</w:t>
      </w:r>
    </w:p>
    <w:p>
      <w:pPr>
        <w:ind w:firstLine="4480" w:firstLineChars="1400"/>
        <w:rPr>
          <w:rFonts w:hint="eastAsia" w:ascii="仿宋_GB2312" w:hAnsi="仿宋" w:eastAsia="仿宋_GB2312" w:cs="仿宋"/>
          <w:color w:val="000000"/>
          <w:szCs w:val="32"/>
        </w:rPr>
      </w:pPr>
    </w:p>
    <w:p>
      <w:pPr>
        <w:ind w:firstLine="4480" w:firstLineChars="1400"/>
        <w:rPr>
          <w:rFonts w:hint="eastAsia" w:ascii="仿宋_GB2312" w:hAnsi="仿宋" w:eastAsia="仿宋_GB2312" w:cs="仿宋"/>
          <w:color w:val="000000"/>
          <w:szCs w:val="32"/>
        </w:rPr>
      </w:pPr>
    </w:p>
    <w:p>
      <w:pPr>
        <w:ind w:firstLine="4480" w:firstLineChars="1400"/>
        <w:rPr>
          <w:rFonts w:ascii="仿宋_GB2312" w:hAnsi="仿宋" w:eastAsia="仿宋_GB2312" w:cs="仿宋"/>
          <w:color w:val="000000"/>
        </w:rPr>
      </w:pPr>
      <w:r>
        <w:rPr>
          <w:rFonts w:hint="eastAsia" w:ascii="仿宋_GB2312" w:hAnsi="仿宋" w:eastAsia="仿宋_GB2312" w:cs="仿宋"/>
          <w:color w:val="000000"/>
          <w:szCs w:val="32"/>
        </w:rPr>
        <w:t>广东省药品监督管理</w:t>
      </w:r>
      <w:r>
        <w:rPr>
          <w:rFonts w:hint="eastAsia" w:ascii="仿宋_GB2312" w:hAnsi="仿宋" w:eastAsia="仿宋_GB2312" w:cs="仿宋"/>
          <w:color w:val="000000"/>
        </w:rPr>
        <w:t xml:space="preserve">局      </w:t>
      </w:r>
    </w:p>
    <w:p>
      <w:pPr>
        <w:pStyle w:val="2"/>
        <w:tabs>
          <w:tab w:val="left" w:pos="5083"/>
          <w:tab w:val="left" w:pos="6043"/>
        </w:tabs>
        <w:spacing w:line="500" w:lineRule="exact"/>
        <w:ind w:left="0" w:right="944" w:rightChars="295"/>
        <w:jc w:val="right"/>
        <w:rPr>
          <w:rFonts w:ascii="仿宋_GB2312" w:hAnsi="仿宋" w:eastAsia="仿宋_GB2312" w:cs="仿宋"/>
          <w:color w:val="000000"/>
          <w:lang w:eastAsia="zh-CN"/>
        </w:rPr>
      </w:pPr>
      <w:r>
        <w:rPr>
          <w:rFonts w:hint="eastAsia" w:ascii="仿宋_GB2312" w:hAnsi="仿宋" w:eastAsia="仿宋_GB2312" w:cs="仿宋"/>
          <w:color w:val="000000"/>
          <w:lang w:val="en-US" w:eastAsia="zh-CN"/>
        </w:rPr>
        <w:t xml:space="preserve">    2020</w:t>
      </w:r>
      <w:r>
        <w:rPr>
          <w:rFonts w:hint="eastAsia" w:ascii="仿宋_GB2312" w:hAnsi="仿宋" w:eastAsia="仿宋_GB2312" w:cs="仿宋"/>
          <w:color w:val="000000"/>
          <w:lang w:eastAsia="zh-CN"/>
        </w:rPr>
        <w:t xml:space="preserve">年 </w:t>
      </w:r>
      <w:r>
        <w:rPr>
          <w:rFonts w:hint="eastAsia" w:ascii="仿宋_GB2312" w:hAnsi="仿宋" w:eastAsia="仿宋_GB2312" w:cs="仿宋"/>
          <w:color w:val="000000"/>
          <w:lang w:val="en-US" w:eastAsia="zh-CN"/>
        </w:rPr>
        <w:t>6</w:t>
      </w:r>
      <w:r>
        <w:rPr>
          <w:rFonts w:hint="eastAsia" w:ascii="仿宋_GB2312" w:hAnsi="仿宋" w:eastAsia="仿宋_GB2312" w:cs="仿宋"/>
          <w:color w:val="000000"/>
          <w:lang w:eastAsia="zh-CN"/>
        </w:rPr>
        <w:t>月</w:t>
      </w:r>
      <w:r>
        <w:rPr>
          <w:rFonts w:hint="eastAsia" w:ascii="仿宋_GB2312" w:hAnsi="仿宋" w:eastAsia="仿宋_GB2312" w:cs="仿宋"/>
          <w:color w:val="000000"/>
          <w:lang w:val="en-US" w:eastAsia="zh-CN"/>
        </w:rPr>
        <w:t>17</w:t>
      </w:r>
      <w:r>
        <w:rPr>
          <w:rFonts w:hint="eastAsia" w:ascii="仿宋_GB2312" w:hAnsi="仿宋" w:eastAsia="仿宋_GB2312" w:cs="仿宋"/>
          <w:color w:val="000000"/>
          <w:lang w:eastAsia="zh-CN"/>
        </w:rPr>
        <w:t>日</w:t>
      </w: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1280" w:rightChars="400"/>
        <w:jc w:val="right"/>
        <w:rPr>
          <w:rFonts w:ascii="仿宋_GB2312" w:hAnsi="仿宋" w:eastAsia="仿宋_GB2312" w:cs="仿宋"/>
          <w:color w:val="000000"/>
          <w:lang w:eastAsia="zh-CN"/>
        </w:rPr>
      </w:pPr>
    </w:p>
    <w:p>
      <w:pPr>
        <w:pStyle w:val="2"/>
        <w:tabs>
          <w:tab w:val="left" w:pos="5083"/>
          <w:tab w:val="left" w:pos="6043"/>
        </w:tabs>
        <w:spacing w:line="500" w:lineRule="exact"/>
        <w:ind w:left="0" w:right="-654" w:rightChars="0"/>
        <w:rPr>
          <w:rFonts w:ascii="仿宋_GB2312" w:hAnsi="仿宋" w:eastAsia="仿宋_GB2312" w:cs="仿宋"/>
          <w:color w:val="000000"/>
          <w:lang w:eastAsia="zh-CN"/>
        </w:rPr>
      </w:pPr>
      <w:r>
        <w:rPr>
          <w:rFonts w:hint="eastAsia" w:ascii="仿宋_GB2312" w:hAnsi="仿宋" w:eastAsia="仿宋_GB2312" w:cs="仿宋"/>
          <w:color w:val="000000"/>
          <w:lang w:eastAsia="zh-CN"/>
        </w:rPr>
        <w:t>（广东省药品监督管理局将依法向社会公示本行政处罚决定信息）</w:t>
      </w:r>
    </w:p>
    <w:tbl>
      <w:tblPr>
        <w:tblStyle w:val="7"/>
        <w:tblW w:w="9105" w:type="dxa"/>
        <w:tblInd w:w="91"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25" w:hRule="atLeast"/>
        </w:trPr>
        <w:tc>
          <w:tcPr>
            <w:tcW w:w="9105" w:type="dxa"/>
            <w:tcBorders>
              <w:tl2br w:val="nil"/>
              <w:tr2bl w:val="nil"/>
            </w:tcBorders>
            <w:vAlign w:val="center"/>
          </w:tcPr>
          <w:p>
            <w:pPr>
              <w:pStyle w:val="2"/>
              <w:spacing w:line="500" w:lineRule="exact"/>
              <w:ind w:left="0"/>
              <w:rPr>
                <w:rFonts w:cs="宋体"/>
                <w:color w:val="000000"/>
                <w:sz w:val="28"/>
                <w:szCs w:val="28"/>
                <w:lang w:eastAsia="zh-CN"/>
              </w:rPr>
            </w:pPr>
            <w:r>
              <w:rPr>
                <w:rFonts w:hint="eastAsia" w:cs="宋体"/>
                <w:color w:val="000000"/>
                <w:sz w:val="28"/>
                <w:szCs w:val="28"/>
                <w:lang w:eastAsia="zh-CN"/>
              </w:rPr>
              <w:t>本文书一式二份， 一份送达，一份归档。</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黑体"/>
    <w:panose1 w:val="03000509000000000000"/>
    <w:charset w:val="86"/>
    <w:family w:val="script"/>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何尼玛】土肥圆">
    <w:altName w:val="宋体"/>
    <w:panose1 w:val="040F0700000000000000"/>
    <w:charset w:val="86"/>
    <w:family w:val="auto"/>
    <w:pitch w:val="default"/>
    <w:sig w:usb0="00000000" w:usb1="00000000" w:usb2="0000003F" w:usb3="00000000" w:csb0="601701FF" w:csb1="FFFF0000"/>
  </w:font>
  <w:font w:name="迷你简娃娃篆">
    <w:altName w:val="宋体"/>
    <w:panose1 w:val="02010604000101010101"/>
    <w:charset w:val="86"/>
    <w:family w:val="auto"/>
    <w:pitch w:val="default"/>
    <w:sig w:usb0="00000000" w:usb1="00000000" w:usb2="00000002"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Niagara Engraved">
    <w:altName w:val="Gabriola"/>
    <w:panose1 w:val="04020502070703030202"/>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E5D5573"/>
    <w:rsid w:val="00064639"/>
    <w:rsid w:val="00077AB0"/>
    <w:rsid w:val="000A24F2"/>
    <w:rsid w:val="000F5511"/>
    <w:rsid w:val="0010441F"/>
    <w:rsid w:val="00135175"/>
    <w:rsid w:val="001408F0"/>
    <w:rsid w:val="00162870"/>
    <w:rsid w:val="001961AF"/>
    <w:rsid w:val="001D00CE"/>
    <w:rsid w:val="001E4249"/>
    <w:rsid w:val="002A7D38"/>
    <w:rsid w:val="002F7B5C"/>
    <w:rsid w:val="003229F4"/>
    <w:rsid w:val="0046194B"/>
    <w:rsid w:val="00475421"/>
    <w:rsid w:val="004F710A"/>
    <w:rsid w:val="00567E5E"/>
    <w:rsid w:val="005A0D2C"/>
    <w:rsid w:val="005C6230"/>
    <w:rsid w:val="0061513E"/>
    <w:rsid w:val="006566C6"/>
    <w:rsid w:val="00683F84"/>
    <w:rsid w:val="006D4B26"/>
    <w:rsid w:val="006F2CEB"/>
    <w:rsid w:val="00745FB0"/>
    <w:rsid w:val="00781DE5"/>
    <w:rsid w:val="007B34A0"/>
    <w:rsid w:val="007E1B4A"/>
    <w:rsid w:val="007E4545"/>
    <w:rsid w:val="008248CA"/>
    <w:rsid w:val="008A26D0"/>
    <w:rsid w:val="008C07BD"/>
    <w:rsid w:val="00934DC8"/>
    <w:rsid w:val="009B35A1"/>
    <w:rsid w:val="009E5ECB"/>
    <w:rsid w:val="009F06DD"/>
    <w:rsid w:val="00A23806"/>
    <w:rsid w:val="00AD05E6"/>
    <w:rsid w:val="00AE09A8"/>
    <w:rsid w:val="00AF2C0F"/>
    <w:rsid w:val="00B31290"/>
    <w:rsid w:val="00BC370A"/>
    <w:rsid w:val="00BC3C56"/>
    <w:rsid w:val="00BF3D90"/>
    <w:rsid w:val="00C21673"/>
    <w:rsid w:val="00C31CC3"/>
    <w:rsid w:val="00C60327"/>
    <w:rsid w:val="00C87342"/>
    <w:rsid w:val="00D42BC3"/>
    <w:rsid w:val="00D552E5"/>
    <w:rsid w:val="00D953B5"/>
    <w:rsid w:val="00E00B6E"/>
    <w:rsid w:val="00E542B5"/>
    <w:rsid w:val="00E879AF"/>
    <w:rsid w:val="00F93C63"/>
    <w:rsid w:val="00FD55F9"/>
    <w:rsid w:val="02916E3F"/>
    <w:rsid w:val="02CE27A4"/>
    <w:rsid w:val="08AA5114"/>
    <w:rsid w:val="08C9030E"/>
    <w:rsid w:val="08F4536C"/>
    <w:rsid w:val="12EE58A0"/>
    <w:rsid w:val="13EC7F63"/>
    <w:rsid w:val="14564E94"/>
    <w:rsid w:val="155A4845"/>
    <w:rsid w:val="164450F0"/>
    <w:rsid w:val="19351728"/>
    <w:rsid w:val="1EBA7C57"/>
    <w:rsid w:val="239B175E"/>
    <w:rsid w:val="263A5E48"/>
    <w:rsid w:val="272408EF"/>
    <w:rsid w:val="27595C3B"/>
    <w:rsid w:val="28961785"/>
    <w:rsid w:val="2F5A0285"/>
    <w:rsid w:val="32392470"/>
    <w:rsid w:val="36672D50"/>
    <w:rsid w:val="3A645045"/>
    <w:rsid w:val="3B870A60"/>
    <w:rsid w:val="3D0823F1"/>
    <w:rsid w:val="411B24FA"/>
    <w:rsid w:val="45197DCB"/>
    <w:rsid w:val="50F91698"/>
    <w:rsid w:val="51417A94"/>
    <w:rsid w:val="521F1962"/>
    <w:rsid w:val="5E322A76"/>
    <w:rsid w:val="5E5D5573"/>
    <w:rsid w:val="61A440D7"/>
    <w:rsid w:val="62625660"/>
    <w:rsid w:val="66522270"/>
    <w:rsid w:val="67E0197D"/>
    <w:rsid w:val="687D0DC5"/>
    <w:rsid w:val="69283E2A"/>
    <w:rsid w:val="6A7F4A81"/>
    <w:rsid w:val="6CC33146"/>
    <w:rsid w:val="717A7611"/>
    <w:rsid w:val="725C7CB7"/>
    <w:rsid w:val="7C22170B"/>
    <w:rsid w:val="7C4F361D"/>
    <w:rsid w:val="7D8D79BF"/>
    <w:rsid w:val="7DC5156F"/>
    <w:rsid w:val="7FEC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1"/>
    <w:pPr>
      <w:ind w:left="220"/>
      <w:jc w:val="left"/>
    </w:pPr>
    <w:rPr>
      <w:rFonts w:ascii="宋体" w:hAnsi="宋体" w:eastAsia="宋体"/>
      <w:kern w:val="0"/>
      <w:szCs w:val="32"/>
      <w:lang w:eastAsia="en-US"/>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6"/>
    <w:link w:val="3"/>
    <w:qFormat/>
    <w:uiPriority w:val="0"/>
    <w:rPr>
      <w:rFonts w:eastAsia="仿宋"/>
      <w:kern w:val="2"/>
      <w:sz w:val="18"/>
      <w:szCs w:val="18"/>
    </w:rPr>
  </w:style>
  <w:style w:type="character" w:customStyle="1" w:styleId="9">
    <w:name w:val="正文文本 Char"/>
    <w:basedOn w:val="6"/>
    <w:link w:val="2"/>
    <w:uiPriority w:val="1"/>
    <w:rPr>
      <w:rFonts w:ascii="宋体" w:hAnsi="宋体"/>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4</Pages>
  <Words>257</Words>
  <Characters>1466</Characters>
  <Lines>12</Lines>
  <Paragraphs>3</Paragraphs>
  <TotalTime>2</TotalTime>
  <ScaleCrop>false</ScaleCrop>
  <LinksUpToDate>false</LinksUpToDate>
  <CharactersWithSpaces>1720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2019-12-03T09:05:00Z</dcterms:created>
  <dc:creator>赖耀辉</dc:creator>
  <cp:lastModifiedBy>chenning</cp:lastModifiedBy>
  <cp:lastPrinted>2020-06-08T03:21:00Z</cp:lastPrinted>
  <dcterms:modified xsi:type="dcterms:W3CDTF">2020-06-19T08:25:15Z</dcterms:modified>
  <dc:title>广东省药品监督管理局</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