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default" w:ascii="Times New Roman" w:hAnsi="Times New Roman" w:cs="Times New Roman"/>
          <w:color w:val="auto"/>
          <w:highlight w:val="none"/>
          <w:lang w:val="en-US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highlight w:val="none"/>
        </w:rPr>
        <w:t>附件</w:t>
      </w:r>
      <w:r>
        <w:rPr>
          <w:rFonts w:hint="default" w:ascii="Times New Roman" w:hAnsi="Times New Roman" w:eastAsia="黑体" w:cs="Times New Roman"/>
          <w:color w:val="auto"/>
          <w:highlight w:val="none"/>
          <w:lang w:val="en-US" w:eastAsia="zh-CN"/>
        </w:rPr>
        <w:t>19</w:t>
      </w: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关于部分检验项目的说明</w:t>
      </w:r>
    </w:p>
    <w:p>
      <w:pPr>
        <w:widowControl/>
        <w:shd w:val="clear" w:color="auto" w:fill="FFFFFF"/>
        <w:snapToGrid w:val="0"/>
        <w:spacing w:line="590" w:lineRule="exact"/>
        <w:rPr>
          <w:rFonts w:hint="eastAsia" w:ascii="仿宋" w:hAnsi="仿宋"/>
        </w:rPr>
      </w:pPr>
      <w:r>
        <w:rPr>
          <w:rFonts w:hint="eastAsia" w:ascii="仿宋" w:hAnsi="仿宋"/>
        </w:rPr>
        <w:t xml:space="preserve">    </w:t>
      </w:r>
    </w:p>
    <w:p>
      <w:pPr>
        <w:spacing w:line="600" w:lineRule="exact"/>
        <w:ind w:firstLine="632" w:firstLineChars="200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  <w:lang w:eastAsia="zh-CN"/>
        </w:rPr>
        <w:t>一</w:t>
      </w:r>
      <w:r>
        <w:rPr>
          <w:rFonts w:hint="eastAsia" w:ascii="黑体" w:hAnsi="黑体" w:eastAsia="黑体"/>
          <w:highlight w:val="none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孔雀石绿</w:t>
      </w:r>
    </w:p>
    <w:p>
      <w:pPr>
        <w:widowControl/>
        <w:shd w:val="clear" w:color="auto" w:fill="FFFFFF"/>
        <w:snapToGrid w:val="0"/>
        <w:spacing w:line="590" w:lineRule="exact"/>
        <w:ind w:firstLine="632" w:firstLineChars="200"/>
        <w:rPr>
          <w:rFonts w:hint="eastAsia" w:ascii="Times New Roman" w:hAnsi="Times New Roman" w:eastAsia="仿宋_GB2312"/>
          <w:highlight w:val="none"/>
        </w:rPr>
      </w:pPr>
      <w:r>
        <w:rPr>
          <w:rFonts w:hint="eastAsia" w:ascii="Times New Roman" w:hAnsi="Times New Roman" w:eastAsia="仿宋_GB2312" w:cs="仿宋"/>
          <w:highlight w:val="none"/>
        </w:rPr>
        <w:t>孔雀石绿属于有毒的三苯甲烷类化学物，既是染料，也是杀真菌、细菌、寄生虫的药物。《动物性食品中兽药最高残留限量》（农业部公告第235号）中规定，孔雀石绿为禁止使用的药物，在动物性食品中不得检出。孔雀石绿具有潜在致癌、致畸、致突变的作用。长期食用检出孔雀石绿的食品，可能会对人体健康有一定影响。</w:t>
      </w:r>
    </w:p>
    <w:p>
      <w:pPr>
        <w:spacing w:line="600" w:lineRule="exact"/>
        <w:ind w:firstLine="632" w:firstLineChars="200"/>
        <w:rPr>
          <w:rFonts w:hint="default" w:ascii="Times New Roman" w:hAnsi="Times New Roman" w:eastAsia="黑体" w:cs="Times New Roman"/>
          <w:highlight w:val="none"/>
        </w:rPr>
      </w:pPr>
      <w:r>
        <w:rPr>
          <w:rFonts w:hint="eastAsia" w:ascii="Times New Roman" w:hAnsi="Times New Roman" w:eastAsia="黑体" w:cs="Times New Roman"/>
          <w:highlight w:val="none"/>
          <w:lang w:eastAsia="zh-CN"/>
        </w:rPr>
        <w:t>二</w:t>
      </w:r>
      <w:r>
        <w:rPr>
          <w:rFonts w:hint="default" w:ascii="Times New Roman" w:hAnsi="Times New Roman" w:eastAsia="黑体" w:cs="Times New Roman"/>
          <w:highlight w:val="none"/>
        </w:rPr>
        <w:t>、</w:t>
      </w:r>
      <w:r>
        <w:rPr>
          <w:rFonts w:hint="eastAsia" w:eastAsia="黑体" w:cs="黑体"/>
          <w:kern w:val="0"/>
          <w:sz w:val="32"/>
          <w:szCs w:val="32"/>
        </w:rPr>
        <w:t>呋喃西林代谢物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highlight w:val="none"/>
        </w:rPr>
      </w:pPr>
      <w:r>
        <w:rPr>
          <w:rFonts w:hint="eastAsia" w:ascii="Times New Roman" w:hAnsi="Times New Roman" w:eastAsia="仿宋_GB2312" w:cs="仿宋"/>
          <w:highlight w:val="none"/>
        </w:rPr>
        <w:t>呋喃西林是属于硝基呋喃类广谱抗生素，广泛应用于畜禽及水产养殖业。硝基呋喃类原型药在生物体内代谢迅速，和蛋白质结合而相当稳定，故常利用对其代谢物的检测来反应硝基呋喃类药物的残留状况。《兽药地方标准废止目录》（农业部公告第560号）中规定，呋喃西林为禁用兽药，在动物性食品中不得检出。硝基呋喃类药物及其代谢物可引起溶血性贫血、多发性神经炎、眼部损害和急性肝坏死等残疾而对人类健康造成危害，对人体有致癌、致畸胎副作用。</w:t>
      </w:r>
    </w:p>
    <w:p>
      <w:pPr>
        <w:spacing w:line="600" w:lineRule="exact"/>
        <w:ind w:firstLine="632" w:firstLineChars="200"/>
        <w:rPr>
          <w:rFonts w:hint="default" w:ascii="Times New Roman" w:hAnsi="Times New Roman" w:eastAsia="黑体" w:cs="Times New Roman"/>
          <w:highlight w:val="none"/>
        </w:rPr>
      </w:pPr>
      <w:r>
        <w:rPr>
          <w:rFonts w:hint="eastAsia" w:ascii="Times New Roman" w:hAnsi="Times New Roman" w:eastAsia="黑体" w:cs="Times New Roman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highlight w:val="none"/>
        </w:rPr>
        <w:t>、</w:t>
      </w:r>
      <w:r>
        <w:rPr>
          <w:rFonts w:hint="eastAsia" w:eastAsia="黑体" w:cs="黑体"/>
          <w:kern w:val="0"/>
          <w:sz w:val="32"/>
          <w:szCs w:val="32"/>
        </w:rPr>
        <w:t>氯霉素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highlight w:val="none"/>
        </w:rPr>
      </w:pPr>
      <w:r>
        <w:rPr>
          <w:rFonts w:hint="eastAsia" w:ascii="Times New Roman" w:hAnsi="Times New Roman" w:eastAsia="仿宋_GB2312" w:cs="仿宋"/>
          <w:highlight w:val="none"/>
        </w:rPr>
        <w:t>氯霉素是一种杀菌剂，也是高效广谱的抗生素，对革兰氏阳性菌和革兰氏阴性菌均有较好的抑制作用。《动物性食品中兽药最高残留限量》（农业部公告第235号）中规定，氯霉素为禁止使用的药物，在动物性食品中不得检出。长期食用检出氯霉素的食品可能引起肠道菌群失调，导致消化机能紊乱。人体过量摄入氯霉素可能引起人肝脏和骨髓造血机能的损害，导致再生障碍性贫血和血小板减少、肝损伤等健康危害。</w:t>
      </w:r>
    </w:p>
    <w:p>
      <w:pPr>
        <w:spacing w:line="600" w:lineRule="exact"/>
        <w:ind w:firstLine="632" w:firstLineChars="200"/>
        <w:rPr>
          <w:rFonts w:hint="default" w:ascii="Times New Roman" w:hAnsi="Times New Roman" w:eastAsia="黑体" w:cs="Times New Roman"/>
          <w:highlight w:val="none"/>
        </w:rPr>
      </w:pPr>
      <w:r>
        <w:rPr>
          <w:rFonts w:hint="eastAsia" w:ascii="Times New Roman" w:hAnsi="Times New Roman" w:eastAsia="黑体" w:cs="Times New Roman"/>
          <w:highlight w:val="none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highlight w:val="none"/>
        </w:rPr>
        <w:t>、</w:t>
      </w:r>
      <w:r>
        <w:rPr>
          <w:rFonts w:hint="eastAsia" w:eastAsia="黑体"/>
          <w:sz w:val="32"/>
          <w:szCs w:val="32"/>
          <w:lang w:eastAsia="zh-CN"/>
        </w:rPr>
        <w:t>铜绿假单胞菌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highlight w:val="none"/>
        </w:rPr>
      </w:pPr>
      <w:r>
        <w:rPr>
          <w:rFonts w:hint="eastAsia" w:ascii="仿宋_GB2312" w:hAnsi="仿宋_GB2312" w:eastAsia="仿宋_GB2312" w:cs="仿宋_GB2312"/>
        </w:rPr>
        <w:t>铜绿假单胞菌是一种条件致病菌,广泛分布于各种水、空气、正常人的皮肤、呼吸道和肠道等，易在潮湿的环境存活。如果桶装水的消费周期较长，营养要求较低的铜绿假单胞菌可生长繁殖，可能会引起味道、气味和浊度的改变。《食品安全国家标准 饮用天然矿泉水》中有相关规定，明确了铜绿假单胞菌在该类饮用水中的最大允许限。产品不合格的主要原因是水源带入，生产过程中工艺控制不严或者包装材料清洗消毒有缺陷</w:t>
      </w:r>
      <w:r>
        <w:rPr>
          <w:rFonts w:hint="eastAsia" w:ascii="仿宋_GB2312" w:hAnsi="仿宋_GB2312" w:eastAsia="仿宋_GB2312" w:cs="仿宋_GB2312"/>
          <w:highlight w:val="none"/>
        </w:rPr>
        <w:t>。</w:t>
      </w:r>
    </w:p>
    <w:p>
      <w:pPr>
        <w:spacing w:line="600" w:lineRule="exact"/>
        <w:ind w:firstLine="632" w:firstLineChars="200"/>
        <w:rPr>
          <w:rFonts w:hint="default" w:ascii="Times New Roman" w:hAnsi="Times New Roman" w:eastAsia="黑体" w:cs="Times New Roman"/>
          <w:highlight w:val="none"/>
        </w:rPr>
      </w:pPr>
      <w:r>
        <w:rPr>
          <w:rFonts w:hint="eastAsia" w:ascii="Times New Roman" w:hAnsi="Times New Roman" w:eastAsia="黑体" w:cs="Times New Roman"/>
          <w:highlight w:val="none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highlight w:val="none"/>
        </w:rPr>
        <w:t>、</w:t>
      </w:r>
      <w:r>
        <w:rPr>
          <w:rFonts w:hint="eastAsia" w:ascii="黑体" w:hAnsi="黑体" w:eastAsia="黑体"/>
        </w:rPr>
        <w:t>二氧化硫残留量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32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highlight w:val="none"/>
        </w:rPr>
        <w:t>二氧化硫是一种毒性低的化合物，可溶于水中。在一般食用情况下，二氧化硫不会对人体健康造成不良影响。但对二氧化硫有过敏反应的人，则可能会出现气喘、头痛或恶心等过敏症状。检出二氧化硫残留量的原因可能是生产企业违规使用硫磺、亚硫酸盐、焦亚硫酸盐等含硫添加剂；生产过程控制不严或超限量使用；使用硫磺熏过的原料也可能带入二氧化硫残留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。</w:t>
      </w:r>
    </w:p>
    <w:p>
      <w:pPr>
        <w:spacing w:line="600" w:lineRule="exact"/>
        <w:ind w:firstLine="632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六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胭脂红及其铝色淀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胭脂红为水溶性偶氮类着色剂，在食品行业中应用广泛，可改善食品的外观和色泽。《食品安全国家标准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食品添加剂使用标准》（GB 2760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2014）中规定，肉制品中不得使用胭脂红。胭脂红属于安全性较高的合成色素，但若长期过量食用胭脂红超标的食品，可能对人体健康产生一定影响。</w:t>
      </w:r>
    </w:p>
    <w:p>
      <w:pPr>
        <w:spacing w:line="600" w:lineRule="exact"/>
        <w:ind w:firstLine="632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七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</w:rPr>
        <w:t>脱氢乙酸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脱氢乙酸及其钠盐作为食品添加剂，广泛用作防腐剂，对霉菌具有较强的抑制作用。《食品安全国家标准 食品添加剂使用标准》（GB 2760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2014）中规定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非发酵性豆制品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不得使用脱氢乙酸及其钠盐。长期大量食用脱氢乙酸及其钠盐超标产品，可能对人体健康产生一定影响。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B1630"/>
    <w:rsid w:val="099B1630"/>
    <w:rsid w:val="26153BC5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2020-04-10T00:51:00Z</dcterms:created>
  <dc:creator>罗钰珊</dc:creator>
  <cp:lastModifiedBy>罗钰珊</cp:lastModifiedBy>
  <dcterms:modified xsi:type="dcterms:W3CDTF">2020-04-10T00:52:07Z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