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outlineLvl w:val="9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top"/>
        <w:outlineLvl w:val="9"/>
        <w:rPr>
          <w:rFonts w:ascii="Verdana"/>
          <w:sz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本次检验项目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一、羊肉及副产品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抽检依据是农业部公告第235号《动物性食品中兽药最高残留限量》、《畜禽肉水分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  <w:lang w:val="en-US" w:eastAsia="zh-CN" w:bidi="ar-SA"/>
        </w:rPr>
        <w:t>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18394-2001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农业部公告第2292号《发布在食品动物中停止使用洛美沙星、培氟沙星、氧氟沙星、诺氟沙星4种兽药的决定》、整顿办函[2010]50号《食品中可能违法添加的非食用物质和易滥用的食品添加剂名单(第四批)》、整顿办函[2011]1号《食品中可能违法添加的非食用物质和易滥用的食品添加剂品种名单(第五批)》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、农业部公告第560号《兽药地方标准废止目录》等标准及产品明示标准和指标的要求。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羊肉抽检项目包括克伦特罗、呋喃唑酮代谢物、呋喃妥因代谢物、呋喃它酮代谢物、呋喃西林代谢物、土霉素、培氟沙星、总汞(以Hg计)、总砷(以As计)、恩诺沙星(以恩诺沙星与环丙沙星之和计)、氟甲喹、氟苯尼考、氧氟沙星、氯霉素、水分、沙丁胺醇、洛美沙星、特布他林、磺胺类(总量)、莱克多巴胺、诺氟沙星、达氟沙星、金霉素、铅(以Pb计)、铬(以Cr计)、镉(以Cd计)等2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6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二、牛肉及副产品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农业部公告第2292号《发布在食品动物中停止使用洛美沙星、培氟沙星、氧氟沙星、诺氟沙星4种兽药的决定》、农业部公告第235号《动物性食品中兽药最高残留限量》、整顿办函[2010]50号《食品中可能违法添加的非食用物质和易滥用的食品添加剂名单(第四批)》、《畜禽肉水分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18394-2001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、农业部公告第560号《兽药地方标准废止目录》等标准及产品明示标准和指标的要求。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牛肉抽检项目包括克伦特罗、呋喃唑酮代谢物、呋喃妥因代谢物、呋喃它酮代谢物、呋喃西林代谢物、土霉素、地塞米松、培氟沙星、多西环素(强力霉素)、总汞(以Hg计)、总砷(以As计)、恩诺沙星(以恩诺沙星与环丙沙星之和计)、林可霉素、氟苯尼考、氧氟沙星、氯霉素、水分、沙丁胺醇、洛美沙星、牛源性成分、特布他林、猪源性成分、磺胺类(总量)、莱克多巴胺、诺氟沙星、达氟沙星、铅(以Pb计)、铬(以Cr计)、镉(以Cd计)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29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三、水果制品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食品中农药最大残留限量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763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6）、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果冻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19299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5）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1. 水果干制品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铅（以Pb计）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等11个指标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2. 果冻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铅（以Pb计）、山梨酸及其钾盐（以山梨酸计）、苯甲酸及其钠盐（以苯甲酸计）、糖精钠（以糖精计）、甜蜜素（以环己基氨基磺酸计）、菌落总数、大肠菌群、霉菌、酵母等9个指标。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四、水产品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、《食品安全国家标准 鲜、冻动物性水产品》（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2733-2015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1. 海水鱼抽检项目包括五氯酚酸钠(以五氯酚计)、呋喃唑酮代谢物、呋喃妥因代谢物、呋喃它酮代谢物、呋喃西林代谢物、土霉素、培氟沙星、孔雀石绿、己烯雌酚、恩诺沙星(以恩诺沙星与环丙沙星之和计)、氟苯尼考、氧氟沙星、氯霉素、洛美沙星、组胺、诺氟沙星、铅(以Pb计)、铬(以Cr计)、镉(以Cd计)等19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2. 海水蟹抽检项目包括呋喃唑酮代谢物、呋喃妥因代谢物、呋喃它酮代谢物、呋喃西林代谢物、土霉素、孔雀石绿、恩诺沙星(以恩诺沙星与环丙沙星之和计)、氯霉素、铅(以Pb计)、铬(以Cr计)、镉(以Cd计)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、五氯酚酸钠(以五氯酚计)、培氟沙星、氟苯尼考、氧氟沙星、洛美沙星、诺氟沙星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7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3. 淡水鱼抽检项目包括五氯酚酸钠(以五氯酚计)、呋喃唑酮代谢物、呋喃妥因代谢物、呋喃它酮代谢物、呋喃西林代谢物、土霉素、地西泮、培氟沙星、孔雀石绿、己烯雌酚、恩诺沙星(以恩诺沙星与环丙沙星之和计)、氟苯尼考、氧氟沙星、氯霉素、洛美沙星、诺氟沙星、铅(以Pb计)、铬(以Cr计)、镉(以Cd计)等19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4. 淡水虾抽检项目包括五氯酚酸钠(以五氯酚计)、呋喃唑酮代谢物、呋喃妥因代谢物、呋喃它酮代谢物、呋喃西林代谢物、四环素、土霉素、培氟沙星、孔雀石绿、己烯雌酚、恩诺沙星(以恩诺沙星与环丙沙星之和计)、氟苯尼考、氧氟沙星、氯霉素、洛美沙星、诺氟沙星、金霉素、铅(以Pb计)、铬(以Cr计)、镉(以Cd计)等20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5. 海水虾抽检项目包括五氯酚酸钠(以五氯酚计)、呋喃唑酮代谢物、呋喃妥因代谢物、呋喃它酮代谢物、呋喃西林代谢物、四环素、土霉素、培氟沙星、孔雀石绿、己烯雌酚、恩诺沙星(以恩诺沙星与环丙沙星之和计)、氟苯尼考、氧氟沙星、氯霉素、洛美沙星、诺氟沙星、金霉素、铅(以Pb计)、铬(以Cr计)、镉(以Cd计)、雌二醇等21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五、水果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2763-2016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1. 柑、橘(柑橘类水果)抽检项目包括三唑磷、丙溴磷、克百威、氧乐果、联苯菊酯、苯醚甲环唑等6个指标。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2. 梨(仁果类水果)抽检项目包括乐果、氯氰菊酯和高效氯氰菊酯、氰戊菊酯和S-氰戊菊酯、溴氰菊酯等4个指标。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3. 苹果(仁果类水果)抽检项目包括克百威、吡虫啉、多菌灵、敌敌畏、氟虫腈、氧乐果、氯氰菊酯和高效氯氰菊酯、氰戊菊酯和S-氰戊菊酯、苯醚甲环唑等9个指标。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4. 橙(柑橘类水果)抽检项目包括三唑磷、丙溴磷、克百威等3个指标。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5. 香蕉(热带和亚热带水果)抽检项目包括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吡唑醚菌酯、氰戊菊酯和S-氰戊菊酯、溴氰菊酯、百菌清、肟菌酯、腈苯唑、苯醚甲环唑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7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6. 猕猴桃(浆果和其他小型水果)抽检项目包括对硫磷、氯唑磷、水胺硫磷、甲基异柳磷、甲拌磷等5个指标。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六、蔬菜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抽检依据是《国家食品药品监督管理总局 农业部 国家卫生和计划生育委员会关于豆芽生产过程中禁止使用6-苄基腺嘌呤等物质的公告》（2015年第11号）、《食品安全国家标准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2763-2016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1. 芹菜(叶菜类蔬菜)抽检项目包括克百威、毒死蜱、氟虫腈、氧乐果、氯氟氰菊酯和高效氯氟氰菊酯、氯氰菊酯和高效氯氰菊酯、水胺硫磷、灭多威、灭线磷、甲拌磷、百菌清等11个指标。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2. 普通白菜(叶菜类蔬菜)抽检项目包括啶虫脒、毒死蜱、氟虫腈、氧乐果等4个指标。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3. 菜豆(豆类蔬菜)抽检项目包括克百威、氟虫腈、氧乐果、氯氰菊酯和高效氯氰菊酯、水胺硫磷、灭蝇胺、甲拌磷等7个指标。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4. 油麦菜(叶菜类蔬菜)抽检项目包括久效磷、对硫磷、氧乐果、水胺硫磷、灭线磷、甲基对硫磷、甲拌磷、甲胺磷等8个指标。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5. 韭菜(鳞茎类蔬菜)抽检项目包括乐果、对硫磷、毒死蜱、氧乐果、氯氟氰菊酯和高效氯氟氰菊酯、水胺硫磷、甲拌磷、腐霉利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、克百威、氟虫腈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10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6. 大白菜(叶菜类蔬菜)抽检项目包括久效磷、敌敌畏、杀螟硫磷、毒死蜱、氧乐果、水胺硫磷、灭线磷、甲拌磷等8个指标。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7. 豆芽抽检项目包括4-氯苯氧乙酸钠(以4-氯苯氧乙酸计)、6-苄基腺嘌呤(6-BA)、亚硫酸盐(以SO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 w:bidi="ar-SA"/>
        </w:rPr>
        <w:t>2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计)等3个指标。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七、蜂产品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蜂蜜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14963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农业部公告第2292号《发布在食品动物中停止使用洛美沙星、培氟沙星、氧氟沙星、诺氟沙星4种兽药的决定》、农业部公告第235号《动物性食品中兽药最高残留限量》、《食品安全国家标准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花粉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31636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6）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检验项目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蜂蜜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铅（以Pb计）、果糖和葡萄糖、蔗糖、山梨酸及其钾盐（以山梨酸计）、菌落总数、大肠菌群、霉菌计数、嗜渗酵母计数、氯霉素、洛美沙星、培氟沙星、氧氟沙星、诺氟沙星等13个指标。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蜂花粉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铅（以Pb计）、蛋白质、水分、菌落总数、大肠菌群、霉菌等6个指标。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60" w:lineRule="exact"/>
        <w:ind w:left="0" w:leftChars="0" w:right="0" w:firstLine="643" w:firstLineChars="200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 w:bidi="ar-SA"/>
        </w:rPr>
        <w:t>蜜饯果脯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抽检依据是抽检依据是《食品安全国家标准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、《食品安全国家标准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）、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蜜饯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14884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6）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（二）检验项目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蜜饯</w:t>
      </w:r>
      <w:r>
        <w:rPr>
          <w:rFonts w:ascii="仿宋" w:hAnsi="仿宋" w:eastAsia="仿宋" w:cs="仿宋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等16个指标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outlineLvl w:val="9"/>
        <w:rPr>
          <w:rFonts w:hint="eastAsia" w:ascii="Verdana" w:hAnsi="Times New Roman" w:eastAsia="宋体" w:cs="Times New Roman"/>
          <w:b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sz w:val="18"/>
        <w:szCs w:val="22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242377">
    <w:nsid w:val="5E8C2349"/>
    <w:multiLevelType w:val="singleLevel"/>
    <w:tmpl w:val="5E8C2349"/>
    <w:lvl w:ilvl="0" w:tentative="1">
      <w:start w:val="1"/>
      <w:numFmt w:val="decimal"/>
      <w:suff w:val="space"/>
      <w:lvlText w:val="%1."/>
      <w:lvlJc w:val="left"/>
    </w:lvl>
  </w:abstractNum>
  <w:abstractNum w:abstractNumId="1586242335">
    <w:nsid w:val="5E8C231F"/>
    <w:multiLevelType w:val="singleLevel"/>
    <w:tmpl w:val="5E8C231F"/>
    <w:lvl w:ilvl="0" w:tentative="1">
      <w:start w:val="2"/>
      <w:numFmt w:val="chineseCounting"/>
      <w:suff w:val="nothing"/>
      <w:lvlText w:val="（%1）"/>
      <w:lvlJc w:val="left"/>
    </w:lvl>
  </w:abstractNum>
  <w:abstractNum w:abstractNumId="1586248063">
    <w:nsid w:val="5E8C397F"/>
    <w:multiLevelType w:val="singleLevel"/>
    <w:tmpl w:val="5E8C397F"/>
    <w:lvl w:ilvl="0" w:tentative="1">
      <w:start w:val="8"/>
      <w:numFmt w:val="chineseCounting"/>
      <w:suff w:val="nothing"/>
      <w:lvlText w:val="%1、"/>
      <w:lvlJc w:val="left"/>
    </w:lvl>
  </w:abstractNum>
  <w:num w:numId="1">
    <w:abstractNumId w:val="1586242335"/>
  </w:num>
  <w:num w:numId="2">
    <w:abstractNumId w:val="1586242377"/>
  </w:num>
  <w:num w:numId="3">
    <w:abstractNumId w:val="15862480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k5RLlCvHVfotQx/jkqk9Ui52+jg=" w:salt="Ru3+Ode67Czx76uCf1N5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ABE3DDB"/>
    <w:rsid w:val="18C57524"/>
    <w:rsid w:val="1FF134F1"/>
    <w:rsid w:val="35171DDF"/>
    <w:rsid w:val="35C833EF"/>
    <w:rsid w:val="40387EBB"/>
    <w:rsid w:val="44F13F76"/>
    <w:rsid w:val="4B225B17"/>
    <w:rsid w:val="52BE1CCD"/>
    <w:rsid w:val="54C605FA"/>
    <w:rsid w:val="593B5A21"/>
    <w:rsid w:val="65FB1F4F"/>
    <w:rsid w:val="67C809A2"/>
    <w:rsid w:val="6C3F62D9"/>
    <w:rsid w:val="6E9003AB"/>
    <w:rsid w:val="741B1EB8"/>
    <w:rsid w:val="7D3F61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2020-04-07T06:18:00Z</dcterms:created>
  <dc:creator>Apache POI</dc:creator>
  <cp:lastModifiedBy>董廷俊</cp:lastModifiedBy>
  <dcterms:modified xsi:type="dcterms:W3CDTF">2020-04-09T07:22:47Z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