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02" w:rsidRDefault="00263605" w:rsidP="00263605">
      <w:pPr>
        <w:tabs>
          <w:tab w:val="left" w:pos="7200"/>
          <w:tab w:val="left" w:pos="7380"/>
          <w:tab w:val="left" w:pos="7560"/>
        </w:tabs>
        <w:spacing w:line="520" w:lineRule="exact"/>
        <w:jc w:val="left"/>
        <w:rPr>
          <w:rFonts w:eastAsia="黑体"/>
          <w:color w:val="000000"/>
          <w:sz w:val="32"/>
          <w:szCs w:val="32"/>
        </w:rPr>
      </w:pPr>
      <w:r>
        <w:rPr>
          <w:rFonts w:eastAsia="黑体"/>
          <w:color w:val="000000"/>
          <w:sz w:val="32"/>
          <w:szCs w:val="32"/>
        </w:rPr>
        <w:t>附件</w:t>
      </w:r>
    </w:p>
    <w:p w:rsidR="00D12502" w:rsidRDefault="00D12502" w:rsidP="00263605">
      <w:pPr>
        <w:tabs>
          <w:tab w:val="left" w:pos="7200"/>
          <w:tab w:val="left" w:pos="7380"/>
          <w:tab w:val="left" w:pos="7560"/>
        </w:tabs>
        <w:spacing w:line="520" w:lineRule="exact"/>
        <w:jc w:val="left"/>
        <w:rPr>
          <w:rFonts w:eastAsia="黑体"/>
          <w:color w:val="000000"/>
          <w:sz w:val="32"/>
          <w:szCs w:val="32"/>
        </w:rPr>
      </w:pPr>
    </w:p>
    <w:p w:rsidR="00D12502" w:rsidRDefault="00263605" w:rsidP="00263605">
      <w:pPr>
        <w:spacing w:line="520" w:lineRule="exact"/>
        <w:jc w:val="center"/>
        <w:rPr>
          <w:rFonts w:eastAsia="方正小标宋简体"/>
          <w:color w:val="000000"/>
          <w:sz w:val="44"/>
          <w:szCs w:val="44"/>
        </w:rPr>
      </w:pPr>
      <w:r>
        <w:rPr>
          <w:rFonts w:eastAsia="方正小标宋简体"/>
          <w:sz w:val="44"/>
          <w:szCs w:val="44"/>
        </w:rPr>
        <w:t>烟酸注射液和注射用烟酸说明书修订</w:t>
      </w:r>
      <w:r>
        <w:rPr>
          <w:rFonts w:eastAsia="方正小标宋简体"/>
          <w:color w:val="000000"/>
          <w:sz w:val="44"/>
          <w:szCs w:val="44"/>
        </w:rPr>
        <w:t>要求</w:t>
      </w:r>
    </w:p>
    <w:p w:rsidR="00D12502" w:rsidRDefault="00D12502" w:rsidP="00263605">
      <w:pPr>
        <w:spacing w:line="520" w:lineRule="exact"/>
        <w:ind w:left="1280" w:hangingChars="400" w:hanging="1280"/>
        <w:jc w:val="center"/>
        <w:rPr>
          <w:rFonts w:eastAsia="仿宋_GB2312"/>
          <w:color w:val="000000"/>
          <w:sz w:val="32"/>
          <w:szCs w:val="32"/>
        </w:rPr>
      </w:pPr>
    </w:p>
    <w:p w:rsidR="00D12502" w:rsidRDefault="00263605" w:rsidP="00263605">
      <w:pPr>
        <w:spacing w:line="520" w:lineRule="exact"/>
        <w:ind w:firstLineChars="200" w:firstLine="640"/>
        <w:rPr>
          <w:rFonts w:eastAsia="黑体"/>
          <w:sz w:val="32"/>
          <w:szCs w:val="32"/>
        </w:rPr>
      </w:pPr>
      <w:r>
        <w:rPr>
          <w:rFonts w:eastAsia="黑体" w:hint="eastAsia"/>
          <w:sz w:val="32"/>
          <w:szCs w:val="32"/>
        </w:rPr>
        <w:t>一、【不良反应】项下应包含以下内容：</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上市后不良反应监测数据显示本品可见以下不良反应：</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过敏反应：皮肤潮红或苍白、皮疹、瘙痒、寒战、口唇肿胀、喉头水肿、呼吸困难、咳嗽、心悸、紫</w:t>
      </w:r>
      <w:proofErr w:type="gramStart"/>
      <w:r w:rsidRPr="00263605">
        <w:rPr>
          <w:rFonts w:eastAsia="仿宋_GB2312" w:hint="eastAsia"/>
          <w:sz w:val="32"/>
          <w:szCs w:val="32"/>
        </w:rPr>
        <w:t>绀</w:t>
      </w:r>
      <w:proofErr w:type="gramEnd"/>
      <w:r w:rsidRPr="00263605">
        <w:rPr>
          <w:rFonts w:eastAsia="仿宋_GB2312" w:hint="eastAsia"/>
          <w:sz w:val="32"/>
          <w:szCs w:val="32"/>
        </w:rPr>
        <w:t>、血压下降甚至休克等。</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全身性损害：寒战、发热、高热、畏寒、胸闷、胸痛。</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呼吸系统损害：呼吸困难、呼吸急促、咳嗽、喉头水肿。</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心血管损害：低血压、心悸。</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血管损害及出血凝血障碍：静脉炎、潮红。</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皮肤及其附件损害：皮疹、瘙痒、出汗增加。</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肝胆系统损害：黄疸、肝生化指标异常。</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胃肠系统损害：恶心、呕吐、腹痛、腹泻、口干。</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神经系统损害：头晕、头痛、眩晕。</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代谢异常：糖耐量降低（长期、大量给药）、高尿酸血症（长期、大量给药）。</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用药部位损害：注射部位疼痛。</w:t>
      </w:r>
    </w:p>
    <w:p w:rsidR="00D12502" w:rsidRDefault="00263605" w:rsidP="00263605">
      <w:pPr>
        <w:spacing w:line="520" w:lineRule="exact"/>
        <w:ind w:firstLineChars="200" w:firstLine="640"/>
        <w:rPr>
          <w:rFonts w:eastAsia="黑体"/>
          <w:sz w:val="32"/>
          <w:szCs w:val="32"/>
        </w:rPr>
      </w:pPr>
      <w:r>
        <w:rPr>
          <w:rFonts w:eastAsia="黑体" w:hint="eastAsia"/>
          <w:sz w:val="32"/>
          <w:szCs w:val="32"/>
        </w:rPr>
        <w:t>二、【禁忌】项下应包含以下内容：</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1.</w:t>
      </w:r>
      <w:r w:rsidRPr="00263605">
        <w:rPr>
          <w:rFonts w:eastAsia="仿宋_GB2312" w:hint="eastAsia"/>
          <w:sz w:val="32"/>
          <w:szCs w:val="32"/>
        </w:rPr>
        <w:t>对本制剂有过敏史的患者禁用；</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2.</w:t>
      </w:r>
      <w:r w:rsidRPr="00263605">
        <w:rPr>
          <w:rFonts w:eastAsia="仿宋_GB2312" w:hint="eastAsia"/>
          <w:sz w:val="32"/>
          <w:szCs w:val="32"/>
        </w:rPr>
        <w:t>患有严重低血压或动脉出血的患者禁用。</w:t>
      </w:r>
    </w:p>
    <w:p w:rsidR="00D12502" w:rsidRDefault="00263605" w:rsidP="00263605">
      <w:pPr>
        <w:spacing w:line="520" w:lineRule="exact"/>
        <w:ind w:firstLineChars="200" w:firstLine="640"/>
        <w:rPr>
          <w:rFonts w:eastAsia="黑体"/>
          <w:sz w:val="32"/>
          <w:szCs w:val="32"/>
        </w:rPr>
      </w:pPr>
      <w:r>
        <w:rPr>
          <w:rFonts w:eastAsia="黑体" w:hint="eastAsia"/>
          <w:sz w:val="32"/>
          <w:szCs w:val="32"/>
        </w:rPr>
        <w:t>三、【注意事项】项下应包含以下内容：</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1.</w:t>
      </w:r>
      <w:r w:rsidRPr="00263605">
        <w:rPr>
          <w:rFonts w:eastAsia="仿宋_GB2312" w:hint="eastAsia"/>
          <w:sz w:val="32"/>
          <w:szCs w:val="32"/>
        </w:rPr>
        <w:t>本品应单独使用，更换输液时应注意冲管。</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2.</w:t>
      </w:r>
      <w:r w:rsidRPr="00263605">
        <w:rPr>
          <w:rFonts w:eastAsia="仿宋_GB2312" w:hint="eastAsia"/>
          <w:sz w:val="32"/>
          <w:szCs w:val="32"/>
        </w:rPr>
        <w:t>本品首次使用时</w:t>
      </w:r>
      <w:r w:rsidRPr="00263605">
        <w:rPr>
          <w:rFonts w:eastAsia="仿宋_GB2312" w:hint="eastAsia"/>
          <w:sz w:val="32"/>
          <w:szCs w:val="32"/>
        </w:rPr>
        <w:t>宜低剂量开始，使用过程中应缓慢给药。</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lastRenderedPageBreak/>
        <w:t>3.</w:t>
      </w:r>
      <w:r w:rsidRPr="00263605">
        <w:rPr>
          <w:rFonts w:eastAsia="仿宋_GB2312" w:hint="eastAsia"/>
          <w:sz w:val="32"/>
          <w:szCs w:val="32"/>
        </w:rPr>
        <w:t>青光眼、糖尿病、溃疡病及肝功能不全患者慎用。</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4.</w:t>
      </w:r>
      <w:r w:rsidRPr="00263605">
        <w:rPr>
          <w:rFonts w:eastAsia="仿宋_GB2312" w:hint="eastAsia"/>
          <w:sz w:val="32"/>
          <w:szCs w:val="32"/>
        </w:rPr>
        <w:t>新生儿、婴幼儿、儿童、孕妇及哺乳期妇女慎用，老年人酌情减量使用。</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5.</w:t>
      </w:r>
      <w:r w:rsidRPr="00263605">
        <w:rPr>
          <w:rFonts w:eastAsia="仿宋_GB2312" w:hint="eastAsia"/>
          <w:sz w:val="32"/>
          <w:szCs w:val="32"/>
        </w:rPr>
        <w:t>使用含烟酸制剂治疗可能发生尿酸升高，有痛风倾向的患者慎用。</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6.</w:t>
      </w:r>
      <w:r w:rsidRPr="00263605">
        <w:rPr>
          <w:rFonts w:eastAsia="仿宋_GB2312" w:hint="eastAsia"/>
          <w:sz w:val="32"/>
          <w:szCs w:val="32"/>
        </w:rPr>
        <w:t>与他</w:t>
      </w:r>
      <w:proofErr w:type="gramStart"/>
      <w:r w:rsidRPr="00263605">
        <w:rPr>
          <w:rFonts w:eastAsia="仿宋_GB2312" w:hint="eastAsia"/>
          <w:sz w:val="32"/>
          <w:szCs w:val="32"/>
        </w:rPr>
        <w:t>汀</w:t>
      </w:r>
      <w:proofErr w:type="gramEnd"/>
      <w:r w:rsidRPr="00263605">
        <w:rPr>
          <w:rFonts w:eastAsia="仿宋_GB2312" w:hint="eastAsia"/>
          <w:sz w:val="32"/>
          <w:szCs w:val="32"/>
        </w:rPr>
        <w:t>或贝</w:t>
      </w:r>
      <w:proofErr w:type="gramStart"/>
      <w:r w:rsidRPr="00263605">
        <w:rPr>
          <w:rFonts w:eastAsia="仿宋_GB2312" w:hint="eastAsia"/>
          <w:sz w:val="32"/>
          <w:szCs w:val="32"/>
        </w:rPr>
        <w:t>特</w:t>
      </w:r>
      <w:proofErr w:type="gramEnd"/>
      <w:r w:rsidRPr="00263605">
        <w:rPr>
          <w:rFonts w:eastAsia="仿宋_GB2312" w:hint="eastAsia"/>
          <w:sz w:val="32"/>
          <w:szCs w:val="32"/>
        </w:rPr>
        <w:t>类药物联合应用时应谨慎，因为有烟酸与这类降脂药联合应用时骨骼肌肉事件增加的报道。</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7.</w:t>
      </w:r>
      <w:r w:rsidRPr="00263605">
        <w:rPr>
          <w:rFonts w:eastAsia="仿宋_GB2312" w:hint="eastAsia"/>
          <w:sz w:val="32"/>
          <w:szCs w:val="32"/>
        </w:rPr>
        <w:t>与口服降糖（格列本</w:t>
      </w:r>
      <w:proofErr w:type="gramStart"/>
      <w:r w:rsidRPr="00263605">
        <w:rPr>
          <w:rFonts w:eastAsia="仿宋_GB2312" w:hint="eastAsia"/>
          <w:sz w:val="32"/>
          <w:szCs w:val="32"/>
        </w:rPr>
        <w:t>脲</w:t>
      </w:r>
      <w:proofErr w:type="gramEnd"/>
      <w:r w:rsidRPr="00263605">
        <w:rPr>
          <w:rFonts w:eastAsia="仿宋_GB2312" w:hint="eastAsia"/>
          <w:sz w:val="32"/>
          <w:szCs w:val="32"/>
        </w:rPr>
        <w:t>、胰岛素）合用的情况下，应注意观察血糖水平，可能存在减弱降血糖作用的风险。</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8.</w:t>
      </w:r>
      <w:r w:rsidRPr="00263605">
        <w:rPr>
          <w:rFonts w:eastAsia="仿宋_GB2312" w:hint="eastAsia"/>
          <w:sz w:val="32"/>
          <w:szCs w:val="32"/>
        </w:rPr>
        <w:t>与含有大量烟酸或相关化合物如烟酰胺的维生素制剂或其他营养补充剂合用，可能增加本品的不良反</w:t>
      </w:r>
      <w:r w:rsidRPr="00263605">
        <w:rPr>
          <w:rFonts w:eastAsia="仿宋_GB2312" w:hint="eastAsia"/>
          <w:sz w:val="32"/>
          <w:szCs w:val="32"/>
        </w:rPr>
        <w:t>应。</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9.</w:t>
      </w:r>
      <w:r w:rsidRPr="00263605">
        <w:rPr>
          <w:rFonts w:eastAsia="仿宋_GB2312" w:hint="eastAsia"/>
          <w:sz w:val="32"/>
          <w:szCs w:val="32"/>
        </w:rPr>
        <w:t>酒精或热饮料的摄入可能增加潮红和瘙痒等不良反应的发生，因而在服用本品时，应避免饮酒和热饮。</w:t>
      </w:r>
    </w:p>
    <w:p w:rsidR="00D12502" w:rsidRPr="00263605" w:rsidRDefault="00263605" w:rsidP="00263605">
      <w:pPr>
        <w:spacing w:line="520" w:lineRule="exact"/>
        <w:ind w:firstLineChars="200" w:firstLine="640"/>
        <w:rPr>
          <w:rFonts w:eastAsia="仿宋_GB2312"/>
          <w:sz w:val="32"/>
          <w:szCs w:val="32"/>
        </w:rPr>
      </w:pPr>
      <w:r w:rsidRPr="00263605">
        <w:rPr>
          <w:rFonts w:eastAsia="仿宋_GB2312" w:hint="eastAsia"/>
          <w:sz w:val="32"/>
          <w:szCs w:val="32"/>
        </w:rPr>
        <w:t>10.</w:t>
      </w:r>
      <w:r w:rsidRPr="00263605">
        <w:rPr>
          <w:rFonts w:eastAsia="仿宋_GB2312" w:hint="eastAsia"/>
          <w:sz w:val="32"/>
          <w:szCs w:val="32"/>
        </w:rPr>
        <w:t>有资料显示本品与脑蛋白水解物、清开灵注射液两药在体外配伍时可产生沉淀或药品理化性质发生改变，禁止配伍。</w:t>
      </w:r>
    </w:p>
    <w:p w:rsidR="00D12502" w:rsidRDefault="00D12502" w:rsidP="00263605">
      <w:pPr>
        <w:spacing w:line="520" w:lineRule="exact"/>
        <w:ind w:firstLineChars="200" w:firstLine="640"/>
        <w:rPr>
          <w:rFonts w:eastAsia="仿宋_GB2312"/>
          <w:sz w:val="32"/>
          <w:szCs w:val="32"/>
        </w:rPr>
      </w:pPr>
    </w:p>
    <w:p w:rsidR="00D12502" w:rsidRDefault="00263605" w:rsidP="00263605">
      <w:pPr>
        <w:overflowPunct w:val="0"/>
        <w:autoSpaceDE w:val="0"/>
        <w:autoSpaceDN w:val="0"/>
        <w:spacing w:line="520" w:lineRule="exact"/>
        <w:ind w:firstLineChars="200" w:firstLine="640"/>
        <w:rPr>
          <w:rFonts w:eastAsia="仿宋_GB2312"/>
          <w:sz w:val="32"/>
          <w:szCs w:val="32"/>
        </w:rPr>
      </w:pPr>
      <w:r>
        <w:rPr>
          <w:rFonts w:eastAsia="仿宋_GB2312" w:hint="eastAsia"/>
          <w:sz w:val="32"/>
          <w:szCs w:val="32"/>
        </w:rPr>
        <w:t>（注：说明书其他内容如与上述修订要求不一致的，应当一并进行修订。）</w:t>
      </w:r>
    </w:p>
    <w:p w:rsidR="00D12502" w:rsidRDefault="00D12502" w:rsidP="00263605">
      <w:pPr>
        <w:overflowPunct w:val="0"/>
        <w:autoSpaceDE w:val="0"/>
        <w:autoSpaceDN w:val="0"/>
        <w:spacing w:line="520" w:lineRule="exact"/>
        <w:ind w:firstLineChars="200" w:firstLine="640"/>
        <w:rPr>
          <w:rFonts w:eastAsia="仿宋_GB2312"/>
          <w:sz w:val="32"/>
          <w:szCs w:val="32"/>
        </w:rPr>
      </w:pPr>
    </w:p>
    <w:p w:rsidR="00D12502" w:rsidRDefault="00D12502" w:rsidP="00263605">
      <w:pPr>
        <w:spacing w:line="500" w:lineRule="exact"/>
        <w:rPr>
          <w:rFonts w:eastAsia="仿宋_GB2312"/>
          <w:sz w:val="28"/>
          <w:szCs w:val="28"/>
        </w:rPr>
      </w:pPr>
      <w:bookmarkStart w:id="0" w:name="_GoBack"/>
      <w:bookmarkEnd w:id="0"/>
    </w:p>
    <w:sectPr w:rsidR="00D12502">
      <w:footerReference w:type="even" r:id="rId8"/>
      <w:footerReference w:type="default" r:id="rId9"/>
      <w:pgSz w:w="11906" w:h="16838"/>
      <w:pgMar w:top="1928" w:right="1531" w:bottom="1701" w:left="1531" w:header="851" w:footer="113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3605">
      <w:r>
        <w:separator/>
      </w:r>
    </w:p>
  </w:endnote>
  <w:endnote w:type="continuationSeparator" w:id="0">
    <w:p w:rsidR="00000000" w:rsidRDefault="0026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02" w:rsidRDefault="00263605">
    <w:pPr>
      <w:pStyle w:val="a5"/>
    </w:pPr>
    <w:r>
      <w:pict>
        <v:shapetype id="_x0000_t202" coordsize="21600,21600" o:spt="202" path="m,l,21600r21600,l21600,xe">
          <v:stroke joinstyle="miter"/>
          <v:path gradientshapeok="t" o:connecttype="rect"/>
        </v:shapetype>
        <v:shape id="_x0000_s2051" type="#_x0000_t202" style="position:absolute;margin-left:0;margin-top:-18.3pt;width:2in;height:2in;z-index:251661312;mso-wrap-style:none;mso-position-horizontal-relative:margin;mso-width-relative:page;mso-height-relative:page" filled="f" stroked="f">
          <v:textbox style="mso-fit-shape-to-text:t" inset="0,0,0,0">
            <w:txbxContent>
              <w:p w:rsidR="00D12502" w:rsidRDefault="00263605">
                <w:pPr>
                  <w:pStyle w:val="a5"/>
                </w:pPr>
                <w:r w:rsidRPr="00263605">
                  <w:rPr>
                    <w:rFonts w:hint="eastAsia"/>
                    <w:color w:val="FFFFFF"/>
                    <w:sz w:val="28"/>
                    <w:szCs w:val="28"/>
                  </w:rPr>
                  <w:t>—</w:t>
                </w:r>
                <w:r w:rsidRPr="00263605">
                  <w:rPr>
                    <w:rFonts w:hint="eastAsia"/>
                    <w:sz w:val="28"/>
                    <w:szCs w:val="28"/>
                  </w:rPr>
                  <w:t>—</w:t>
                </w:r>
                <w:r w:rsidRPr="00263605">
                  <w:rPr>
                    <w:sz w:val="28"/>
                    <w:szCs w:val="28"/>
                  </w:rPr>
                  <w:t xml:space="preserve"> </w:t>
                </w:r>
                <w:r w:rsidRPr="00263605">
                  <w:rPr>
                    <w:rFonts w:hint="eastAsia"/>
                    <w:sz w:val="28"/>
                    <w:szCs w:val="28"/>
                  </w:rPr>
                  <w:fldChar w:fldCharType="begin"/>
                </w:r>
                <w:r w:rsidRPr="00263605">
                  <w:rPr>
                    <w:sz w:val="28"/>
                    <w:szCs w:val="28"/>
                  </w:rPr>
                  <w:instrText xml:space="preserve"> PAGE  \* MERGEFORMAT </w:instrText>
                </w:r>
                <w:r w:rsidRPr="00263605">
                  <w:rPr>
                    <w:rFonts w:hint="eastAsia"/>
                    <w:sz w:val="28"/>
                    <w:szCs w:val="28"/>
                  </w:rPr>
                  <w:fldChar w:fldCharType="separate"/>
                </w:r>
                <w:r>
                  <w:rPr>
                    <w:noProof/>
                    <w:sz w:val="28"/>
                    <w:szCs w:val="28"/>
                  </w:rPr>
                  <w:t>2</w:t>
                </w:r>
                <w:r w:rsidRPr="00263605">
                  <w:rPr>
                    <w:rFonts w:hint="eastAsia"/>
                    <w:sz w:val="28"/>
                    <w:szCs w:val="28"/>
                  </w:rPr>
                  <w:fldChar w:fldCharType="end"/>
                </w:r>
                <w:r w:rsidRPr="00263605">
                  <w:rPr>
                    <w:sz w:val="28"/>
                    <w:szCs w:val="28"/>
                  </w:rPr>
                  <w:t xml:space="preserve"> </w:t>
                </w:r>
                <w:r w:rsidRPr="00263605">
                  <w:rPr>
                    <w:rFonts w:hint="eastAsia"/>
                    <w:sz w:val="28"/>
                    <w:szCs w:val="28"/>
                  </w:rPr>
                  <w:t>—</w:t>
                </w:r>
                <w:r w:rsidRPr="00263605">
                  <w:rPr>
                    <w:rFonts w:hint="eastAsia"/>
                    <w:color w:val="FFFFFF"/>
                    <w:sz w:val="28"/>
                    <w:szCs w:val="28"/>
                  </w:rPr>
                  <w:t>—</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02" w:rsidRDefault="00263605">
    <w:pPr>
      <w:pStyle w:val="a5"/>
    </w:pPr>
    <w:r>
      <w:pict>
        <v:shapetype id="_x0000_t202" coordsize="21600,21600" o:spt="202" path="m,l,21600r21600,l21600,xe">
          <v:stroke joinstyle="miter"/>
          <v:path gradientshapeok="t" o:connecttype="rect"/>
        </v:shapetype>
        <v:shape id="_x0000_s2052" type="#_x0000_t202" style="position:absolute;margin-left:365.2pt;margin-top:-18.35pt;width:2in;height:2in;z-index:251659264;mso-wrap-style:none;mso-position-horizontal-relative:margin;mso-width-relative:page;mso-height-relative:page" filled="f" stroked="f">
          <v:textbox style="mso-fit-shape-to-text:t" inset="0,0,0,0">
            <w:txbxContent>
              <w:p w:rsidR="00D12502" w:rsidRDefault="00263605">
                <w:pPr>
                  <w:pStyle w:val="a5"/>
                </w:pPr>
                <w:r w:rsidRPr="00263605">
                  <w:rPr>
                    <w:rFonts w:hint="eastAsia"/>
                    <w:color w:val="FFFFFF"/>
                    <w:sz w:val="28"/>
                    <w:szCs w:val="28"/>
                  </w:rPr>
                  <w:t>—</w:t>
                </w:r>
                <w:r w:rsidRPr="00263605">
                  <w:rPr>
                    <w:rFonts w:hint="eastAsia"/>
                    <w:sz w:val="28"/>
                    <w:szCs w:val="28"/>
                  </w:rPr>
                  <w:t>—</w:t>
                </w:r>
                <w:r w:rsidRPr="00263605">
                  <w:rPr>
                    <w:sz w:val="28"/>
                    <w:szCs w:val="28"/>
                  </w:rPr>
                  <w:t xml:space="preserve"> </w:t>
                </w:r>
                <w:r w:rsidRPr="00263605">
                  <w:rPr>
                    <w:rFonts w:hint="eastAsia"/>
                    <w:sz w:val="28"/>
                    <w:szCs w:val="28"/>
                  </w:rPr>
                  <w:fldChar w:fldCharType="begin"/>
                </w:r>
                <w:r w:rsidRPr="00263605">
                  <w:rPr>
                    <w:sz w:val="28"/>
                    <w:szCs w:val="28"/>
                  </w:rPr>
                  <w:instrText xml:space="preserve"> PAGE  \* MERGEFORMAT </w:instrText>
                </w:r>
                <w:r w:rsidRPr="00263605">
                  <w:rPr>
                    <w:rFonts w:hint="eastAsia"/>
                    <w:sz w:val="28"/>
                    <w:szCs w:val="28"/>
                  </w:rPr>
                  <w:fldChar w:fldCharType="separate"/>
                </w:r>
                <w:r>
                  <w:rPr>
                    <w:noProof/>
                    <w:sz w:val="28"/>
                    <w:szCs w:val="28"/>
                  </w:rPr>
                  <w:t>1</w:t>
                </w:r>
                <w:r w:rsidRPr="00263605">
                  <w:rPr>
                    <w:rFonts w:hint="eastAsia"/>
                    <w:sz w:val="28"/>
                    <w:szCs w:val="28"/>
                  </w:rPr>
                  <w:fldChar w:fldCharType="end"/>
                </w:r>
                <w:r w:rsidRPr="00263605">
                  <w:rPr>
                    <w:sz w:val="28"/>
                    <w:szCs w:val="28"/>
                  </w:rPr>
                  <w:t xml:space="preserve"> </w:t>
                </w:r>
                <w:r w:rsidRPr="00263605">
                  <w:rPr>
                    <w:rFonts w:hint="eastAsia"/>
                    <w:sz w:val="28"/>
                    <w:szCs w:val="28"/>
                  </w:rPr>
                  <w:t>—</w:t>
                </w:r>
                <w:r w:rsidRPr="00263605">
                  <w:rPr>
                    <w:rFonts w:hint="eastAsia"/>
                    <w:color w:val="FFFFFF"/>
                    <w:sz w:val="28"/>
                    <w:szCs w:val="28"/>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3605">
      <w:r>
        <w:separator/>
      </w:r>
    </w:p>
  </w:footnote>
  <w:footnote w:type="continuationSeparator" w:id="0">
    <w:p w:rsidR="00000000" w:rsidRDefault="0026360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0C8"/>
    <w:rsid w:val="8FDED6F3"/>
    <w:rsid w:val="BDFC8516"/>
    <w:rsid w:val="BEFFE3D0"/>
    <w:rsid w:val="BFB561A1"/>
    <w:rsid w:val="EFBDF6D8"/>
    <w:rsid w:val="EFBF7047"/>
    <w:rsid w:val="FC3A404B"/>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63605"/>
    <w:rsid w:val="00277D15"/>
    <w:rsid w:val="002A510C"/>
    <w:rsid w:val="002A7F53"/>
    <w:rsid w:val="002F2CC3"/>
    <w:rsid w:val="002F686F"/>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12502"/>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1AD0C0B"/>
    <w:rsid w:val="0354762E"/>
    <w:rsid w:val="07097105"/>
    <w:rsid w:val="0B276B96"/>
    <w:rsid w:val="0BEC7EA0"/>
    <w:rsid w:val="0E6F1916"/>
    <w:rsid w:val="175F7676"/>
    <w:rsid w:val="17F003D7"/>
    <w:rsid w:val="1BE0207B"/>
    <w:rsid w:val="1CCC347F"/>
    <w:rsid w:val="23C62DC4"/>
    <w:rsid w:val="240D21B3"/>
    <w:rsid w:val="283E4E9B"/>
    <w:rsid w:val="29726DEC"/>
    <w:rsid w:val="2F08562F"/>
    <w:rsid w:val="323D16BB"/>
    <w:rsid w:val="33CF2BD5"/>
    <w:rsid w:val="33F63514"/>
    <w:rsid w:val="347E63FF"/>
    <w:rsid w:val="3B3402F0"/>
    <w:rsid w:val="3BE50AD9"/>
    <w:rsid w:val="3D185B2F"/>
    <w:rsid w:val="40F963DD"/>
    <w:rsid w:val="43A5025B"/>
    <w:rsid w:val="49180A90"/>
    <w:rsid w:val="49873636"/>
    <w:rsid w:val="49935B0C"/>
    <w:rsid w:val="4BFFC5F7"/>
    <w:rsid w:val="4DC21CA6"/>
    <w:rsid w:val="4DD0073E"/>
    <w:rsid w:val="4F95278B"/>
    <w:rsid w:val="51220B56"/>
    <w:rsid w:val="5302245F"/>
    <w:rsid w:val="53E46F64"/>
    <w:rsid w:val="543C39A7"/>
    <w:rsid w:val="591D3208"/>
    <w:rsid w:val="5C801B6D"/>
    <w:rsid w:val="5EFD0E30"/>
    <w:rsid w:val="5FF072EE"/>
    <w:rsid w:val="60FD799C"/>
    <w:rsid w:val="61AE2508"/>
    <w:rsid w:val="63E446CD"/>
    <w:rsid w:val="64463ECB"/>
    <w:rsid w:val="675D3BE4"/>
    <w:rsid w:val="67CA3208"/>
    <w:rsid w:val="68751662"/>
    <w:rsid w:val="6BE35C03"/>
    <w:rsid w:val="6C161868"/>
    <w:rsid w:val="74416D18"/>
    <w:rsid w:val="76264FFB"/>
    <w:rsid w:val="773D7371"/>
    <w:rsid w:val="77D7E414"/>
    <w:rsid w:val="789F5EF6"/>
    <w:rsid w:val="79F066CD"/>
    <w:rsid w:val="7B502A15"/>
    <w:rsid w:val="7E67E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Char0">
    <w:name w:val="页眉 Char"/>
    <w:link w:val="a6"/>
    <w:uiPriority w:val="99"/>
    <w:rPr>
      <w:kern w:val="2"/>
      <w:sz w:val="18"/>
      <w:szCs w:val="18"/>
    </w:rPr>
  </w:style>
  <w:style w:type="character" w:customStyle="1" w:styleId="Char">
    <w:name w:val="页脚 Char"/>
    <w:link w:val="a5"/>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2052" textRotate="1"/>
    <customShpInfo spid="_x0000_s2051" textRotate="1"/>
    <customShpInfo spid="_x0000_s1058"/>
    <customShpInfo spid="_x0000_s1060"/>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126</Words>
  <Characters>719</Characters>
  <Application>Microsoft Office Word</Application>
  <DocSecurity>0</DocSecurity>
  <Lines>5</Lines>
  <Paragraphs>1</Paragraphs>
  <ScaleCrop>false</ScaleCrop>
  <Company>Xtzj.Com</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view01</cp:lastModifiedBy>
  <cp:revision>21</cp:revision>
  <cp:lastPrinted>2020-03-17T15:45:00Z</cp:lastPrinted>
  <dcterms:created xsi:type="dcterms:W3CDTF">2014-07-31T01:26:00Z</dcterms:created>
  <dcterms:modified xsi:type="dcterms:W3CDTF">2020-03-17T08:06:00Z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