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（一）抽检依据</w:t>
      </w:r>
    </w:p>
    <w:p>
      <w:pPr>
        <w:widowControl/>
        <w:spacing w:line="520" w:lineRule="exact"/>
        <w:ind w:firstLine="640" w:firstLineChars="200"/>
        <w:jc w:val="distribut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鲜、冻动物性水产品》（GB 2733—2015）、《食品安全国家标准 食品中农药最大残留限量》（GB 2763—2016）、《鲜（冻）畜肉卫生标准》（GB 2707—2005）、《食品安全国家标准 食品中百草枯等43种农药最大残留量》（GB 2763.1—2018）、《动物性食品中兽药最高残留限量》（农业部公告第235号）、《发布在食品动物中停止使用洛美沙星、培氟沙星、氧氟沙星、诺氟沙星4种兽药的决定》（农业部公告第2292号）、《兽药地方标准废止目录》（农业部公告第560号）、《食品中可能违法添加的非食用物质和易滥用的食品添加剂名单（第四批）》（整顿办函〔2010〕50号）等标准及产品明示标准和指标的要求。</w:t>
      </w:r>
    </w:p>
    <w:p>
      <w:pPr>
        <w:widowControl/>
        <w:spacing w:line="520" w:lineRule="exact"/>
        <w:ind w:firstLine="640" w:firstLineChars="200"/>
        <w:jc w:val="left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（二）抽检项目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贝类抽检项目包括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海水虾抽检项目包括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鸡蛋抽检项目包括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辣椒抽检项目包括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梨抽检项目包括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马铃薯抽检项目包括铅（以Pb计）、镉（以Cd计）、阿维菌素、倍硫磷、吡唑醚菌酯、对硫磷、氟吡甲禾灵和高效氟吡甲禾灵、氟虫腈、氟啶胺、甲胺磷、甲拌磷、甲基毒死蜱、灭多威、内吸磷、噻虫啉、噻呋酰胺、杀扑磷、水胺硫磷、辛硫磷、氧乐果、克百威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牛肉抽检项目包括挥发性盐基氮、铅(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苹果抽检项目包括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豇豆抽检项目包括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韭菜抽检项目包括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菠菜抽检项目包括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普通白菜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13.桃抽检项目包括铅（以Pb计）、辛硫磷、戊唑醇、氰戊菊酯和S-氰戊菊酯、氯氰菊酯和高效氯氰菊酯、抗蚜威、腈苯唑、氟虫腈、吡唑醚菌酯、苯醚甲环唑、啶虫脒、乐果、多菌灵、氯唑磷。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西瓜抽检项目包括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spacing w:line="520" w:lineRule="exact"/>
        <w:ind w:firstLine="63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二、饼干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（一）抽检依据</w:t>
      </w:r>
    </w:p>
    <w:p>
      <w:pPr>
        <w:pStyle w:val="2"/>
        <w:spacing w:line="520" w:lineRule="exact"/>
        <w:jc w:val="distribute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《食品安全国家标准 食品添加剂使用标准》（GB</w:t>
      </w:r>
    </w:p>
    <w:p>
      <w:pPr>
        <w:pStyle w:val="2"/>
        <w:spacing w:line="520" w:lineRule="exact"/>
        <w:jc w:val="distribute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2760—2014）、《食品安全国家标准 食品中污染物限量》（GB2762—2017）、《食品安全国家标准 食品中致病菌限量》（GB29921—2013）、《食品安全国家标准 饼干》（GB 7100—2015）等标准及产品明示标</w:t>
      </w:r>
      <w:bookmarkStart w:id="0" w:name="_GoBack"/>
      <w:bookmarkEnd w:id="0"/>
      <w:r>
        <w:rPr>
          <w:rFonts w:ascii="Times New Roman" w:cs="Times New Roman"/>
          <w:sz w:val="32"/>
          <w:szCs w:val="32"/>
        </w:rPr>
        <w:t>准和指标的要求。</w:t>
      </w:r>
    </w:p>
    <w:p>
      <w:pPr>
        <w:widowControl/>
        <w:spacing w:line="520" w:lineRule="exact"/>
        <w:ind w:firstLine="640" w:firstLineChars="200"/>
        <w:jc w:val="left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（二）抽检项目</w:t>
      </w:r>
    </w:p>
    <w:p>
      <w:pPr>
        <w:pStyle w:val="2"/>
        <w:spacing w:line="520" w:lineRule="exact"/>
        <w:ind w:firstLine="636"/>
        <w:rPr>
          <w:rFonts w:ascii="Times New Roman" w:cs="Times New Roman"/>
        </w:rPr>
      </w:pPr>
      <w:r>
        <w:rPr>
          <w:rFonts w:ascii="Times New Roman" w:cs="Times New Roman"/>
          <w:sz w:val="32"/>
          <w:szCs w:val="32"/>
        </w:rPr>
        <w:t>饼干抽检项目包括酸价（以脂肪计）、过氧化值（以脂肪计）、 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金黄色葡萄球菌、沙门氏菌、霉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E6F75"/>
    <w:rsid w:val="33775BB1"/>
    <w:rsid w:val="580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2020-01-21T10:31:00Z</dcterms:created>
  <dc:creator>胡小雲 </dc:creator>
  <cp:lastModifiedBy>胡小雲 </cp:lastModifiedBy>
  <dcterms:modified xsi:type="dcterms:W3CDTF">2020-02-13T09:28:55Z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