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28" w:rsidRPr="009C685A" w:rsidRDefault="00633E28" w:rsidP="00633E28">
      <w:pPr>
        <w:adjustRightInd w:val="0"/>
        <w:snapToGrid w:val="0"/>
        <w:spacing w:line="560" w:lineRule="exact"/>
        <w:rPr>
          <w:rFonts w:ascii="黑体" w:eastAsia="黑体" w:hAnsi="黑体"/>
          <w:sz w:val="32"/>
          <w:szCs w:val="32"/>
        </w:rPr>
      </w:pPr>
      <w:r w:rsidRPr="009C685A">
        <w:rPr>
          <w:rFonts w:ascii="黑体" w:eastAsia="黑体" w:hAnsi="黑体"/>
          <w:sz w:val="32"/>
          <w:szCs w:val="32"/>
        </w:rPr>
        <w:t>附件2</w:t>
      </w:r>
    </w:p>
    <w:p w:rsidR="00633E28" w:rsidRPr="00022174" w:rsidRDefault="00633E28" w:rsidP="00633E28">
      <w:pPr>
        <w:adjustRightInd w:val="0"/>
        <w:snapToGrid w:val="0"/>
        <w:spacing w:line="560" w:lineRule="exact"/>
        <w:jc w:val="center"/>
        <w:rPr>
          <w:rFonts w:eastAsia="方正小标宋简体"/>
          <w:sz w:val="36"/>
          <w:szCs w:val="36"/>
        </w:rPr>
      </w:pPr>
    </w:p>
    <w:p w:rsidR="00633E28" w:rsidRPr="00022174" w:rsidRDefault="00633E28" w:rsidP="00633E28">
      <w:pPr>
        <w:adjustRightInd w:val="0"/>
        <w:snapToGrid w:val="0"/>
        <w:spacing w:line="560" w:lineRule="exact"/>
        <w:jc w:val="center"/>
        <w:rPr>
          <w:rFonts w:eastAsia="方正小标宋简体"/>
          <w:sz w:val="44"/>
          <w:szCs w:val="44"/>
        </w:rPr>
      </w:pPr>
      <w:proofErr w:type="gramStart"/>
      <w:r w:rsidRPr="00022174">
        <w:rPr>
          <w:rFonts w:eastAsia="方正小标宋简体"/>
          <w:sz w:val="44"/>
          <w:szCs w:val="44"/>
        </w:rPr>
        <w:t>《</w:t>
      </w:r>
      <w:proofErr w:type="gramEnd"/>
      <w:r w:rsidRPr="00022174">
        <w:rPr>
          <w:rFonts w:eastAsia="方正小标宋简体"/>
          <w:sz w:val="44"/>
          <w:szCs w:val="44"/>
        </w:rPr>
        <w:t>预防用疫苗临床试验不良事件分级标准</w:t>
      </w:r>
    </w:p>
    <w:p w:rsidR="00633E28" w:rsidRDefault="00633E28" w:rsidP="00633E28">
      <w:pPr>
        <w:adjustRightInd w:val="0"/>
        <w:snapToGrid w:val="0"/>
        <w:spacing w:line="560" w:lineRule="exact"/>
        <w:jc w:val="center"/>
        <w:rPr>
          <w:rFonts w:eastAsia="方正小标宋简体" w:hint="eastAsia"/>
          <w:sz w:val="44"/>
          <w:szCs w:val="44"/>
        </w:rPr>
      </w:pPr>
      <w:r w:rsidRPr="00022174">
        <w:rPr>
          <w:rFonts w:eastAsia="方正小标宋简体"/>
          <w:sz w:val="44"/>
          <w:szCs w:val="44"/>
        </w:rPr>
        <w:t>指导原则</w:t>
      </w:r>
      <w:proofErr w:type="gramStart"/>
      <w:r w:rsidRPr="00022174">
        <w:rPr>
          <w:rFonts w:eastAsia="方正小标宋简体"/>
          <w:sz w:val="44"/>
          <w:szCs w:val="44"/>
        </w:rPr>
        <w:t>》</w:t>
      </w:r>
      <w:proofErr w:type="gramEnd"/>
      <w:r w:rsidRPr="00022174">
        <w:rPr>
          <w:rFonts w:eastAsia="方正小标宋简体"/>
          <w:sz w:val="44"/>
          <w:szCs w:val="44"/>
        </w:rPr>
        <w:t>修订说明</w:t>
      </w:r>
    </w:p>
    <w:p w:rsidR="00633E28" w:rsidRPr="00022174" w:rsidRDefault="00633E28" w:rsidP="00633E28">
      <w:pPr>
        <w:adjustRightInd w:val="0"/>
        <w:snapToGrid w:val="0"/>
        <w:spacing w:line="560" w:lineRule="exact"/>
        <w:jc w:val="center"/>
        <w:rPr>
          <w:rFonts w:eastAsia="方正小标宋简体"/>
          <w:sz w:val="44"/>
          <w:szCs w:val="44"/>
        </w:rPr>
      </w:pPr>
    </w:p>
    <w:p w:rsidR="00633E28" w:rsidRPr="00022174" w:rsidRDefault="00633E28" w:rsidP="00633E28">
      <w:pPr>
        <w:adjustRightInd w:val="0"/>
        <w:snapToGrid w:val="0"/>
        <w:spacing w:line="600" w:lineRule="exact"/>
        <w:ind w:firstLineChars="200" w:firstLine="640"/>
        <w:rPr>
          <w:rFonts w:eastAsia="黑体"/>
          <w:color w:val="000000"/>
          <w:sz w:val="32"/>
          <w:szCs w:val="32"/>
        </w:rPr>
      </w:pPr>
      <w:r w:rsidRPr="00022174">
        <w:rPr>
          <w:rFonts w:eastAsia="黑体"/>
          <w:color w:val="000000"/>
          <w:sz w:val="32"/>
          <w:szCs w:val="32"/>
        </w:rPr>
        <w:t>一、背景</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2005</w:t>
      </w:r>
      <w:r w:rsidRPr="00022174">
        <w:rPr>
          <w:rFonts w:eastAsia="仿宋_GB2312"/>
          <w:color w:val="000000"/>
          <w:sz w:val="32"/>
          <w:szCs w:val="32"/>
        </w:rPr>
        <w:t>年首次制定发布的《预防用疫苗临床试验不良反应分级标准指导原则》，是专门针对疫苗临床研究相关的不良反应制定的分级标准，旨在更科学的监测和评估健康受试者接种候选疫苗后的相关不良反应，以及最大程度地降低临床试验的风险。该指导原则发布至今已应用</w:t>
      </w:r>
      <w:r w:rsidRPr="00022174">
        <w:rPr>
          <w:rFonts w:eastAsia="仿宋_GB2312"/>
          <w:color w:val="000000"/>
          <w:sz w:val="32"/>
          <w:szCs w:val="32"/>
        </w:rPr>
        <w:t>14</w:t>
      </w:r>
      <w:r w:rsidRPr="00022174">
        <w:rPr>
          <w:rFonts w:eastAsia="仿宋_GB2312"/>
          <w:color w:val="000000"/>
          <w:sz w:val="32"/>
          <w:szCs w:val="32"/>
        </w:rPr>
        <w:t>年，对推动我国疫苗临床试验科学规范发展并与国际接轨，特别是在</w:t>
      </w:r>
      <w:r w:rsidRPr="00022174">
        <w:rPr>
          <w:rFonts w:eastAsia="仿宋_GB2312"/>
          <w:color w:val="000000"/>
          <w:sz w:val="32"/>
          <w:szCs w:val="32"/>
        </w:rPr>
        <w:t>WHO</w:t>
      </w:r>
      <w:r w:rsidRPr="00022174">
        <w:rPr>
          <w:rFonts w:eastAsia="仿宋_GB2312"/>
          <w:color w:val="000000"/>
          <w:sz w:val="32"/>
          <w:szCs w:val="32"/>
        </w:rPr>
        <w:t>对我国</w:t>
      </w:r>
      <w:r w:rsidRPr="00022174">
        <w:rPr>
          <w:rFonts w:eastAsia="仿宋_GB2312"/>
          <w:color w:val="000000"/>
          <w:sz w:val="32"/>
          <w:szCs w:val="32"/>
        </w:rPr>
        <w:t>NRA</w:t>
      </w:r>
      <w:r w:rsidRPr="00022174">
        <w:rPr>
          <w:rFonts w:eastAsia="仿宋_GB2312"/>
          <w:color w:val="000000"/>
          <w:sz w:val="32"/>
          <w:szCs w:val="32"/>
        </w:rPr>
        <w:t>疫苗监管体系评估中发挥了重要的作用。</w:t>
      </w:r>
    </w:p>
    <w:p w:rsidR="00633E28" w:rsidRPr="00022174" w:rsidRDefault="00633E28" w:rsidP="00633E28">
      <w:pPr>
        <w:spacing w:line="580" w:lineRule="exact"/>
        <w:ind w:firstLineChars="200" w:firstLine="640"/>
        <w:rPr>
          <w:rFonts w:eastAsia="仿宋_GB2312"/>
          <w:sz w:val="32"/>
          <w:szCs w:val="32"/>
          <w:u w:color="000000"/>
        </w:rPr>
      </w:pPr>
      <w:r w:rsidRPr="00022174">
        <w:rPr>
          <w:rFonts w:eastAsia="仿宋_GB2312"/>
          <w:color w:val="000000"/>
          <w:sz w:val="32"/>
          <w:szCs w:val="32"/>
          <w:u w:color="000000"/>
        </w:rPr>
        <w:t>2005</w:t>
      </w:r>
      <w:r w:rsidRPr="00022174">
        <w:rPr>
          <w:rFonts w:eastAsia="仿宋_GB2312"/>
          <w:color w:val="000000"/>
          <w:sz w:val="32"/>
          <w:szCs w:val="32"/>
          <w:u w:color="000000"/>
        </w:rPr>
        <w:t>年</w:t>
      </w:r>
      <w:proofErr w:type="gramStart"/>
      <w:r w:rsidRPr="00022174">
        <w:rPr>
          <w:rFonts w:eastAsia="仿宋_GB2312"/>
          <w:color w:val="000000"/>
          <w:sz w:val="32"/>
          <w:szCs w:val="32"/>
          <w:u w:color="000000"/>
        </w:rPr>
        <w:t>版指导</w:t>
      </w:r>
      <w:proofErr w:type="gramEnd"/>
      <w:r w:rsidRPr="00022174">
        <w:rPr>
          <w:rFonts w:eastAsia="仿宋_GB2312"/>
          <w:color w:val="000000"/>
          <w:sz w:val="32"/>
          <w:szCs w:val="32"/>
          <w:u w:color="000000"/>
        </w:rPr>
        <w:t>原则的内容适用于健康成人及青少年受试者，部分不良事件的分级判定指标不完全适用于婴幼儿；此外，随着临床研究实践和对人体医学认知的深入，以及实验室检测技术的进步，特别是《中华人民共和国疫苗管理法》的颁布实施，对疫苗临床研究提出更高的监管需求，因此在充分借鉴国外监管机构发布的同类指南和行业标准的基础上，结合我国临床实践经验</w:t>
      </w:r>
      <w:r w:rsidRPr="00022174">
        <w:rPr>
          <w:rFonts w:eastAsia="仿宋_GB2312"/>
          <w:sz w:val="32"/>
          <w:szCs w:val="32"/>
          <w:u w:color="000000"/>
        </w:rPr>
        <w:t>，国家药品监督管理局决定对</w:t>
      </w:r>
      <w:r w:rsidRPr="00022174">
        <w:rPr>
          <w:rFonts w:eastAsia="仿宋_GB2312"/>
          <w:sz w:val="32"/>
          <w:szCs w:val="32"/>
          <w:u w:color="000000"/>
        </w:rPr>
        <w:t>2005</w:t>
      </w:r>
      <w:r w:rsidRPr="00022174">
        <w:rPr>
          <w:rFonts w:eastAsia="仿宋_GB2312"/>
          <w:sz w:val="32"/>
          <w:szCs w:val="32"/>
          <w:u w:color="000000"/>
        </w:rPr>
        <w:t>年</w:t>
      </w:r>
      <w:proofErr w:type="gramStart"/>
      <w:r w:rsidRPr="00022174">
        <w:rPr>
          <w:rFonts w:eastAsia="仿宋_GB2312"/>
          <w:sz w:val="32"/>
          <w:szCs w:val="32"/>
          <w:u w:color="000000"/>
        </w:rPr>
        <w:t>版指导</w:t>
      </w:r>
      <w:proofErr w:type="gramEnd"/>
      <w:r w:rsidRPr="00022174">
        <w:rPr>
          <w:rFonts w:eastAsia="仿宋_GB2312"/>
          <w:sz w:val="32"/>
          <w:szCs w:val="32"/>
          <w:u w:color="000000"/>
        </w:rPr>
        <w:t>原则进行修订。</w:t>
      </w:r>
      <w:proofErr w:type="gramStart"/>
      <w:r w:rsidRPr="00022174">
        <w:rPr>
          <w:rFonts w:eastAsia="仿宋_GB2312"/>
          <w:sz w:val="32"/>
          <w:szCs w:val="32"/>
          <w:u w:color="000000"/>
        </w:rPr>
        <w:t>药审中心</w:t>
      </w:r>
      <w:proofErr w:type="gramEnd"/>
      <w:r w:rsidRPr="00022174">
        <w:rPr>
          <w:rFonts w:eastAsia="仿宋_GB2312"/>
          <w:sz w:val="32"/>
          <w:szCs w:val="32"/>
          <w:u w:color="000000"/>
        </w:rPr>
        <w:t>专门成立了起草小组，在广泛调研基础上，根据专家意见，参考境外监管机构发布的同类指导原则和行业指南，并结合我国的临床实践经验，</w:t>
      </w:r>
      <w:r w:rsidRPr="00022174">
        <w:rPr>
          <w:rFonts w:eastAsia="仿宋_GB2312"/>
          <w:sz w:val="32"/>
          <w:szCs w:val="32"/>
          <w:u w:color="000000"/>
        </w:rPr>
        <w:lastRenderedPageBreak/>
        <w:t>形成征求意见稿并在中心网站公开征求意见。之后，在对征集的意见汇总分析基础上，</w:t>
      </w:r>
      <w:r>
        <w:rPr>
          <w:rFonts w:eastAsia="仿宋_GB2312" w:hint="eastAsia"/>
          <w:sz w:val="32"/>
          <w:szCs w:val="32"/>
          <w:u w:color="000000"/>
        </w:rPr>
        <w:t>修改完善了</w:t>
      </w:r>
      <w:r w:rsidRPr="00022174">
        <w:rPr>
          <w:rFonts w:eastAsia="仿宋_GB2312"/>
          <w:sz w:val="32"/>
          <w:szCs w:val="32"/>
          <w:u w:color="000000"/>
        </w:rPr>
        <w:t>指导原则，并根据《中华人民共和国疫苗管理法》有关规定更新了相关技术要求。</w:t>
      </w:r>
    </w:p>
    <w:p w:rsidR="00633E28" w:rsidRPr="00022174" w:rsidRDefault="00633E28" w:rsidP="00633E28">
      <w:pPr>
        <w:adjustRightInd w:val="0"/>
        <w:snapToGrid w:val="0"/>
        <w:spacing w:line="580" w:lineRule="exact"/>
        <w:ind w:firstLineChars="200" w:firstLine="640"/>
        <w:rPr>
          <w:rFonts w:eastAsia="黑体"/>
          <w:color w:val="000000"/>
          <w:sz w:val="32"/>
          <w:szCs w:val="32"/>
        </w:rPr>
      </w:pPr>
      <w:r w:rsidRPr="00022174">
        <w:rPr>
          <w:rFonts w:eastAsia="黑体"/>
          <w:color w:val="000000"/>
          <w:sz w:val="32"/>
          <w:szCs w:val="32"/>
        </w:rPr>
        <w:t>二、主要框架和内容</w:t>
      </w:r>
    </w:p>
    <w:p w:rsidR="00633E28" w:rsidRPr="00022174" w:rsidRDefault="00633E28" w:rsidP="00633E28">
      <w:pPr>
        <w:adjustRightInd w:val="0"/>
        <w:snapToGrid w:val="0"/>
        <w:spacing w:line="580" w:lineRule="exact"/>
        <w:ind w:firstLineChars="200" w:firstLine="640"/>
        <w:rPr>
          <w:rFonts w:eastAsia="仿宋_GB2312"/>
          <w:color w:val="000000"/>
          <w:sz w:val="32"/>
          <w:szCs w:val="32"/>
        </w:rPr>
      </w:pPr>
      <w:r w:rsidRPr="00022174">
        <w:rPr>
          <w:rFonts w:eastAsia="仿宋_GB2312"/>
          <w:color w:val="000000"/>
          <w:sz w:val="32"/>
          <w:szCs w:val="32"/>
        </w:rPr>
        <w:t>本指导原则提供的疫苗临床试验不良事件的分级指标包括两部分，第一部分为临床观察指标，包括接种部位（局部）不良事件、生命体征和非接种部位（全身）不良事件；第二部分为实验室检测指标（包括血液生化、血液常规、尿液常规等）。此外，本指导原还对其他不良事件分级一般原则、关联性评价和安全性报告进行相应说明和规定。</w:t>
      </w:r>
    </w:p>
    <w:p w:rsidR="00633E28" w:rsidRPr="00022174" w:rsidRDefault="00633E28" w:rsidP="00633E28">
      <w:pPr>
        <w:adjustRightInd w:val="0"/>
        <w:snapToGrid w:val="0"/>
        <w:spacing w:line="580" w:lineRule="exact"/>
        <w:ind w:firstLineChars="200" w:firstLine="640"/>
        <w:rPr>
          <w:rFonts w:eastAsia="黑体"/>
          <w:color w:val="000000"/>
          <w:sz w:val="32"/>
          <w:szCs w:val="32"/>
        </w:rPr>
      </w:pPr>
      <w:r w:rsidRPr="00022174">
        <w:rPr>
          <w:rFonts w:eastAsia="黑体"/>
          <w:color w:val="000000"/>
          <w:sz w:val="32"/>
          <w:szCs w:val="32"/>
        </w:rPr>
        <w:t>三、修订说明</w:t>
      </w:r>
    </w:p>
    <w:p w:rsidR="00633E28" w:rsidRPr="00022174" w:rsidRDefault="00633E28" w:rsidP="00633E28">
      <w:pPr>
        <w:adjustRightInd w:val="0"/>
        <w:snapToGrid w:val="0"/>
        <w:spacing w:line="580" w:lineRule="exact"/>
        <w:ind w:firstLineChars="200" w:firstLine="640"/>
        <w:rPr>
          <w:rFonts w:eastAsia="仿宋_GB2312"/>
          <w:color w:val="000000"/>
          <w:sz w:val="32"/>
          <w:szCs w:val="32"/>
        </w:rPr>
      </w:pPr>
      <w:r w:rsidRPr="00022174">
        <w:rPr>
          <w:rFonts w:eastAsia="仿宋_GB2312"/>
          <w:color w:val="000000"/>
          <w:sz w:val="32"/>
          <w:szCs w:val="32"/>
        </w:rPr>
        <w:t>主要修订内容包括：</w:t>
      </w:r>
    </w:p>
    <w:p w:rsidR="00633E28" w:rsidRPr="00022174" w:rsidRDefault="00633E28" w:rsidP="00633E28">
      <w:pPr>
        <w:adjustRightInd w:val="0"/>
        <w:snapToGrid w:val="0"/>
        <w:spacing w:line="580" w:lineRule="exact"/>
        <w:ind w:firstLineChars="200" w:firstLine="640"/>
        <w:rPr>
          <w:rFonts w:eastAsia="仿宋_GB2312"/>
          <w:color w:val="000000"/>
          <w:sz w:val="32"/>
          <w:szCs w:val="32"/>
        </w:rPr>
      </w:pPr>
      <w:r w:rsidRPr="00022174">
        <w:rPr>
          <w:rFonts w:eastAsia="仿宋_GB2312"/>
          <w:color w:val="000000"/>
          <w:sz w:val="32"/>
          <w:szCs w:val="32"/>
        </w:rPr>
        <w:t>（一）关于不良事件分级一般原则：对分级表中未涉及的临床异常情况，明确分级评估的一般原则。</w:t>
      </w:r>
    </w:p>
    <w:p w:rsidR="00633E28" w:rsidRPr="00022174" w:rsidRDefault="00633E28" w:rsidP="00633E28">
      <w:pPr>
        <w:adjustRightInd w:val="0"/>
        <w:snapToGrid w:val="0"/>
        <w:spacing w:line="580" w:lineRule="exact"/>
        <w:ind w:firstLineChars="200" w:firstLine="640"/>
        <w:rPr>
          <w:rFonts w:eastAsia="仿宋_GB2312"/>
          <w:color w:val="000000"/>
          <w:sz w:val="32"/>
          <w:szCs w:val="32"/>
        </w:rPr>
      </w:pPr>
      <w:r w:rsidRPr="00022174">
        <w:rPr>
          <w:rFonts w:eastAsia="仿宋_GB2312"/>
          <w:color w:val="000000"/>
          <w:sz w:val="32"/>
          <w:szCs w:val="32"/>
        </w:rPr>
        <w:t>（二）关于临床观察指标</w:t>
      </w:r>
    </w:p>
    <w:p w:rsidR="00633E28" w:rsidRPr="00022174" w:rsidRDefault="00633E28" w:rsidP="00633E28">
      <w:pPr>
        <w:adjustRightInd w:val="0"/>
        <w:snapToGrid w:val="0"/>
        <w:spacing w:line="580" w:lineRule="exact"/>
        <w:ind w:firstLineChars="200" w:firstLine="640"/>
        <w:rPr>
          <w:rFonts w:eastAsia="仿宋_GB2312"/>
          <w:color w:val="000000"/>
          <w:sz w:val="32"/>
          <w:szCs w:val="32"/>
        </w:rPr>
      </w:pPr>
      <w:r w:rsidRPr="00022174">
        <w:rPr>
          <w:rFonts w:eastAsia="仿宋_GB2312"/>
          <w:color w:val="000000"/>
          <w:sz w:val="32"/>
          <w:szCs w:val="32"/>
        </w:rPr>
        <w:t xml:space="preserve">1. </w:t>
      </w:r>
      <w:r w:rsidRPr="00022174">
        <w:rPr>
          <w:rFonts w:eastAsia="仿宋_GB2312"/>
          <w:color w:val="000000"/>
          <w:sz w:val="32"/>
          <w:szCs w:val="32"/>
        </w:rPr>
        <w:t>更新接种部位不良事件分级表中硬结、肿胀、红晕、皮疹、瘙痒分级标准；增加蜂窝组织炎分级标准。</w:t>
      </w:r>
    </w:p>
    <w:p w:rsidR="00633E28" w:rsidRPr="00022174" w:rsidRDefault="00633E28" w:rsidP="00633E28">
      <w:pPr>
        <w:adjustRightInd w:val="0"/>
        <w:snapToGrid w:val="0"/>
        <w:spacing w:line="580" w:lineRule="exact"/>
        <w:ind w:firstLineChars="200" w:firstLine="640"/>
        <w:rPr>
          <w:rFonts w:eastAsia="仿宋_GB2312"/>
          <w:color w:val="000000"/>
          <w:sz w:val="32"/>
          <w:szCs w:val="32"/>
        </w:rPr>
      </w:pPr>
      <w:r w:rsidRPr="00022174">
        <w:rPr>
          <w:rFonts w:eastAsia="仿宋_GB2312"/>
          <w:color w:val="000000"/>
          <w:sz w:val="32"/>
          <w:szCs w:val="32"/>
        </w:rPr>
        <w:t xml:space="preserve">2. </w:t>
      </w:r>
      <w:r w:rsidRPr="00022174">
        <w:rPr>
          <w:rFonts w:eastAsia="仿宋_GB2312"/>
          <w:color w:val="000000"/>
          <w:sz w:val="32"/>
          <w:szCs w:val="32"/>
        </w:rPr>
        <w:t>更新生命体征分级表中发热、高血压分级标准；增加低血压分级标准。</w:t>
      </w:r>
    </w:p>
    <w:p w:rsidR="00633E28" w:rsidRPr="00022174" w:rsidRDefault="00633E28" w:rsidP="00633E28">
      <w:pPr>
        <w:adjustRightInd w:val="0"/>
        <w:snapToGrid w:val="0"/>
        <w:spacing w:line="580" w:lineRule="exact"/>
        <w:ind w:firstLineChars="200" w:firstLine="640"/>
        <w:rPr>
          <w:rFonts w:eastAsia="仿宋_GB2312"/>
          <w:color w:val="000000"/>
          <w:sz w:val="32"/>
          <w:szCs w:val="32"/>
        </w:rPr>
      </w:pPr>
      <w:r w:rsidRPr="00022174">
        <w:rPr>
          <w:rFonts w:eastAsia="仿宋_GB2312"/>
          <w:color w:val="000000"/>
          <w:sz w:val="32"/>
          <w:szCs w:val="32"/>
        </w:rPr>
        <w:t xml:space="preserve">3. </w:t>
      </w:r>
      <w:r w:rsidRPr="00022174">
        <w:rPr>
          <w:rFonts w:eastAsia="仿宋_GB2312"/>
          <w:color w:val="000000"/>
          <w:sz w:val="32"/>
          <w:szCs w:val="32"/>
        </w:rPr>
        <w:t>参照</w:t>
      </w:r>
      <w:proofErr w:type="spellStart"/>
      <w:r w:rsidRPr="00022174">
        <w:rPr>
          <w:rFonts w:eastAsia="仿宋_GB2312"/>
          <w:color w:val="000000"/>
          <w:sz w:val="32"/>
          <w:szCs w:val="32"/>
        </w:rPr>
        <w:t>MedDRA</w:t>
      </w:r>
      <w:proofErr w:type="spellEnd"/>
      <w:r w:rsidRPr="00022174">
        <w:rPr>
          <w:rFonts w:eastAsia="仿宋_GB2312"/>
          <w:color w:val="000000"/>
          <w:sz w:val="32"/>
          <w:szCs w:val="32"/>
        </w:rPr>
        <w:t xml:space="preserve"> SOC</w:t>
      </w:r>
      <w:r w:rsidRPr="00022174">
        <w:rPr>
          <w:rFonts w:eastAsia="仿宋_GB2312"/>
          <w:color w:val="000000"/>
          <w:sz w:val="32"/>
          <w:szCs w:val="32"/>
        </w:rPr>
        <w:t>术语对非接种部位不良事件按系统归类。</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 xml:space="preserve">4. </w:t>
      </w:r>
      <w:proofErr w:type="gramStart"/>
      <w:r w:rsidRPr="00022174">
        <w:rPr>
          <w:rFonts w:eastAsia="仿宋_GB2312"/>
          <w:color w:val="000000"/>
          <w:sz w:val="32"/>
          <w:szCs w:val="32"/>
        </w:rPr>
        <w:t>更新非</w:t>
      </w:r>
      <w:proofErr w:type="gramEnd"/>
      <w:r w:rsidRPr="00022174">
        <w:rPr>
          <w:rFonts w:eastAsia="仿宋_GB2312"/>
          <w:color w:val="000000"/>
          <w:sz w:val="32"/>
          <w:szCs w:val="32"/>
        </w:rPr>
        <w:t>接种部位不良事件分级表中头痛、呼吸困难、新发惊厥、厌食等分级标准；增加失眠、精神失常、非接种</w:t>
      </w:r>
      <w:r w:rsidRPr="00022174">
        <w:rPr>
          <w:rFonts w:eastAsia="仿宋_GB2312"/>
          <w:color w:val="000000"/>
          <w:sz w:val="32"/>
          <w:szCs w:val="32"/>
        </w:rPr>
        <w:lastRenderedPageBreak/>
        <w:t>部位瘙痒、非接种部位疼痛等分级标准。</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（三）关于实验室检测指标</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 xml:space="preserve">1. </w:t>
      </w:r>
      <w:r w:rsidRPr="00022174">
        <w:rPr>
          <w:rFonts w:eastAsia="仿宋_GB2312"/>
          <w:color w:val="000000"/>
          <w:sz w:val="32"/>
          <w:szCs w:val="32"/>
        </w:rPr>
        <w:t>更新血液生化指标分级表中肌</w:t>
      </w:r>
      <w:proofErr w:type="gramStart"/>
      <w:r w:rsidRPr="00022174">
        <w:rPr>
          <w:rFonts w:eastAsia="仿宋_GB2312"/>
          <w:color w:val="000000"/>
          <w:sz w:val="32"/>
          <w:szCs w:val="32"/>
        </w:rPr>
        <w:t>酐</w:t>
      </w:r>
      <w:proofErr w:type="gramEnd"/>
      <w:r w:rsidRPr="00022174">
        <w:rPr>
          <w:rFonts w:eastAsia="仿宋_GB2312"/>
          <w:color w:val="000000"/>
          <w:sz w:val="32"/>
          <w:szCs w:val="32"/>
        </w:rPr>
        <w:t>升高、胆红素升高、高血钠、低血钠、高血钾、低血钾、高血钙、低血钙、胰酶、肌酸磷酸激酶等分级标准；增加高血糖（空腹）、低血糖分级标准。</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 xml:space="preserve">2. </w:t>
      </w:r>
      <w:r w:rsidRPr="00022174">
        <w:rPr>
          <w:rFonts w:eastAsia="仿宋_GB2312"/>
          <w:color w:val="000000"/>
          <w:sz w:val="32"/>
          <w:szCs w:val="32"/>
        </w:rPr>
        <w:t>更新血液常规检查分级表中低血红蛋白、白细胞降低、中性粒细胞降低、血小板减少分级标准；</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 xml:space="preserve">3. </w:t>
      </w:r>
      <w:r w:rsidRPr="00022174">
        <w:rPr>
          <w:rFonts w:eastAsia="仿宋_GB2312"/>
          <w:color w:val="000000"/>
          <w:sz w:val="32"/>
          <w:szCs w:val="32"/>
        </w:rPr>
        <w:t>更新尿液常规检查分级表中尿蛋白、尿糖、尿红细胞分级标准。</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（四）增加关联性评价和安全性报告</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为强调不良事件与试验疫苗的相关性判断，以及安全性报告的要求，在前言部分和最后增加接种疫苗后因果关联性评价，需特别关注与疫苗接种相关的不良反应，并按</w:t>
      </w:r>
      <w:r w:rsidRPr="00022174">
        <w:rPr>
          <w:rFonts w:eastAsia="仿宋_GB2312"/>
          <w:color w:val="000000"/>
          <w:sz w:val="32"/>
          <w:szCs w:val="32"/>
        </w:rPr>
        <w:t>ICH</w:t>
      </w:r>
      <w:r w:rsidRPr="00022174">
        <w:rPr>
          <w:rFonts w:eastAsia="仿宋_GB2312"/>
          <w:color w:val="000000"/>
          <w:sz w:val="32"/>
          <w:szCs w:val="32"/>
        </w:rPr>
        <w:t>相关要求及时上报非预期严重不良反应报告（</w:t>
      </w:r>
      <w:r w:rsidRPr="00022174">
        <w:rPr>
          <w:rFonts w:eastAsia="仿宋_GB2312"/>
          <w:color w:val="000000"/>
          <w:sz w:val="32"/>
          <w:szCs w:val="32"/>
        </w:rPr>
        <w:t>SUSAR</w:t>
      </w:r>
      <w:r w:rsidRPr="00022174">
        <w:rPr>
          <w:rFonts w:eastAsia="仿宋_GB2312"/>
          <w:color w:val="000000"/>
          <w:sz w:val="32"/>
          <w:szCs w:val="32"/>
        </w:rPr>
        <w:t>）和</w:t>
      </w:r>
      <w:proofErr w:type="gramStart"/>
      <w:r w:rsidRPr="00022174">
        <w:rPr>
          <w:rFonts w:eastAsia="仿宋_GB2312"/>
          <w:color w:val="000000"/>
          <w:sz w:val="32"/>
          <w:szCs w:val="32"/>
        </w:rPr>
        <w:t>研发进程</w:t>
      </w:r>
      <w:proofErr w:type="gramEnd"/>
      <w:r w:rsidRPr="00022174">
        <w:rPr>
          <w:rFonts w:eastAsia="仿宋_GB2312"/>
          <w:color w:val="000000"/>
          <w:sz w:val="32"/>
          <w:szCs w:val="32"/>
        </w:rPr>
        <w:t>中的定期安全性报告（</w:t>
      </w:r>
      <w:r w:rsidRPr="00022174">
        <w:rPr>
          <w:rFonts w:eastAsia="仿宋_GB2312"/>
          <w:color w:val="000000"/>
          <w:sz w:val="32"/>
          <w:szCs w:val="32"/>
        </w:rPr>
        <w:t>DSUR</w:t>
      </w:r>
      <w:r w:rsidRPr="00022174">
        <w:rPr>
          <w:rFonts w:eastAsia="仿宋_GB2312"/>
          <w:color w:val="000000"/>
          <w:sz w:val="32"/>
          <w:szCs w:val="32"/>
        </w:rPr>
        <w:t>）。</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（五）其他修订</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 xml:space="preserve">1. </w:t>
      </w:r>
      <w:r w:rsidRPr="00022174">
        <w:rPr>
          <w:rFonts w:eastAsia="仿宋_GB2312"/>
          <w:color w:val="000000"/>
          <w:sz w:val="32"/>
          <w:szCs w:val="32"/>
        </w:rPr>
        <w:t>将原题目《预防用疫苗临床试验不良反应分级标准指导原则》变更为《预防用疫苗临床试验不良事件分级标准指导原则》，以减少歧义并与国外同类指南接轨。</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t xml:space="preserve">2. </w:t>
      </w:r>
      <w:r w:rsidRPr="00022174">
        <w:rPr>
          <w:rFonts w:eastAsia="仿宋_GB2312"/>
          <w:color w:val="000000"/>
          <w:sz w:val="32"/>
          <w:szCs w:val="32"/>
        </w:rPr>
        <w:t>将</w:t>
      </w:r>
      <w:r w:rsidRPr="00022174">
        <w:rPr>
          <w:rFonts w:eastAsia="仿宋_GB2312"/>
          <w:color w:val="000000"/>
          <w:sz w:val="32"/>
          <w:szCs w:val="32"/>
        </w:rPr>
        <w:t>“</w:t>
      </w:r>
      <w:r w:rsidRPr="00022174">
        <w:rPr>
          <w:rFonts w:eastAsia="仿宋_GB2312"/>
          <w:color w:val="000000"/>
          <w:sz w:val="32"/>
          <w:szCs w:val="32"/>
        </w:rPr>
        <w:t>局部</w:t>
      </w:r>
      <w:r w:rsidRPr="00022174">
        <w:rPr>
          <w:rFonts w:eastAsia="仿宋_GB2312"/>
          <w:color w:val="000000"/>
          <w:sz w:val="32"/>
          <w:szCs w:val="32"/>
        </w:rPr>
        <w:t>/</w:t>
      </w:r>
      <w:r w:rsidRPr="00022174">
        <w:rPr>
          <w:rFonts w:eastAsia="仿宋_GB2312"/>
          <w:color w:val="000000"/>
          <w:sz w:val="32"/>
          <w:szCs w:val="32"/>
        </w:rPr>
        <w:t>全身不良事件</w:t>
      </w:r>
      <w:r w:rsidRPr="00022174">
        <w:rPr>
          <w:rFonts w:eastAsia="仿宋_GB2312"/>
          <w:color w:val="000000"/>
          <w:sz w:val="32"/>
          <w:szCs w:val="32"/>
        </w:rPr>
        <w:t>”</w:t>
      </w:r>
      <w:r w:rsidRPr="00022174">
        <w:rPr>
          <w:rFonts w:eastAsia="仿宋_GB2312"/>
          <w:color w:val="000000"/>
          <w:sz w:val="32"/>
          <w:szCs w:val="32"/>
        </w:rPr>
        <w:t>修订为</w:t>
      </w:r>
      <w:r w:rsidRPr="00022174">
        <w:rPr>
          <w:rFonts w:eastAsia="仿宋_GB2312"/>
          <w:color w:val="000000"/>
          <w:sz w:val="32"/>
          <w:szCs w:val="32"/>
        </w:rPr>
        <w:t>“</w:t>
      </w:r>
      <w:r w:rsidRPr="00022174">
        <w:rPr>
          <w:rFonts w:eastAsia="仿宋_GB2312"/>
          <w:color w:val="000000"/>
          <w:sz w:val="32"/>
          <w:szCs w:val="32"/>
        </w:rPr>
        <w:t>接种部位</w:t>
      </w:r>
      <w:r w:rsidRPr="00022174">
        <w:rPr>
          <w:rFonts w:eastAsia="仿宋_GB2312"/>
          <w:color w:val="000000"/>
          <w:sz w:val="32"/>
          <w:szCs w:val="32"/>
        </w:rPr>
        <w:t>/</w:t>
      </w:r>
      <w:r w:rsidRPr="00022174">
        <w:rPr>
          <w:rFonts w:eastAsia="仿宋_GB2312"/>
          <w:color w:val="000000"/>
          <w:sz w:val="32"/>
          <w:szCs w:val="32"/>
        </w:rPr>
        <w:t>非接种部位不良事件</w:t>
      </w:r>
      <w:r w:rsidRPr="00022174">
        <w:rPr>
          <w:rFonts w:eastAsia="仿宋_GB2312"/>
          <w:color w:val="000000"/>
          <w:sz w:val="32"/>
          <w:szCs w:val="32"/>
        </w:rPr>
        <w:t>”</w:t>
      </w:r>
      <w:r w:rsidRPr="00022174">
        <w:rPr>
          <w:rFonts w:eastAsia="仿宋_GB2312"/>
          <w:color w:val="000000"/>
          <w:sz w:val="32"/>
          <w:szCs w:val="32"/>
        </w:rPr>
        <w:t>，便于描述更准确；同时兼顾原表述方式符合既往临床研究的习惯。</w:t>
      </w:r>
    </w:p>
    <w:p w:rsidR="00633E28" w:rsidRPr="00022174" w:rsidRDefault="00633E28" w:rsidP="00633E28">
      <w:pPr>
        <w:adjustRightInd w:val="0"/>
        <w:snapToGrid w:val="0"/>
        <w:spacing w:line="600" w:lineRule="exact"/>
        <w:ind w:firstLineChars="200" w:firstLine="640"/>
        <w:rPr>
          <w:rFonts w:eastAsia="仿宋_GB2312"/>
          <w:color w:val="000000"/>
          <w:sz w:val="32"/>
          <w:szCs w:val="32"/>
        </w:rPr>
      </w:pPr>
      <w:r w:rsidRPr="00022174">
        <w:rPr>
          <w:rFonts w:eastAsia="仿宋_GB2312"/>
          <w:color w:val="000000"/>
          <w:sz w:val="32"/>
          <w:szCs w:val="32"/>
        </w:rPr>
        <w:lastRenderedPageBreak/>
        <w:t xml:space="preserve">3. </w:t>
      </w:r>
      <w:r w:rsidRPr="00022174">
        <w:rPr>
          <w:rFonts w:eastAsia="仿宋_GB2312"/>
          <w:color w:val="000000"/>
          <w:sz w:val="32"/>
          <w:szCs w:val="32"/>
        </w:rPr>
        <w:t>对整体文句表达、措辞及语序问题进行了修改，详见本指导原则正文内容。</w:t>
      </w:r>
    </w:p>
    <w:p w:rsidR="004B018B" w:rsidRPr="00633E28" w:rsidRDefault="004B018B"/>
    <w:sectPr w:rsidR="004B018B" w:rsidRPr="00633E28" w:rsidSect="004B01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3E28"/>
    <w:rsid w:val="004B018B"/>
    <w:rsid w:val="00633E28"/>
    <w:rsid w:val="00815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cp:revision>
  <dcterms:created xsi:type="dcterms:W3CDTF">2019-12-31T03:20:00Z</dcterms:created>
  <dcterms:modified xsi:type="dcterms:W3CDTF">2019-12-31T03:20:00Z</dcterms:modified>
</cp:coreProperties>
</file>