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仿宋" w:hAnsi="仿宋"/>
          <w:highlight w:val="none"/>
          <w:lang w:val="en-US"/>
        </w:rPr>
      </w:pPr>
      <w:r>
        <w:rPr>
          <w:rFonts w:hint="eastAsia" w:ascii="黑体" w:hAnsi="黑体" w:eastAsia="黑体" w:cs="仿宋"/>
          <w:highlight w:val="none"/>
        </w:rPr>
        <w:t>附件</w:t>
      </w:r>
      <w:r>
        <w:rPr>
          <w:rFonts w:hint="eastAsia" w:ascii="黑体" w:hAnsi="黑体" w:eastAsia="黑体" w:cs="仿宋"/>
          <w:highlight w:val="none"/>
          <w:lang w:val="en-US" w:eastAsia="zh-CN"/>
        </w:rPr>
        <w:t>16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关于部分检验项目的说明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仿宋" w:hAnsi="仿宋"/>
        </w:rPr>
      </w:pPr>
      <w:r>
        <w:rPr>
          <w:rFonts w:hint="eastAsia" w:ascii="仿宋" w:hAnsi="仿宋"/>
        </w:rPr>
        <w:t xml:space="preserve">    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</w:rPr>
        <w:t>一、N-二甲基亚硝胺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仿宋" w:hAnsi="仿宋"/>
          <w:highlight w:val="none"/>
        </w:rPr>
      </w:pPr>
      <w:r>
        <w:rPr>
          <w:rFonts w:hint="eastAsia" w:ascii="仿宋" w:hAnsi="仿宋"/>
          <w:highlight w:val="none"/>
        </w:rPr>
        <w:t>N-二甲基亚硝胺是一种高毒物质，该类化合物在环境中很少，前体物质胺类、硝酸盐、亚硝酸盐广泛存在于自然界中, 在微生物或者天然催化剂的作用下可形成N-亚硝基化合物。一般食品中含量较少，如长期食用腌制、熏腊肉制品，对身体健康会产生危害。不合格原因可能是成品储运不当；腌制、熏、腊等加工方式控制不严；原料带入等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二</w:t>
      </w:r>
      <w:r>
        <w:rPr>
          <w:rFonts w:hint="eastAsia" w:ascii="黑体" w:hAnsi="黑体" w:eastAsia="黑体"/>
          <w:highlight w:val="none"/>
        </w:rPr>
        <w:t>、苯甲酸及其钠盐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仿宋" w:hAnsi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苯甲酸及其钠盐是食品工业中常见的一种防腐保鲜剂，对霉菌、酵母和细菌有较好的抑制作用。《食品安全国家标准</w:t>
      </w:r>
      <w:r>
        <w:rPr>
          <w:rFonts w:hint="eastAsia" w:ascii="仿宋" w:hAnsi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食品添加剂使用标准》（GB 2760</w:t>
      </w:r>
      <w:r>
        <w:rPr>
          <w:rFonts w:hint="eastAsia" w:ascii="仿宋" w:hAnsi="仿宋" w:cs="仿宋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highlight w:val="none"/>
        </w:rPr>
        <w:t>2014）中规定，在预制动物性水产干制品</w:t>
      </w:r>
      <w:r>
        <w:rPr>
          <w:rFonts w:hint="eastAsia" w:ascii="仿宋" w:hAnsi="仿宋" w:cs="仿宋"/>
          <w:highlight w:val="none"/>
          <w:lang w:eastAsia="zh-CN"/>
        </w:rPr>
        <w:t>中</w:t>
      </w:r>
      <w:r>
        <w:rPr>
          <w:rFonts w:hint="eastAsia" w:ascii="仿宋" w:hAnsi="仿宋" w:eastAsia="仿宋" w:cs="仿宋"/>
          <w:highlight w:val="none"/>
        </w:rPr>
        <w:t>不得使用苯甲酸及其钠盐。苯甲酸及其钠盐的安全性较高，少量苯甲酸对人体无毒害，可随尿液排出体外，在人体内不会蓄积。若长期过量食入苯甲酸超标的食品可能会对肝脏功能产生一定影响</w:t>
      </w:r>
      <w:r>
        <w:rPr>
          <w:rFonts w:hint="eastAsia" w:ascii="仿宋" w:hAnsi="仿宋"/>
          <w:highlight w:val="none"/>
        </w:rPr>
        <w:t>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highlight w:val="none"/>
        </w:rPr>
        <w:t>、酒精度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酒精度（Alcohol% by volume）。酒精度是指在20℃条件下，每100毫升酒液中含有多少毫升的乙醇。产品明示质量标准及质量要求规定，酒精度含量应符合其标签明示值±1.0度。酒精度不合格主要原因可能是企业对产品质量控制不严、包装不严密造成酒精挥发损失、低度酒冒充高度酒等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highlight w:val="none"/>
        </w:rPr>
        <w:t>、脱氢乙酸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default" w:ascii="Times New Roman" w:hAnsi="Times New Roman" w:cs="Times New Roman"/>
          <w:highlight w:val="none"/>
        </w:rPr>
      </w:pPr>
      <w:r>
        <w:rPr>
          <w:rFonts w:hint="eastAsia" w:ascii="仿宋" w:hAnsi="仿宋" w:eastAsia="仿宋" w:cs="仿宋"/>
          <w:highlight w:val="none"/>
        </w:rPr>
        <w:t>脱氢乙酸及其钠盐作为食品添加剂，广泛用作防腐剂，对霉菌具有较强的抑制作用。《食品安全国家标准 食品添加剂使用标准》（GB 2760</w:t>
      </w:r>
      <w:r>
        <w:rPr>
          <w:rFonts w:hint="eastAsia" w:ascii="仿宋" w:hAnsi="仿宋" w:cs="仿宋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highlight w:val="none"/>
        </w:rPr>
        <w:t>2014）中规定</w:t>
      </w:r>
      <w:r>
        <w:rPr>
          <w:rFonts w:hint="eastAsia" w:ascii="仿宋" w:hAnsi="仿宋" w:cs="仿宋"/>
          <w:highlight w:val="none"/>
          <w:lang w:eastAsia="zh-CN"/>
        </w:rPr>
        <w:t>糕点中</w:t>
      </w:r>
      <w:r>
        <w:rPr>
          <w:rFonts w:hint="eastAsia" w:ascii="仿宋" w:hAnsi="仿宋" w:eastAsia="仿宋" w:cs="仿宋"/>
          <w:highlight w:val="none"/>
        </w:rPr>
        <w:t>脱氢乙酸及其钠盐</w:t>
      </w:r>
      <w:r>
        <w:rPr>
          <w:rFonts w:hint="eastAsia" w:ascii="仿宋" w:hAnsi="仿宋" w:cs="仿宋"/>
          <w:highlight w:val="none"/>
          <w:lang w:eastAsia="zh-CN"/>
        </w:rPr>
        <w:t>含量不得超过0.5g/kg</w:t>
      </w:r>
      <w:r>
        <w:rPr>
          <w:rFonts w:hint="eastAsia" w:ascii="仿宋" w:hAnsi="仿宋" w:eastAsia="仿宋" w:cs="仿宋"/>
          <w:highlight w:val="none"/>
        </w:rPr>
        <w:t>。</w:t>
      </w:r>
      <w:bookmarkStart w:id="0" w:name="_GoBack"/>
      <w:bookmarkEnd w:id="0"/>
      <w:r>
        <w:rPr>
          <w:rFonts w:hint="eastAsia" w:ascii="仿宋" w:hAnsi="仿宋" w:eastAsia="仿宋" w:cs="仿宋"/>
          <w:highlight w:val="none"/>
        </w:rPr>
        <w:t>长期大量食用脱氢乙酸及其钠盐超标产品，可能对人体健康产生一定影响</w:t>
      </w:r>
      <w:r>
        <w:rPr>
          <w:rFonts w:hint="default" w:ascii="Times New Roman" w:hAnsi="Times New Roman" w:cs="Times New Roman"/>
          <w:highlight w:val="none"/>
        </w:rPr>
        <w:t>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highlight w:val="none"/>
        </w:rPr>
        <w:t>、</w:t>
      </w:r>
      <w:r>
        <w:rPr>
          <w:rFonts w:hint="eastAsia" w:ascii="Times New Roman" w:hAnsi="Times New Roman" w:eastAsia="黑体" w:cs="Times New Roman"/>
          <w:highlight w:val="none"/>
          <w:lang w:eastAsia="zh-CN"/>
        </w:rPr>
        <w:t>色值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仿宋" w:hAnsi="仿宋" w:eastAsia="仿宋" w:cs="仿宋"/>
          <w:highlight w:val="none"/>
        </w:rPr>
        <w:t>色值是食糖的品质指标之一，是白砂糖、绵白糖、冰糖等质量等级划分的主要依据之一，它主要影响糖品的外观，是杂质多寡的一种反映，也是生产工艺水平的一种体现。《冰糖》（GB/T 35883-2018）中规定，</w:t>
      </w:r>
      <w:r>
        <w:rPr>
          <w:rFonts w:hint="eastAsia" w:ascii="仿宋" w:hAnsi="仿宋" w:cs="仿宋"/>
          <w:highlight w:val="none"/>
          <w:lang w:eastAsia="zh-CN"/>
        </w:rPr>
        <w:t>优级黄冰糖</w:t>
      </w:r>
      <w:r>
        <w:rPr>
          <w:rFonts w:hint="eastAsia" w:ascii="仿宋" w:hAnsi="仿宋" w:eastAsia="仿宋" w:cs="仿宋"/>
          <w:highlight w:val="none"/>
        </w:rPr>
        <w:t>的色值不得</w:t>
      </w:r>
      <w:r>
        <w:rPr>
          <w:rFonts w:hint="eastAsia" w:ascii="仿宋" w:hAnsi="仿宋" w:cs="仿宋"/>
          <w:highlight w:val="none"/>
          <w:lang w:eastAsia="zh-CN"/>
        </w:rPr>
        <w:t>小于</w:t>
      </w:r>
      <w:r>
        <w:rPr>
          <w:rFonts w:hint="eastAsia" w:ascii="仿宋" w:hAnsi="仿宋" w:cs="仿宋"/>
          <w:highlight w:val="none"/>
          <w:lang w:val="en-US" w:eastAsia="zh-CN"/>
        </w:rPr>
        <w:t>200</w:t>
      </w:r>
      <w:r>
        <w:rPr>
          <w:rFonts w:hint="eastAsia" w:ascii="仿宋" w:hAnsi="仿宋" w:eastAsia="仿宋" w:cs="仿宋"/>
          <w:highlight w:val="none"/>
        </w:rPr>
        <w:t>IU。导致产品色值不达标的原因可能与生产工艺水平有关，食糖的运输和储存条件不佳也可能导致其色值</w:t>
      </w:r>
      <w:r>
        <w:rPr>
          <w:rFonts w:hint="eastAsia" w:ascii="仿宋" w:hAnsi="仿宋" w:cs="仿宋"/>
          <w:highlight w:val="none"/>
          <w:lang w:eastAsia="zh-CN"/>
        </w:rPr>
        <w:t>变化</w:t>
      </w:r>
      <w:r>
        <w:rPr>
          <w:rFonts w:hint="default" w:ascii="Times New Roman" w:hAnsi="Times New Roman" w:cs="Times New Roman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12FB2"/>
    <w:rsid w:val="0EB12FB2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2019-12-04T07:31:00Z</dcterms:created>
  <dc:creator>罗钰珊</dc:creator>
  <cp:lastModifiedBy>罗钰珊</cp:lastModifiedBy>
  <dcterms:modified xsi:type="dcterms:W3CDTF">2019-12-04T07:31:36Z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