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264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黑体" w:hAnsi="黑体" w:eastAsia="黑体"/>
          <w:color w:val="000000"/>
          <w:sz w:val="32"/>
          <w:szCs w:val="32"/>
        </w:rPr>
        <w:t>水产品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，《兽药地方标准废止目录》（农业部公告第560号），《食品动物中停止使用洛美沙星、培氟沙星、氧氟沙星、诺氟沙星4种兽药的决定》（农业部公告第2292号）、《食品安全国家标准 食品中污染物限量》（GB 2762-2017）等标准。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检验项目：恩诺沙星、氧氟沙星、诺氟沙星、呋喃西林代谢物、呋喃唑酮代谢物、氯霉素、孔雀石绿兽药残留量、重金属等指标。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畜禽肉及副产品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动物性食品中兽药最高残留限量》（农业部公告第235号）、食品动物中停止使用洛美沙星、培氟沙星、氧氟沙星、诺氟沙星4种兽药的决定》（农业部公告第2292号）、《食品中可能违法添加的非食用物质和易滥用的食品添加剂名单（第四批）》（整顿办函〔2010〕50 号）等标准。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检验项目：克伦特罗、莱克多巴胺、沙丁胺醇、氧氟沙星、氯霉素、呋喃唑酮代谢物、恩诺沙星(以恩诺沙星与环丙沙星之和计)、多西环素(强力霉素)、五氯酚酸钠(以五氯酚计)等指标。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鲜蛋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抽检依据：《动物性食品中兽药最高残留限量》（农业部公告第235号）、食品动物中停止使用洛美沙星、培氟沙星、氧氟沙星、诺氟沙星4种兽药的决定》（农业部公告第2292号）等标准。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检验项目：氧氟沙星、氟苯尼考、氯霉素、呋喃西林代谢物、呋喃唑酮代谢物等指标。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豆类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抽检依据：《食品安全国家标准 食品中真菌毒素限量》（GB 2761-2017） 、GB 2762-2017《食品安全国家标准 食品中污染物限量》等标准。</w:t>
      </w:r>
    </w:p>
    <w:p>
      <w:pPr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检验项目：赭曲霉毒素A,铅(以Pb计),镉(以Cd计)）等指标。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生干坚果与籽类食品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抽检依据：GB2763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 、《食品安全国家标准 食品添加剂使用标准》（GB 2760-2014 ）等标准。</w:t>
      </w:r>
    </w:p>
    <w:p>
      <w:pPr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检验项目：多菌灵,铅(以Pb计),二氧化硫等指标。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工业加工</w:t>
      </w:r>
      <w:r>
        <w:rPr>
          <w:rFonts w:hint="eastAsia" w:ascii="黑体" w:hAnsi="黑体" w:eastAsia="黑体"/>
          <w:color w:val="000000"/>
          <w:sz w:val="32"/>
          <w:szCs w:val="32"/>
        </w:rPr>
        <w:t>食品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蔬菜制品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1.抽检依据：《食品安全国家标准 食品添加剂使用标准》(GB 2760-2014)、（GB 2762-2017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食品中污染物限量》等标准。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2.检测项目：亚硝酸盐(以NaNO</w:t>
      </w:r>
      <w:r>
        <w:rPr>
          <w:rFonts w:hint="eastAsia" w:ascii="仿宋_GB2312" w:hAnsi="仿宋_GB2312" w:eastAsia="仿宋_GB2312" w:cs="仿宋_GB2312"/>
          <w:color w:val="000000"/>
          <w:sz w:val="2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计)、苯甲酸及其钠盐（以苯甲酸计）、山梨酸及其钾盐（以山梨酸计）、二氧化硫残留量等指标。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调味品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1.抽检依据：（GB 2721-2015）《食品安全国家标准 食品添加剂使用标准》 、食品中可能违法添加的非食用物质和易滥用的食品添加剂品种名单（第五批）(整顿办函〔2011〕1号)等标准。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检验项目：苏丹红、苯甲酸及其钠盐（以苯甲酸计）、山梨酸及其钾盐（以山梨酸计）等指标。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4"/>
        <w:numPr>
          <w:ilvl w:val="0"/>
          <w:numId w:val="0"/>
        </w:numPr>
        <w:spacing w:line="60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 w:cstheme="minorBidi"/>
          <w:color w:val="000000"/>
          <w:kern w:val="2"/>
          <w:sz w:val="32"/>
          <w:szCs w:val="32"/>
          <w:lang w:val="en-US" w:eastAsia="zh-CN" w:bidi="ar-SA"/>
        </w:rPr>
        <w:t xml:space="preserve">糕点、饼干  </w:t>
      </w: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仿宋" w:eastAsia="仿宋_GB2312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2014）、《食品安全国家标准 食品中污染物限量》（GB 2762—2017）、《食品安全国家标准 食品中致病菌限量》（GB 29921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2013）、《食品安全国家标准 糕点、面包》（GB 7099-2015）、经备案现行有效的企业标准及产品明示质量要求。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过氧化值（以脂肪计）、苯甲酸及其钠盐（以苯甲酸计）、铝的残留量（干样品，以 Al 计）、防腐剂各自用量占其最大使用量的比例之和、菌落总数、大肠菌群。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2762—2017）、经备案现行有效的企业标准及产品明示质量要求。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</w:t>
      </w:r>
      <w:r>
        <w:rPr>
          <w:rFonts w:hint="eastAsia" w:ascii="仿宋_GB2312" w:hAnsi="黑体" w:eastAsia="仿宋_GB2312"/>
          <w:sz w:val="32"/>
          <w:szCs w:val="32"/>
        </w:rPr>
        <w:t>苯甲酸及其钠盐（以苯甲酸计）、二氧化硫残留量、铅（以 Pb 计）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脱氢乙酸及其钠盐（以脱氢乙酸计）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等。</w:t>
      </w:r>
    </w:p>
    <w:p>
      <w:pPr>
        <w:pStyle w:val="14"/>
        <w:numPr>
          <w:ilvl w:val="0"/>
          <w:numId w:val="0"/>
        </w:numPr>
        <w:spacing w:line="600" w:lineRule="exact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4"/>
        <w:numPr>
          <w:ilvl w:val="0"/>
          <w:numId w:val="0"/>
        </w:numPr>
        <w:spacing w:line="60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酒类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微软雅黑" w:eastAsia="仿宋_GB2312"/>
          <w:sz w:val="32"/>
          <w:szCs w:val="32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微软雅黑" w:eastAsia="仿宋_GB2312"/>
          <w:sz w:val="32"/>
          <w:szCs w:val="32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2017）、《食品安全国家标准 蒸馏酒及其配制酒》（GB 2757</w:t>
      </w:r>
      <w:r>
        <w:rPr>
          <w:rFonts w:hint="eastAsia" w:ascii="仿宋_GB2312" w:hAnsi="微软雅黑" w:eastAsia="仿宋_GB2312"/>
          <w:sz w:val="32"/>
          <w:szCs w:val="32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2012）、经备案现行有效的企业标准及产品明示质量要求。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</w:t>
      </w:r>
      <w:r>
        <w:rPr>
          <w:rFonts w:hint="eastAsia" w:ascii="仿宋_GB2312" w:hAnsi="黑体" w:eastAsia="仿宋_GB2312"/>
          <w:sz w:val="32"/>
          <w:szCs w:val="32"/>
        </w:rPr>
        <w:t>酒精度、铅(以 Pb 计)、甲醇、氰化物(以HCN 计)、糖精钠(以糖精计)、甜蜜素(以环己基氨基磺酸计)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等指标。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4"/>
        <w:numPr>
          <w:ilvl w:val="0"/>
          <w:numId w:val="0"/>
        </w:numPr>
        <w:spacing w:line="60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食盐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GB2721 食品安全国家标准 食盐、GB2760 食品安全国家标准 食品添加剂使用标准、GB2762食品安全国家标准 食品中污染物限量、GB5009.42 食品安全国家标准 食盐指标的测定、NY/T1040 绿色食品 食用盐等相关的法律法规、部门规章规定。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氯化钠、氯化钾、碘、总砷、总汞、镉、亚硝酸盐等指标。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豆制品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1.抽样依据：《食品安全国家标准 豆制品》（GB 2712-2014）、《食品安全国家标准 食品添加剂使用标准》（GB 2760-2014）、《食品安全国家标准 食品中真菌毒素限量》（GB 2761-2017）、《食品安全国家标准 食品中污染物限量》（GB 2762-2017）等标准。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2.检测项目：铅（以Pb计）、黄曲霉毒素B1、苯甲酸及其钠盐（以苯甲酸计）、山梨酸及其钾盐（以山梨酸计）、脱氢乙酸及其钠盐（以脱氢乙酸计）等重金属、真菌毒素、食品添加剂等指标。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宋体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宋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5FB53"/>
    <w:multiLevelType w:val="singleLevel"/>
    <w:tmpl w:val="E0D5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4157C"/>
    <w:rsid w:val="00051AE3"/>
    <w:rsid w:val="000756FC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16034"/>
    <w:rsid w:val="00223514"/>
    <w:rsid w:val="0023175D"/>
    <w:rsid w:val="0023229A"/>
    <w:rsid w:val="002C2AC8"/>
    <w:rsid w:val="002C4D44"/>
    <w:rsid w:val="002D6BB4"/>
    <w:rsid w:val="002E3CF6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D1B2E"/>
    <w:rsid w:val="005E1F65"/>
    <w:rsid w:val="006042A4"/>
    <w:rsid w:val="00616323"/>
    <w:rsid w:val="006473F0"/>
    <w:rsid w:val="0065676C"/>
    <w:rsid w:val="0068055F"/>
    <w:rsid w:val="00682819"/>
    <w:rsid w:val="00696B22"/>
    <w:rsid w:val="006A0DF5"/>
    <w:rsid w:val="006B7244"/>
    <w:rsid w:val="006D4DBF"/>
    <w:rsid w:val="006E47D9"/>
    <w:rsid w:val="0071584E"/>
    <w:rsid w:val="00716BB4"/>
    <w:rsid w:val="00734CCE"/>
    <w:rsid w:val="00744473"/>
    <w:rsid w:val="00750781"/>
    <w:rsid w:val="00766D40"/>
    <w:rsid w:val="00770FCD"/>
    <w:rsid w:val="00773944"/>
    <w:rsid w:val="007C69CA"/>
    <w:rsid w:val="007E000E"/>
    <w:rsid w:val="007E3923"/>
    <w:rsid w:val="00800D5E"/>
    <w:rsid w:val="0080255E"/>
    <w:rsid w:val="00813666"/>
    <w:rsid w:val="008218DF"/>
    <w:rsid w:val="00830088"/>
    <w:rsid w:val="00860AAF"/>
    <w:rsid w:val="00870727"/>
    <w:rsid w:val="00872842"/>
    <w:rsid w:val="00873B00"/>
    <w:rsid w:val="00891F45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55563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E258BE"/>
    <w:rsid w:val="00E37605"/>
    <w:rsid w:val="00E5038A"/>
    <w:rsid w:val="00E6270E"/>
    <w:rsid w:val="00E71AB9"/>
    <w:rsid w:val="00E75062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2FB17F1"/>
    <w:rsid w:val="046D06FC"/>
    <w:rsid w:val="05686FD9"/>
    <w:rsid w:val="0816150C"/>
    <w:rsid w:val="094667C4"/>
    <w:rsid w:val="0CA434A3"/>
    <w:rsid w:val="0D1D372A"/>
    <w:rsid w:val="0D9A113E"/>
    <w:rsid w:val="0DA10A24"/>
    <w:rsid w:val="0E7D2DE9"/>
    <w:rsid w:val="0F68443B"/>
    <w:rsid w:val="1A397341"/>
    <w:rsid w:val="1CAF0BF3"/>
    <w:rsid w:val="1E7431CF"/>
    <w:rsid w:val="1FFF6D9F"/>
    <w:rsid w:val="20CD2691"/>
    <w:rsid w:val="22CD1B97"/>
    <w:rsid w:val="234111D3"/>
    <w:rsid w:val="25FA7B8A"/>
    <w:rsid w:val="279752E6"/>
    <w:rsid w:val="29956F00"/>
    <w:rsid w:val="2A0E3489"/>
    <w:rsid w:val="2AD852A0"/>
    <w:rsid w:val="2BD629DE"/>
    <w:rsid w:val="2C5A0F27"/>
    <w:rsid w:val="33824598"/>
    <w:rsid w:val="36F44D1C"/>
    <w:rsid w:val="3731463F"/>
    <w:rsid w:val="399F557B"/>
    <w:rsid w:val="3ACF51CD"/>
    <w:rsid w:val="3E6757CA"/>
    <w:rsid w:val="40BB1F16"/>
    <w:rsid w:val="43445FA3"/>
    <w:rsid w:val="436F7657"/>
    <w:rsid w:val="44414D82"/>
    <w:rsid w:val="45CD51DD"/>
    <w:rsid w:val="48B1350D"/>
    <w:rsid w:val="49D705FB"/>
    <w:rsid w:val="4A557440"/>
    <w:rsid w:val="4A6130C7"/>
    <w:rsid w:val="4A9A20C4"/>
    <w:rsid w:val="4AEB32B7"/>
    <w:rsid w:val="4B040487"/>
    <w:rsid w:val="4BA06880"/>
    <w:rsid w:val="4CC6155E"/>
    <w:rsid w:val="4E1834FB"/>
    <w:rsid w:val="51874B0B"/>
    <w:rsid w:val="5B2235BA"/>
    <w:rsid w:val="5BE67BA4"/>
    <w:rsid w:val="5BFE4CC6"/>
    <w:rsid w:val="5D9D76D8"/>
    <w:rsid w:val="5F692C35"/>
    <w:rsid w:val="6129784A"/>
    <w:rsid w:val="625E1BAA"/>
    <w:rsid w:val="67294E50"/>
    <w:rsid w:val="6A2968BC"/>
    <w:rsid w:val="6A2F29BE"/>
    <w:rsid w:val="6A8D5B07"/>
    <w:rsid w:val="6B74276A"/>
    <w:rsid w:val="6BA8417F"/>
    <w:rsid w:val="6C3C3557"/>
    <w:rsid w:val="6C780B30"/>
    <w:rsid w:val="6F631CEE"/>
    <w:rsid w:val="7090022A"/>
    <w:rsid w:val="727A7978"/>
    <w:rsid w:val="734E77C3"/>
    <w:rsid w:val="73924A28"/>
    <w:rsid w:val="74794315"/>
    <w:rsid w:val="75532745"/>
    <w:rsid w:val="78EA2219"/>
    <w:rsid w:val="7A1B764A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A96B9-8C4B-4C73-B95D-160E9FF41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219</Words>
  <Characters>1249</Characters>
  <Lines>10</Lines>
  <Paragraphs>2</Paragraphs>
  <TotalTime>2</TotalTime>
  <ScaleCrop>false</ScaleCrop>
  <LinksUpToDate>false</LinksUpToDate>
  <CharactersWithSpaces>1466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2019-11-04T08:26:00Z</dcterms:created>
  <dc:creator>SDWM</dc:creator>
  <cp:lastModifiedBy>峰豪渊</cp:lastModifiedBy>
  <dcterms:modified xsi:type="dcterms:W3CDTF">2019-11-12T08:31:50Z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