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 食品安全国家标准 食品中污染物限量》、GB 2761-2017《食品安全国家标准 食品中真菌毒素限量》等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腐竹的抽检项目包括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苯甲酸及其钠盐、山梨酸及其钾盐、脱氢乙酸、丙酸及其钠盐、钙盐、糖精钠、二氧化硫残留量、大肠菌群、沙门氏菌、金黄色葡萄球菌、铝的残留量（干样品，以A1计）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2762-2017《 食品安全国家标准 食品中污染物限量》、GB 2761-2017《食品安全国家标准 食品中真菌毒素限量》、、GB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1.巴氏杀菌乳的抽检项目包括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脂肪、蛋白质、酸度、黄曲霉毒素M</w:t>
      </w:r>
      <w:r>
        <w:rPr>
          <w:rFonts w:hint="eastAsia" w:ascii="仿宋" w:hAnsi="仿宋" w:eastAsia="仿宋" w:cs="仿宋"/>
          <w:kern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、菌落总数、大肠菌群、金黄色葡萄球菌、沙门氏菌、三聚氰胺、山梨酸及其钾盐、铅(以Pb计)、总汞(以Hg计)、总砷(以As计) 、铬(以Cr计)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2.调制乳的抽检项目包括：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脂肪、蛋白质、黄曲霉毒素M</w:t>
      </w:r>
      <w:r>
        <w:rPr>
          <w:rFonts w:hint="eastAsia" w:ascii="仿宋" w:hAnsi="仿宋" w:eastAsia="仿宋" w:cs="仿宋"/>
          <w:kern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、三聚氰胺、山梨酸及其钾盐、三氯蔗糖、维生素E、菌落总数、大肠菌群、金黄色葡萄球菌、沙门氏菌、铅(以Pb计)、总汞(以Hg计)、总砷(以As计) 、铬(以Cr计)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1.香辛料的抽检项目包括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铅、苯甲酸及其钠盐、山梨酸及其钾盐、糖精钠、苏丹红Ⅰ、苏丹红Ⅱ、苏丹红Ⅲ、苏丹红Ⅳ、罗丹明B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2763-2017《食品安全国家标准 食品中农药最大残留限量》、GB 2762-2017《食品安全国家标准 食品中污染物限量》、等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10" w:leftChars="0" w:firstLine="537" w:firstLineChars="168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茶叶的抽检项目包括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铅、六六六、滴滴涕、溴氰菊酯、杀螟硫磷、乙酰甲胺磷、联苯菊酯、灭多威、多菌灵、氯氰菊酯和高效氯氰菊酯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食品中污染物限量》、食品中可能违法添加的非食用物质和易滥用的食品添加剂品种名单（第一批）(食品整治办〔2008〕3号)的通知等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1.发酵面制品的抽检项目包括铝的残留量（干样品，以A1计）、甲醛次硫酸氢钠、甜蜜素、苯甲酸及其钠盐、山梨酸及其钾盐、。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2.油炸面制品的抽检项目包括铝的残留量。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3.熟肉制品的抽检项目包括铬（以cr计）、亚硝酸盐、苯甲酸及其钠盐、山梨酸及其钾盐、胭脂红。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4.餐饮具的抽检项目包括大肠菌群、沙门氏菌。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5.煎炸过程用油的抽检项目包括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酸价、过氧化值、极性组分、羰基价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6.复合型调味料的抽检项目包括罂粟碱、吗啡、可待因、那可丁、蒂巴因。</w:t>
      </w:r>
    </w:p>
    <w:p>
      <w:pPr>
        <w:spacing w:line="580" w:lineRule="exact"/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、</w:t>
      </w:r>
      <w:r>
        <w:rPr>
          <w:rFonts w:hint="eastAsia" w:ascii="黑体" w:hAnsi="黑体" w:eastAsia="黑体" w:cs="仿宋_GB2312"/>
          <w:b/>
          <w:bCs/>
          <w:sz w:val="32"/>
          <w:szCs w:val="32"/>
          <w:lang w:eastAsia="zh-CN"/>
        </w:rPr>
        <w:t>淀粉及淀粉制品</w:t>
      </w:r>
    </w:p>
    <w:p>
      <w:pPr>
        <w:spacing w:line="58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食品中污染物限量》等标准及指标的要求。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淀粉及淀粉制品的检测项目包括二氧化硫残留量、铅、铝的残留量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食品中污染物限量》、食品中可能违法添加的非食用物质和易滥用的食品添加剂品种名单（第一批）(食品整治办〔2008〕3号)的通知等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冷冻饮品的检测项目包括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铅、蛋白质、糖精钠、甜蜜素、三氯蔗糖、苯甲酸及其钠盐、山梨酸及其钾盐、菌落总数、大肠菌群、沙门氏菌、金黄色葡萄球菌、三聚氰胺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2763-2017《食品安全国家标准 食品中农药最大残留限量》、动物性食品中兽药最高残留限量-农业部235号公告等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2"/>
        </w:numPr>
        <w:ind w:leftChars="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蓄肉和蓄副产品的抽检项目包括克伦特罗、莱克多巴胺、沙丁胺醇、氯霉素、磺胺类、挥发性盐基氮。</w:t>
      </w:r>
    </w:p>
    <w:p>
      <w:pPr>
        <w:pStyle w:val="2"/>
        <w:numPr>
          <w:ilvl w:val="0"/>
          <w:numId w:val="2"/>
        </w:numPr>
        <w:ind w:leftChars="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禽肉的抽检项目包括挥发性盐基氮、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挥发性盐基氮、氯霉素、磺胺类(总量)、氟苯尼考、恩诺沙星（以恩诺沙星与环丙沙星之和计）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 xml:space="preserve"> </w:t>
      </w:r>
    </w:p>
    <w:p>
      <w:pPr>
        <w:pStyle w:val="2"/>
        <w:numPr>
          <w:ilvl w:val="0"/>
          <w:numId w:val="2"/>
        </w:numPr>
        <w:ind w:leftChars="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韭菜类的抽检项目包括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腐霉利、毒死蜱、氧乐果、二甲戊灵、多菌灵、阿维菌素、克百威、氯氰菊酯和高效氯氰菊酯</w:t>
      </w:r>
    </w:p>
    <w:p>
      <w:pPr>
        <w:pStyle w:val="2"/>
        <w:numPr>
          <w:ilvl w:val="0"/>
          <w:numId w:val="2"/>
        </w:numPr>
        <w:ind w:leftChars="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芹菜的抽检项目包括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毒死蜱、氧乐果、克百威、阿维菌素、治螟磷、二甲戊灵、敌百虫、甲基异柳磷、甲拌磷、涕灭威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5.豆类蔬菜的抽检项目包括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阿维菌素、氧乐果、辛硫磷、克百威、灭蝇胺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6.豆芽的抽检项目包括亚硫酸盐（以SO2计）、6-苄基腺嘌呤（6-BA）。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7.鲜食用菌的抽检项目包括荧光增白剂、铅、百菌清、二氧化硫残留量。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8.水果类的抽检项目包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氧乐果、毒死蜱、甲胺磷、丙溴磷、敌敌畏、灭线磷、甲基对硫磷、杀扑磷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9.鲜蛋类的抽检项目包括铅、镉、总汞、氟苯尼考、恩诺沙星（以恩诺沙星与环丙沙星之和计）、土霉素、氯毒素、金霉素、四环素。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10.水产品的抽检项目包括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挥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挥发性盐基氮、铅（以Pb计）、镉（以Cd计）、、恩诺沙星（限淡水鱼）、呋喃唑酮代谢物、呋喃它酮代谢物、呋喃妥因代谢物、呋喃西林代谢物、孔雀石绿、氯霉素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食品中污染物限量》、GB 29921-2013 《食品安全国家标准 食品中致病菌限量》等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eastAsia="zh-CN"/>
        </w:rPr>
        <w:t>油炸面及非油炸面的检测项目包括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水分、苯甲酸及其钠盐、山梨酸及其钾盐、菌落总数、大肠菌群、沙门氏菌、金黄色葡萄球菌、铅、酸价、过氧化值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食品中污染物限量》、GB 29921-2013 《食品安全国家标准 食品中致病菌限量》等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eastAsia="zh-CN"/>
        </w:rPr>
        <w:t>预制鱼糜制品的检测项目包括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铅、镉、铬、挥发性盐基氮、N-二甲基亚硝胺、苯甲酸及其钠盐、山梨酸及其钾盐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西安市长安区市场监督管理局2019年4月食品安全抽检工作计划、GB 2760-2014《食品安全国家标准 食品添加剂使用标准》、GB 2762-2017《食品安全国家标准 食品中污染物限量》、GB 29921-2013 《食品安全国家标准 食品中致病菌限量》等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eastAsia="zh-CN"/>
        </w:rPr>
        <w:t>水果制品的检测项目包括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苯甲酸及其钠盐、山梨酸及其钾盐、糖精钠、甜蜜素、二氧化硫残留量、合成着色剂（柠檬黄、苋菜红、胭脂红、日落黄、亮蓝、赤藓红、新红）、防腐剂混合使用时各自用量占其最大使用量的比例之和、菌落总数、大肠菌群、沙门氏菌、金黄色葡萄球菌、霉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西安市长安区市场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监督管理局2019年4月食品安全抽检工作计划、GB 2760-2014《食品安全国家标准 食品添加剂使用标准》、GB 2762-2017《食品安全国家标准 食品中污染物限量》、GB 29921-2013 《食品安全国家标准 食品中致病菌限量》等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val="en-US" w:eastAsia="zh-CN"/>
        </w:rPr>
        <w:t>1.果、蔬汁饮料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262626"/>
          <w:sz w:val="32"/>
          <w:szCs w:val="32"/>
          <w:lang w:eastAsia="zh-CN"/>
        </w:rPr>
        <w:t>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菌落总数、大肠菌群、霉菌、酵母、商业无菌、甜蜜素、山梨酸及其钾盐、安赛蜜、苯甲酸及其钠盐、二氧化硫残留量、糖精钠、三氯蔗糖、纳他霉素、阿斯巴甜、脱氢乙酸、合成着色剂（（赤藓红、酸性红、苋菜红、诱惑红、新红、胭脂红、柠檬黄、日落黄、亮蓝））、展青霉素、防腐剂混合使用时各自用量占其最大使用量的比例之和、沙门氏菌、金黄色葡萄球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2.蛋白饮料的检测项目包括.</w:t>
      </w:r>
      <w:r>
        <w:rPr>
          <w:rFonts w:hint="eastAsia" w:ascii="仿宋" w:hAnsi="仿宋" w:eastAsia="仿宋" w:cs="仿宋"/>
          <w:kern w:val="0"/>
          <w:sz w:val="32"/>
          <w:szCs w:val="32"/>
        </w:rPr>
        <w:t>铅、菌落总数、大肠菌群、霉菌、酵母、氰化物、苯甲酸及其钠盐、三氯蔗糖、阿斯巴甜、脱氢乙酸、糖精钠、安赛蜜、山梨酸及其钾盐、合成着色剂（诱惑红、柠檬黄、胭脂红、苋菜红、日落黄、亮蓝、酸性红）、甜蜜素、沙门氏菌、金黄色葡萄球菌、防腐剂混合使用时各自用量占其最大使用量的比例之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1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3.碳酸饮料的检测项目包括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碳气容量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B9B8C"/>
    <w:multiLevelType w:val="singleLevel"/>
    <w:tmpl w:val="D25B9B8C"/>
    <w:lvl w:ilvl="0" w:tentative="0">
      <w:start w:val="7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7C93DDF"/>
    <w:multiLevelType w:val="singleLevel"/>
    <w:tmpl w:val="F7C93D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5CA3C80"/>
    <w:rsid w:val="25F77FC7"/>
    <w:rsid w:val="2A045265"/>
    <w:rsid w:val="2BFC7D6A"/>
    <w:rsid w:val="2D644CFD"/>
    <w:rsid w:val="2E5332FF"/>
    <w:rsid w:val="31260780"/>
    <w:rsid w:val="34BD4A02"/>
    <w:rsid w:val="35E055F4"/>
    <w:rsid w:val="377B7005"/>
    <w:rsid w:val="38917ACB"/>
    <w:rsid w:val="3AA8034C"/>
    <w:rsid w:val="3AD015C1"/>
    <w:rsid w:val="3E3F4878"/>
    <w:rsid w:val="40110196"/>
    <w:rsid w:val="40194A53"/>
    <w:rsid w:val="42AD7897"/>
    <w:rsid w:val="42EB5CA7"/>
    <w:rsid w:val="46506984"/>
    <w:rsid w:val="4B137FF9"/>
    <w:rsid w:val="4B3D0E70"/>
    <w:rsid w:val="4FCB5037"/>
    <w:rsid w:val="50A73037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D480CE8"/>
    <w:rsid w:val="6FF87D39"/>
    <w:rsid w:val="700E1B3E"/>
    <w:rsid w:val="71E0402C"/>
    <w:rsid w:val="75917501"/>
    <w:rsid w:val="75C25371"/>
    <w:rsid w:val="76B44535"/>
    <w:rsid w:val="777D04A5"/>
    <w:rsid w:val="79B76488"/>
    <w:rsid w:val="7D6F1EA1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2017-04-27T02:27:00Z</cp:lastPrinted>
  <dcterms:modified xsi:type="dcterms:W3CDTF">2019-05-17T02:46:16Z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