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F9" w:rsidRPr="008918A4" w:rsidRDefault="00F42AF9" w:rsidP="00F42AF9">
      <w:pPr>
        <w:spacing w:line="580" w:lineRule="exact"/>
        <w:jc w:val="left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 w:rsidRPr="008918A4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附件4</w:t>
      </w:r>
    </w:p>
    <w:p w:rsidR="00CE6EF9" w:rsidRPr="008918A4" w:rsidRDefault="00CE6EF9" w:rsidP="00F42AF9">
      <w:pPr>
        <w:spacing w:line="580" w:lineRule="exact"/>
        <w:jc w:val="left"/>
        <w:rPr>
          <w:rFonts w:ascii="黑体" w:eastAsia="黑体" w:hAnsi="黑体"/>
          <w:color w:val="000000" w:themeColor="text1"/>
          <w:kern w:val="0"/>
          <w:sz w:val="32"/>
          <w:szCs w:val="32"/>
        </w:rPr>
      </w:pPr>
    </w:p>
    <w:p w:rsidR="00980A5F" w:rsidRPr="008918A4" w:rsidRDefault="00E15D3C">
      <w:pPr>
        <w:spacing w:line="580" w:lineRule="exact"/>
        <w:jc w:val="center"/>
        <w:rPr>
          <w:rFonts w:ascii="方正小标宋简体" w:eastAsia="方正小标宋简体" w:hAnsi="Times New Roman"/>
          <w:color w:val="000000" w:themeColor="text1"/>
          <w:kern w:val="0"/>
          <w:sz w:val="44"/>
          <w:szCs w:val="44"/>
        </w:rPr>
      </w:pPr>
      <w:r w:rsidRPr="008918A4">
        <w:rPr>
          <w:rFonts w:ascii="Times New Roman" w:eastAsia="方正小标宋简体" w:hAnsi="Times New Roman" w:hint="eastAsia"/>
          <w:color w:val="000000" w:themeColor="text1"/>
          <w:kern w:val="0"/>
          <w:sz w:val="44"/>
          <w:szCs w:val="44"/>
        </w:rPr>
        <w:t>皮肤变态反应：局部</w:t>
      </w:r>
      <w:r w:rsidRPr="008918A4">
        <w:rPr>
          <w:rFonts w:ascii="方正小标宋简体" w:eastAsia="方正小标宋简体" w:hAnsi="Times New Roman" w:hint="eastAsia"/>
          <w:color w:val="000000" w:themeColor="text1"/>
          <w:kern w:val="0"/>
          <w:sz w:val="44"/>
          <w:szCs w:val="44"/>
        </w:rPr>
        <w:t>淋巴结试验</w:t>
      </w:r>
      <w:r w:rsidRPr="008918A4">
        <w:rPr>
          <w:rFonts w:ascii="方正小标宋简体" w:eastAsia="方正小标宋简体" w:hAnsi="Times New Roman"/>
          <w:color w:val="000000" w:themeColor="text1"/>
          <w:kern w:val="0"/>
          <w:sz w:val="44"/>
          <w:szCs w:val="44"/>
        </w:rPr>
        <w:t>:DA</w:t>
      </w:r>
    </w:p>
    <w:p w:rsidR="00980A5F" w:rsidRPr="008918A4" w:rsidRDefault="00E15D3C">
      <w:pPr>
        <w:spacing w:line="580" w:lineRule="exact"/>
        <w:jc w:val="center"/>
        <w:rPr>
          <w:rFonts w:ascii="方正小标宋简体" w:eastAsia="方正小标宋简体" w:hAnsi="Times New Roman"/>
          <w:color w:val="000000" w:themeColor="text1"/>
          <w:kern w:val="0"/>
          <w:sz w:val="44"/>
          <w:szCs w:val="44"/>
        </w:rPr>
      </w:pPr>
      <w:r w:rsidRPr="008918A4">
        <w:rPr>
          <w:rFonts w:ascii="方正小标宋简体" w:eastAsia="方正小标宋简体" w:hAnsi="Times New Roman"/>
          <w:color w:val="000000" w:themeColor="text1"/>
          <w:kern w:val="0"/>
          <w:sz w:val="44"/>
          <w:szCs w:val="44"/>
        </w:rPr>
        <w:t>Skin Sensitization: Local Lymph Node Assay: DA</w:t>
      </w:r>
      <w:r w:rsidRPr="008918A4">
        <w:rPr>
          <w:rFonts w:ascii="方正小标宋简体" w:eastAsia="方正小标宋简体" w:hAnsi="Times New Roman" w:hint="eastAsia"/>
          <w:color w:val="000000" w:themeColor="text1"/>
          <w:kern w:val="0"/>
          <w:sz w:val="44"/>
          <w:szCs w:val="44"/>
        </w:rPr>
        <w:t>（</w:t>
      </w:r>
      <w:r w:rsidRPr="008918A4">
        <w:rPr>
          <w:rFonts w:ascii="方正小标宋简体" w:eastAsia="方正小标宋简体" w:hAnsi="Times New Roman"/>
          <w:color w:val="000000" w:themeColor="text1"/>
          <w:kern w:val="0"/>
          <w:sz w:val="44"/>
          <w:szCs w:val="44"/>
        </w:rPr>
        <w:t>LLNA:DA</w:t>
      </w:r>
      <w:r w:rsidRPr="008918A4">
        <w:rPr>
          <w:rFonts w:ascii="方正小标宋简体" w:eastAsia="方正小标宋简体" w:hAnsi="Times New Roman" w:hint="eastAsia"/>
          <w:color w:val="000000" w:themeColor="text1"/>
          <w:kern w:val="0"/>
          <w:sz w:val="44"/>
          <w:szCs w:val="44"/>
        </w:rPr>
        <w:t>）</w:t>
      </w:r>
    </w:p>
    <w:p w:rsidR="00980A5F" w:rsidRPr="008918A4" w:rsidRDefault="00980A5F">
      <w:pPr>
        <w:spacing w:line="580" w:lineRule="exact"/>
        <w:jc w:val="center"/>
        <w:rPr>
          <w:rFonts w:ascii="Times New Roman" w:eastAsiaTheme="minorEastAsia"/>
          <w:b/>
          <w:color w:val="000000" w:themeColor="text1"/>
        </w:rPr>
      </w:pPr>
    </w:p>
    <w:p w:rsidR="00980A5F" w:rsidRPr="008918A4" w:rsidRDefault="00E15D3C">
      <w:pPr>
        <w:spacing w:line="580" w:lineRule="exact"/>
        <w:ind w:firstLineChars="200" w:firstLine="643"/>
        <w:rPr>
          <w:b/>
          <w:color w:val="000000" w:themeColor="text1"/>
          <w:sz w:val="28"/>
          <w:szCs w:val="28"/>
        </w:rPr>
      </w:pPr>
      <w:r w:rsidRPr="008918A4">
        <w:rPr>
          <w:rFonts w:ascii="Times New Roman" w:eastAsiaTheme="minorEastAsia"/>
          <w:b/>
          <w:color w:val="000000" w:themeColor="text1"/>
          <w:sz w:val="32"/>
          <w:szCs w:val="32"/>
        </w:rPr>
        <w:t xml:space="preserve">1 </w:t>
      </w:r>
      <w:r w:rsidRPr="008918A4"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  <w:t>范围</w:t>
      </w:r>
    </w:p>
    <w:p w:rsidR="00980A5F" w:rsidRPr="008918A4" w:rsidRDefault="00E15D3C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本方法规定了局部淋巴结试验（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LLNA:DA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）的基本原则和试验要求。</w:t>
      </w:r>
    </w:p>
    <w:p w:rsidR="00980A5F" w:rsidRPr="008918A4" w:rsidRDefault="00E15D3C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本方法适用于</w:t>
      </w:r>
      <w:r w:rsidRPr="008918A4">
        <w:rPr>
          <w:rFonts w:eastAsia="仿宋_GB2312"/>
          <w:color w:val="000000" w:themeColor="text1"/>
          <w:kern w:val="0"/>
          <w:sz w:val="32"/>
          <w:szCs w:val="32"/>
        </w:rPr>
        <w:t>化妆品用化学原料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皮肤变态反应的检测。</w:t>
      </w:r>
    </w:p>
    <w:p w:rsidR="00980A5F" w:rsidRPr="008918A4" w:rsidRDefault="00E15D3C">
      <w:pPr>
        <w:pStyle w:val="ab"/>
        <w:spacing w:line="580" w:lineRule="exact"/>
        <w:ind w:firstLine="643"/>
        <w:rPr>
          <w:rFonts w:ascii="Times New Roman" w:eastAsiaTheme="minorEastAsia"/>
          <w:b/>
          <w:color w:val="000000" w:themeColor="text1"/>
          <w:szCs w:val="21"/>
        </w:rPr>
      </w:pPr>
      <w:r w:rsidRPr="008918A4">
        <w:rPr>
          <w:rFonts w:ascii="Times New Roman" w:eastAsiaTheme="minorEastAsia"/>
          <w:b/>
          <w:color w:val="000000" w:themeColor="text1"/>
          <w:sz w:val="32"/>
          <w:szCs w:val="32"/>
        </w:rPr>
        <w:t>2</w:t>
      </w:r>
      <w:r w:rsidRPr="008918A4">
        <w:rPr>
          <w:rFonts w:ascii="Times New Roman" w:eastAsiaTheme="minorEastAsia"/>
          <w:b/>
          <w:color w:val="000000" w:themeColor="text1"/>
          <w:szCs w:val="21"/>
        </w:rPr>
        <w:t xml:space="preserve"> </w:t>
      </w:r>
      <w:r w:rsidRPr="008918A4">
        <w:rPr>
          <w:rFonts w:ascii="Times New Roman" w:eastAsia="黑体" w:hint="eastAsia"/>
          <w:bCs/>
          <w:color w:val="000000" w:themeColor="text1"/>
          <w:sz w:val="32"/>
          <w:szCs w:val="32"/>
        </w:rPr>
        <w:t>试验目的</w:t>
      </w:r>
    </w:p>
    <w:p w:rsidR="00980A5F" w:rsidRPr="008918A4" w:rsidRDefault="00E15D3C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确定重复接触</w:t>
      </w:r>
      <w:r w:rsidRPr="008918A4">
        <w:rPr>
          <w:rFonts w:eastAsia="仿宋_GB2312"/>
          <w:color w:val="000000" w:themeColor="text1"/>
          <w:kern w:val="0"/>
          <w:sz w:val="32"/>
          <w:szCs w:val="32"/>
        </w:rPr>
        <w:t>化妆品用化学原料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对哺乳动物皮肤局部是否可引起变态反应及其程度。</w:t>
      </w:r>
    </w:p>
    <w:p w:rsidR="00980A5F" w:rsidRPr="008918A4" w:rsidRDefault="00E15D3C">
      <w:pPr>
        <w:pStyle w:val="ab"/>
        <w:spacing w:line="580" w:lineRule="exact"/>
        <w:ind w:firstLine="643"/>
        <w:rPr>
          <w:rFonts w:ascii="Times New Roman" w:eastAsiaTheme="minorEastAsia"/>
          <w:b/>
          <w:color w:val="000000" w:themeColor="text1"/>
          <w:szCs w:val="21"/>
        </w:rPr>
      </w:pPr>
      <w:r w:rsidRPr="008918A4">
        <w:rPr>
          <w:rFonts w:ascii="Times New Roman" w:eastAsiaTheme="minorEastAsia"/>
          <w:b/>
          <w:color w:val="000000" w:themeColor="text1"/>
          <w:sz w:val="32"/>
          <w:szCs w:val="32"/>
        </w:rPr>
        <w:t xml:space="preserve">3 </w:t>
      </w:r>
      <w:r w:rsidRPr="008918A4">
        <w:rPr>
          <w:rFonts w:ascii="Times New Roman" w:eastAsia="黑体" w:hint="eastAsia"/>
          <w:bCs/>
          <w:color w:val="000000" w:themeColor="text1"/>
          <w:sz w:val="32"/>
          <w:szCs w:val="32"/>
        </w:rPr>
        <w:t>定义</w:t>
      </w:r>
    </w:p>
    <w:p w:rsidR="00980A5F" w:rsidRPr="008918A4" w:rsidRDefault="00E15D3C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3.1 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皮肤变态反应（过敏性接触性皮炎）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skin sensitization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allergic contact dermatitis</w:t>
      </w:r>
    </w:p>
    <w:p w:rsidR="00980A5F" w:rsidRPr="008918A4" w:rsidRDefault="00E15D3C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皮肤对一种物质产生的免疫源性皮肤反应。在人类这种反应可能以瘙痒、红斑、丘疹、水疱、融合水疱为特征。动物的反应不同，可能只见到皮肤红斑和水肿。</w:t>
      </w:r>
    </w:p>
    <w:p w:rsidR="00980A5F" w:rsidRPr="008918A4" w:rsidRDefault="00E15D3C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3.2 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皮肤刺激性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 dermal irritation</w:t>
      </w:r>
    </w:p>
    <w:p w:rsidR="00980A5F" w:rsidRPr="008918A4" w:rsidRDefault="00E15D3C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皮肤涂抹受试物后局部产生的原发可逆性炎性变化。</w:t>
      </w:r>
    </w:p>
    <w:p w:rsidR="00980A5F" w:rsidRPr="008918A4" w:rsidRDefault="00E15D3C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3.3 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刺激指数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 stimulation index</w:t>
      </w:r>
    </w:p>
    <w:p w:rsidR="00980A5F" w:rsidRPr="008918A4" w:rsidRDefault="00E15D3C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评价受试物皮肤致敏能力的值，是试验组与溶剂对照组增殖率的比值。</w:t>
      </w:r>
    </w:p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3"/>
        <w:rPr>
          <w:rFonts w:ascii="Times New Roman" w:eastAsiaTheme="minorEastAsia" w:hAnsi="Times New Roman"/>
          <w:b/>
          <w:color w:val="000000" w:themeColor="text1"/>
          <w:kern w:val="0"/>
        </w:rPr>
      </w:pPr>
      <w:r w:rsidRPr="008918A4">
        <w:rPr>
          <w:rFonts w:ascii="Times New Roman" w:eastAsiaTheme="minorEastAsia" w:hAnsi="Times New Roman"/>
          <w:b/>
          <w:color w:val="000000" w:themeColor="text1"/>
          <w:kern w:val="0"/>
          <w:sz w:val="32"/>
          <w:szCs w:val="32"/>
        </w:rPr>
        <w:t xml:space="preserve">4 </w:t>
      </w:r>
      <w:r w:rsidRPr="008918A4">
        <w:rPr>
          <w:rFonts w:ascii="Times New Roman" w:eastAsia="黑体" w:hAnsi="Times New Roman" w:hint="eastAsia"/>
          <w:bCs/>
          <w:color w:val="000000" w:themeColor="text1"/>
          <w:kern w:val="0"/>
          <w:sz w:val="32"/>
          <w:szCs w:val="32"/>
        </w:rPr>
        <w:t>试验原理</w:t>
      </w:r>
    </w:p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bookmarkStart w:id="0" w:name="_Hlk516736914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过敏原引起染毒部位回流淋巴结内淋巴细胞增殖</w:t>
      </w:r>
      <w:bookmarkEnd w:id="0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，其增殖程度与过敏原的剂量和效力成比例。通过生物发光法测定耳廓淋巴结内淋巴细胞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ATP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含量（与活细胞数相关）从而评价其增殖程度。生物发光法利用荧光素酶（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luciferase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）催化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ATP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和荧光素（</w:t>
      </w:r>
      <w:proofErr w:type="spellStart"/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luciferin</w:t>
      </w:r>
      <w:proofErr w:type="spellEnd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）反应同时发光，其发光强度与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ATP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浓度线性相关。通过计算</w:t>
      </w:r>
      <w:proofErr w:type="gramStart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受试物组与</w:t>
      </w:r>
      <w:proofErr w:type="gramEnd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溶剂对照组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ATP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含量比值即刺激指数评价受试物的皮肤致敏性。</w:t>
      </w:r>
    </w:p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480"/>
        <w:jc w:val="left"/>
        <w:rPr>
          <w:rFonts w:ascii="Times New Roman" w:eastAsia="仿宋_GB2312" w:hAnsi="Times New Roman"/>
          <w:color w:val="000000" w:themeColor="text1"/>
          <w:kern w:val="0"/>
          <w:sz w:val="24"/>
          <w:szCs w:val="24"/>
        </w:rPr>
      </w:pPr>
      <m:oMathPara>
        <m:oMath>
          <m:r>
            <w:rPr>
              <w:rFonts w:ascii="Cambria Math" w:eastAsia="仿宋_GB2312" w:hAnsi="Cambria Math"/>
              <w:color w:val="000000" w:themeColor="text1"/>
              <w:kern w:val="0"/>
              <w:sz w:val="24"/>
              <w:szCs w:val="24"/>
            </w:rPr>
            <m:t>ATP</m:t>
          </m:r>
          <m:r>
            <m:rPr>
              <m:sty m:val="p"/>
            </m:rPr>
            <w:rPr>
              <w:rFonts w:ascii="Cambria Math" w:eastAsia="仿宋_GB2312" w:hAnsi="Cambria Math"/>
              <w:color w:val="000000" w:themeColor="text1"/>
              <w:kern w:val="0"/>
              <w:sz w:val="24"/>
              <w:szCs w:val="24"/>
            </w:rPr>
            <m:t>+</m:t>
          </m:r>
          <m:r>
            <w:rPr>
              <w:rFonts w:ascii="Cambria Math" w:eastAsia="仿宋_GB2312" w:hAnsi="Cambria Math"/>
              <w:color w:val="000000" w:themeColor="text1"/>
              <w:kern w:val="0"/>
              <w:sz w:val="24"/>
              <w:szCs w:val="24"/>
            </w:rPr>
            <m:t>Luciferin</m:t>
          </m:r>
          <m:r>
            <m:rPr>
              <m:sty m:val="p"/>
            </m:rPr>
            <w:rPr>
              <w:rFonts w:ascii="Cambria Math" w:eastAsia="仿宋_GB2312" w:hAnsi="Cambria Math"/>
              <w:color w:val="000000" w:themeColor="text1"/>
              <w:kern w:val="0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仿宋_GB2312" w:hAnsi="Cambria Math"/>
                  <w:color w:val="000000" w:themeColor="text1"/>
                  <w:kern w:val="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仿宋_GB2312" w:hAnsi="Cambria Math"/>
                  <w:color w:val="000000" w:themeColor="text1"/>
                  <w:kern w:val="0"/>
                  <w:sz w:val="24"/>
                  <w:szCs w:val="24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="仿宋_GB2312" w:hAnsi="Cambria Math"/>
                  <w:color w:val="000000" w:themeColor="text1"/>
                  <w:kern w:val="0"/>
                  <w:sz w:val="24"/>
                  <w:szCs w:val="24"/>
                </w:rPr>
                <m:t>2</m:t>
              </m:r>
            </m:sub>
          </m:sSub>
          <m:box>
            <m:boxPr>
              <m:opEmu m:val="1"/>
              <m:ctrlPr>
                <w:rPr>
                  <w:rFonts w:ascii="Cambria Math" w:eastAsia="仿宋_GB2312" w:hAnsi="Cambria Math"/>
                  <w:color w:val="000000" w:themeColor="text1"/>
                  <w:kern w:val="0"/>
                  <w:sz w:val="24"/>
                  <w:szCs w:val="24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="仿宋_GB2312" w:hAnsi="Cambria Math"/>
                      <w:color w:val="000000" w:themeColor="text1"/>
                      <w:kern w:val="0"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仿宋_GB2312" w:hAnsi="Cambria Math"/>
                      <w:color w:val="000000" w:themeColor="text1"/>
                      <w:kern w:val="0"/>
                      <w:sz w:val="24"/>
                      <w:szCs w:val="24"/>
                    </w:rPr>
                    <m:t>Luciferase</m:t>
                  </m:r>
                </m:e>
              </m:groupChr>
            </m:e>
          </m:box>
          <m:r>
            <w:rPr>
              <w:rFonts w:ascii="Cambria Math" w:eastAsia="仿宋_GB2312" w:hAnsi="Cambria Math"/>
              <w:color w:val="000000" w:themeColor="text1"/>
              <w:kern w:val="0"/>
              <w:sz w:val="24"/>
              <w:szCs w:val="24"/>
            </w:rPr>
            <m:t>Oxyluciferin</m:t>
          </m:r>
          <m:r>
            <m:rPr>
              <m:sty m:val="p"/>
            </m:rPr>
            <w:rPr>
              <w:rFonts w:ascii="Cambria Math" w:eastAsia="仿宋_GB2312" w:hAnsi="Cambria Math"/>
              <w:color w:val="000000" w:themeColor="text1"/>
              <w:kern w:val="0"/>
              <w:sz w:val="24"/>
              <w:szCs w:val="24"/>
            </w:rPr>
            <m:t>+</m:t>
          </m:r>
          <m:r>
            <w:rPr>
              <w:rFonts w:ascii="Cambria Math" w:eastAsia="仿宋_GB2312" w:hAnsi="Cambria Math"/>
              <w:color w:val="000000" w:themeColor="text1"/>
              <w:kern w:val="0"/>
              <w:sz w:val="24"/>
              <w:szCs w:val="24"/>
            </w:rPr>
            <m:t>AMP</m:t>
          </m:r>
          <m:r>
            <m:rPr>
              <m:sty m:val="p"/>
            </m:rPr>
            <w:rPr>
              <w:rFonts w:ascii="Cambria Math" w:eastAsia="仿宋_GB2312" w:hAnsi="Cambria Math"/>
              <w:color w:val="000000" w:themeColor="text1"/>
              <w:kern w:val="0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仿宋_GB2312" w:hAnsi="Cambria Math"/>
                  <w:color w:val="000000" w:themeColor="text1"/>
                  <w:kern w:val="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仿宋_GB2312" w:hAnsi="Cambria Math"/>
                  <w:color w:val="000000" w:themeColor="text1"/>
                  <w:kern w:val="0"/>
                  <w:sz w:val="24"/>
                  <w:szCs w:val="24"/>
                </w:rPr>
                <m:t>PP</m:t>
              </m:r>
            </m:e>
            <m:sub>
              <m:r>
                <w:rPr>
                  <w:rFonts w:ascii="Cambria Math" w:eastAsia="仿宋_GB2312" w:hAnsi="Cambria Math"/>
                  <w:color w:val="000000" w:themeColor="text1"/>
                  <w:kern w:val="0"/>
                  <w:sz w:val="24"/>
                  <w:szCs w:val="24"/>
                </w:rPr>
                <m:t>i</m:t>
              </m:r>
            </m:sub>
          </m:sSub>
          <m:r>
            <m:rPr>
              <m:sty m:val="p"/>
            </m:rPr>
            <w:rPr>
              <w:rFonts w:ascii="Cambria Math" w:eastAsia="仿宋_GB2312" w:hAnsi="Cambria Math"/>
              <w:color w:val="000000" w:themeColor="text1"/>
              <w:kern w:val="0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仿宋_GB2312" w:hAnsi="Cambria Math"/>
                  <w:color w:val="000000" w:themeColor="text1"/>
                  <w:kern w:val="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仿宋_GB2312" w:hAnsi="Cambria Math"/>
                  <w:color w:val="000000" w:themeColor="text1"/>
                  <w:kern w:val="0"/>
                  <w:sz w:val="24"/>
                  <w:szCs w:val="24"/>
                </w:rPr>
                <m:t>CO</m:t>
              </m:r>
            </m:e>
            <m:sub>
              <m:r>
                <m:rPr>
                  <m:sty m:val="p"/>
                </m:rPr>
                <w:rPr>
                  <w:rFonts w:ascii="Cambria Math" w:eastAsia="仿宋_GB2312" w:hAnsi="Cambria Math"/>
                  <w:color w:val="000000" w:themeColor="text1"/>
                  <w:kern w:val="0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仿宋_GB2312" w:hAnsi="Cambria Math"/>
              <w:color w:val="000000" w:themeColor="text1"/>
              <w:kern w:val="0"/>
              <w:sz w:val="24"/>
              <w:szCs w:val="24"/>
            </w:rPr>
            <m:t>+</m:t>
          </m:r>
          <m:r>
            <w:rPr>
              <w:rFonts w:ascii="Cambria Math" w:eastAsia="仿宋_GB2312" w:hAnsi="Cambria Math"/>
              <w:color w:val="000000" w:themeColor="text1"/>
              <w:kern w:val="0"/>
              <w:sz w:val="24"/>
              <w:szCs w:val="24"/>
            </w:rPr>
            <m:t>Light</m:t>
          </m:r>
        </m:oMath>
      </m:oMathPara>
    </w:p>
    <w:p w:rsidR="00980A5F" w:rsidRPr="008918A4" w:rsidRDefault="00E15D3C">
      <w:pPr>
        <w:pStyle w:val="ab"/>
        <w:spacing w:line="580" w:lineRule="exact"/>
        <w:ind w:firstLine="643"/>
        <w:rPr>
          <w:rFonts w:ascii="Times New Roman" w:eastAsiaTheme="minorEastAsia"/>
          <w:b/>
          <w:color w:val="000000" w:themeColor="text1"/>
          <w:szCs w:val="21"/>
        </w:rPr>
      </w:pPr>
      <w:bookmarkStart w:id="1" w:name="_Hlk516581271"/>
      <w:r w:rsidRPr="008918A4">
        <w:rPr>
          <w:rFonts w:ascii="Times New Roman" w:eastAsiaTheme="minorEastAsia"/>
          <w:b/>
          <w:color w:val="000000" w:themeColor="text1"/>
          <w:sz w:val="32"/>
          <w:szCs w:val="32"/>
        </w:rPr>
        <w:t xml:space="preserve">5 </w:t>
      </w:r>
      <w:r w:rsidRPr="008918A4">
        <w:rPr>
          <w:rFonts w:ascii="Times New Roman" w:eastAsia="黑体" w:hint="eastAsia"/>
          <w:bCs/>
          <w:color w:val="000000" w:themeColor="text1"/>
          <w:sz w:val="32"/>
          <w:szCs w:val="32"/>
        </w:rPr>
        <w:t>试验的基本原则</w:t>
      </w:r>
    </w:p>
    <w:p w:rsidR="00980A5F" w:rsidRPr="008918A4" w:rsidRDefault="00E15D3C">
      <w:pPr>
        <w:pStyle w:val="ab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/>
          <w:color w:val="000000" w:themeColor="text1"/>
          <w:sz w:val="32"/>
          <w:szCs w:val="32"/>
        </w:rPr>
        <w:t xml:space="preserve">5.1 </w:t>
      </w: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实验动物和饲养环境</w:t>
      </w:r>
      <w:r w:rsidRPr="008918A4">
        <w:rPr>
          <w:rFonts w:ascii="Times New Roman" w:eastAsia="仿宋_GB2312"/>
          <w:color w:val="000000" w:themeColor="text1"/>
          <w:sz w:val="32"/>
          <w:szCs w:val="32"/>
        </w:rPr>
        <w:t xml:space="preserve"> </w:t>
      </w:r>
    </w:p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选用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SPF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级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BALB/c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或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CBA/J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小鼠，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8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～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12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周龄，雌性，未孕或未曾产仔的。体重差异应不超过平均体重的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20%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。</w:t>
      </w:r>
      <w:r w:rsidR="008918A4"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其他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品系或雄性小鼠如经验证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LLNA:DA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反应不存在明显品系或性别间差异亦可使用。实验动物及实验动物房应符合国家相应规定，选用标准配合饲料，饮水不限制。</w:t>
      </w:r>
    </w:p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5.2 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动物试验前准备</w:t>
      </w:r>
    </w:p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试验前动物应在实验动物</w:t>
      </w:r>
      <w:proofErr w:type="gramStart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房环境</w:t>
      </w:r>
      <w:proofErr w:type="gramEnd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中至少适应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5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d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。将动物随机分组标记（不要做任何形式的耳朵标记），检查皮肤应健康无损伤。试验开始和结束时应记录动物体重。</w:t>
      </w:r>
    </w:p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5.3 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可靠性检查</w:t>
      </w:r>
    </w:p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每次试验均需设置阳性对照组，</w:t>
      </w:r>
      <w:proofErr w:type="gramStart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阳性物</w:t>
      </w:r>
      <w:proofErr w:type="gramEnd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一般采用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25%</w:t>
      </w:r>
      <w:proofErr w:type="gramStart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己基肉桂</w:t>
      </w:r>
      <w:proofErr w:type="gramEnd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醛（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CAS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号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101-86-0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）或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25%</w:t>
      </w:r>
      <w:proofErr w:type="gramStart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丁子</w:t>
      </w:r>
      <w:proofErr w:type="gramEnd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香</w:t>
      </w:r>
      <w:proofErr w:type="gramStart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酚</w:t>
      </w:r>
      <w:proofErr w:type="gramEnd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（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CAS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号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97-53-0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），溶剂为丙酮：橄榄油（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AOO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4:1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v/v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）。当</w:t>
      </w:r>
      <w:proofErr w:type="gramStart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阳性物</w:t>
      </w:r>
      <w:proofErr w:type="gramEnd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与受试物的溶剂不同时，需另单独设置</w:t>
      </w:r>
      <w:proofErr w:type="gramStart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阳性物</w:t>
      </w:r>
      <w:proofErr w:type="gramEnd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的溶剂对照组。</w:t>
      </w:r>
    </w:p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5.4 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试验期间每天观察动物临床症状及耳朵局部刺激症状，并做完整记录。</w:t>
      </w:r>
    </w:p>
    <w:p w:rsidR="00980A5F" w:rsidRPr="008918A4" w:rsidRDefault="00E15D3C">
      <w:pPr>
        <w:pStyle w:val="ab"/>
        <w:spacing w:line="580" w:lineRule="exact"/>
        <w:ind w:firstLine="643"/>
        <w:rPr>
          <w:rFonts w:ascii="Times New Roman" w:eastAsiaTheme="minorEastAsia"/>
          <w:b/>
          <w:color w:val="000000" w:themeColor="text1"/>
        </w:rPr>
      </w:pPr>
      <w:r w:rsidRPr="008918A4">
        <w:rPr>
          <w:rFonts w:ascii="Times New Roman" w:eastAsiaTheme="minorEastAsia"/>
          <w:b/>
          <w:color w:val="000000" w:themeColor="text1"/>
          <w:sz w:val="32"/>
          <w:szCs w:val="32"/>
        </w:rPr>
        <w:t xml:space="preserve">6 </w:t>
      </w:r>
      <w:r w:rsidRPr="008918A4">
        <w:rPr>
          <w:rFonts w:ascii="Times New Roman" w:eastAsia="黑体" w:hint="eastAsia"/>
          <w:bCs/>
          <w:color w:val="000000" w:themeColor="text1"/>
          <w:sz w:val="32"/>
          <w:szCs w:val="32"/>
        </w:rPr>
        <w:t>试验方法</w:t>
      </w:r>
      <w:r w:rsidRPr="008918A4">
        <w:rPr>
          <w:rFonts w:ascii="Times New Roman" w:eastAsia="黑体"/>
          <w:bCs/>
          <w:color w:val="000000" w:themeColor="text1"/>
          <w:sz w:val="32"/>
          <w:szCs w:val="32"/>
        </w:rPr>
        <w:t xml:space="preserve"> </w:t>
      </w:r>
    </w:p>
    <w:p w:rsidR="00980A5F" w:rsidRPr="008918A4" w:rsidRDefault="00E15D3C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进行本试验前，需通过预试验（每组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～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只动物）排除受试物引起全身毒性和（或）局部皮肤中度刺激性。筛选最大剂量水平要求：液体受试物达到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100%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浓度，固体或悬浮液达到最大可能浓度。</w:t>
      </w:r>
    </w:p>
    <w:p w:rsidR="00980A5F" w:rsidRPr="008918A4" w:rsidRDefault="00E15D3C">
      <w:pPr>
        <w:pStyle w:val="ab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/>
          <w:color w:val="000000" w:themeColor="text1"/>
          <w:sz w:val="32"/>
          <w:szCs w:val="32"/>
        </w:rPr>
        <w:t xml:space="preserve">6.1 </w:t>
      </w: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动物与分组</w:t>
      </w:r>
    </w:p>
    <w:p w:rsidR="00980A5F" w:rsidRPr="008918A4" w:rsidRDefault="00E15D3C">
      <w:pPr>
        <w:pStyle w:val="ab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动物随机分为阴性（溶剂）对照组、阳性对照组和受试物组（至少</w:t>
      </w:r>
      <w:r w:rsidRPr="008918A4">
        <w:rPr>
          <w:rFonts w:ascii="Times New Roman" w:eastAsia="仿宋_GB2312"/>
          <w:color w:val="000000" w:themeColor="text1"/>
          <w:sz w:val="32"/>
          <w:szCs w:val="32"/>
        </w:rPr>
        <w:t>3</w:t>
      </w: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个浓度），每组至少</w:t>
      </w:r>
      <w:r w:rsidRPr="008918A4">
        <w:rPr>
          <w:rFonts w:ascii="Times New Roman" w:eastAsia="仿宋_GB2312"/>
          <w:color w:val="000000" w:themeColor="text1"/>
          <w:sz w:val="32"/>
          <w:szCs w:val="32"/>
        </w:rPr>
        <w:t>4</w:t>
      </w: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只动物。</w:t>
      </w:r>
    </w:p>
    <w:p w:rsidR="00980A5F" w:rsidRPr="008918A4" w:rsidRDefault="00E15D3C">
      <w:pPr>
        <w:pStyle w:val="ab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/>
          <w:color w:val="000000" w:themeColor="text1"/>
          <w:sz w:val="32"/>
          <w:szCs w:val="32"/>
        </w:rPr>
        <w:t xml:space="preserve">6.2 </w:t>
      </w: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受试物配制</w:t>
      </w:r>
    </w:p>
    <w:p w:rsidR="00980A5F" w:rsidRPr="008918A4" w:rsidRDefault="00E15D3C">
      <w:pPr>
        <w:pStyle w:val="ab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固体受试物应溶于或悬浮于适当溶剂中并稀释，液体受试物可以直接或稀释用。受试物应现用现配。</w:t>
      </w:r>
    </w:p>
    <w:p w:rsidR="00980A5F" w:rsidRPr="008918A4" w:rsidRDefault="00E15D3C">
      <w:pPr>
        <w:pStyle w:val="ab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bookmarkStart w:id="2" w:name="_Hlk516561497"/>
      <w:r w:rsidRPr="008918A4">
        <w:rPr>
          <w:rFonts w:ascii="Times New Roman" w:eastAsia="仿宋_GB2312"/>
          <w:color w:val="000000" w:themeColor="text1"/>
          <w:sz w:val="32"/>
          <w:szCs w:val="32"/>
        </w:rPr>
        <w:t xml:space="preserve">6.3 </w:t>
      </w: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溶剂的选择</w:t>
      </w:r>
    </w:p>
    <w:p w:rsidR="00980A5F" w:rsidRPr="008918A4" w:rsidRDefault="00E15D3C">
      <w:pPr>
        <w:pStyle w:val="ab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常用溶剂为丙酮：橄榄油（</w:t>
      </w:r>
      <w:r w:rsidRPr="008918A4">
        <w:rPr>
          <w:rFonts w:ascii="Times New Roman" w:eastAsia="仿宋_GB2312"/>
          <w:color w:val="000000" w:themeColor="text1"/>
          <w:sz w:val="32"/>
          <w:szCs w:val="32"/>
        </w:rPr>
        <w:t>AOO</w:t>
      </w: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，</w:t>
      </w:r>
      <w:r w:rsidRPr="008918A4">
        <w:rPr>
          <w:rFonts w:ascii="Times New Roman" w:eastAsia="仿宋_GB2312"/>
          <w:color w:val="000000" w:themeColor="text1"/>
          <w:sz w:val="32"/>
          <w:szCs w:val="32"/>
        </w:rPr>
        <w:t>v/v 4:1</w:t>
      </w: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）、</w:t>
      </w:r>
      <w:r w:rsidRPr="008918A4">
        <w:rPr>
          <w:rFonts w:ascii="Times New Roman" w:eastAsia="仿宋_GB2312"/>
          <w:color w:val="000000" w:themeColor="text1"/>
          <w:sz w:val="32"/>
          <w:szCs w:val="32"/>
        </w:rPr>
        <w:t>N,N-</w:t>
      </w: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二甲基甲酰胺（</w:t>
      </w:r>
      <w:r w:rsidRPr="008918A4">
        <w:rPr>
          <w:rFonts w:ascii="Times New Roman" w:eastAsia="仿宋_GB2312"/>
          <w:color w:val="000000" w:themeColor="text1"/>
          <w:sz w:val="32"/>
          <w:szCs w:val="32"/>
        </w:rPr>
        <w:t>DMF</w:t>
      </w: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）、甲乙酮（</w:t>
      </w:r>
      <w:r w:rsidRPr="008918A4">
        <w:rPr>
          <w:rFonts w:ascii="Times New Roman" w:eastAsia="仿宋_GB2312"/>
          <w:color w:val="000000" w:themeColor="text1"/>
          <w:sz w:val="32"/>
          <w:szCs w:val="32"/>
        </w:rPr>
        <w:t>MEK</w:t>
      </w: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）、丙烯乙二醇、二甲基亚砜（</w:t>
      </w:r>
      <w:r w:rsidRPr="008918A4">
        <w:rPr>
          <w:rFonts w:ascii="Times New Roman" w:eastAsia="仿宋_GB2312"/>
          <w:color w:val="000000" w:themeColor="text1"/>
          <w:sz w:val="32"/>
          <w:szCs w:val="32"/>
        </w:rPr>
        <w:t>DMSO</w:t>
      </w: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）等。</w:t>
      </w:r>
    </w:p>
    <w:p w:rsidR="00980A5F" w:rsidRPr="008918A4" w:rsidRDefault="00E15D3C">
      <w:pPr>
        <w:pStyle w:val="ab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/>
          <w:color w:val="000000" w:themeColor="text1"/>
          <w:sz w:val="32"/>
          <w:szCs w:val="32"/>
        </w:rPr>
        <w:t xml:space="preserve">6.4 </w:t>
      </w: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剂量水平</w:t>
      </w:r>
    </w:p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受试</w:t>
      </w:r>
      <w:proofErr w:type="gramStart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物最高</w:t>
      </w:r>
      <w:proofErr w:type="gramEnd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浓度应不引起动物全身毒性和（或）局部皮肤中度刺激性，通过</w:t>
      </w:r>
      <w:proofErr w:type="gramStart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预试验按</w:t>
      </w:r>
      <w:proofErr w:type="gramEnd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合适浓度梯度如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100%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50%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 25%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10%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5%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2.5%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1%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0.5%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等选择三个连续的试验浓度。</w:t>
      </w:r>
    </w:p>
    <w:bookmarkEnd w:id="2"/>
    <w:p w:rsidR="00980A5F" w:rsidRPr="008918A4" w:rsidRDefault="00E15D3C">
      <w:pPr>
        <w:pStyle w:val="ab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/>
          <w:color w:val="000000" w:themeColor="text1"/>
          <w:sz w:val="32"/>
          <w:szCs w:val="32"/>
        </w:rPr>
        <w:t xml:space="preserve">6.5 </w:t>
      </w: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试验步骤</w:t>
      </w:r>
    </w:p>
    <w:bookmarkEnd w:id="1"/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6.5.1 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第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d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 </w:t>
      </w:r>
    </w:p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动物随机分组、标记、称重、记录临床症状。</w:t>
      </w:r>
      <w:bookmarkStart w:id="3" w:name="_Hlk516647677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将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1%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十二烷基硫酸钠（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SLS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）均匀涂抹到小鼠双侧耳朵背部皮肤。</w:t>
      </w:r>
      <w:bookmarkEnd w:id="3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刷子或棉签应浸泡在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SLS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溶液中，并在小鼠每个耳朵背部重复涂抹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4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～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5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次。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1h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后再涂抹受试物或对照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25μL/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耳。</w:t>
      </w:r>
    </w:p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6.5.2 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第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d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、第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3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d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、第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7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d</w:t>
      </w:r>
      <w:bookmarkStart w:id="4" w:name="_Hlk516647806"/>
    </w:p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操作同第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d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，重复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1%SLS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溶液预处理和受试物或对照涂抹。</w:t>
      </w:r>
      <w:bookmarkEnd w:id="4"/>
    </w:p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6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.5.3 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第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4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～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6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d</w:t>
      </w:r>
      <w:bookmarkStart w:id="5" w:name="_Hlk516647951"/>
    </w:p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不做任何处理。</w:t>
      </w:r>
      <w:bookmarkEnd w:id="5"/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 </w:t>
      </w:r>
    </w:p>
    <w:p w:rsidR="00980A5F" w:rsidRPr="008918A4" w:rsidRDefault="00E15D3C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6.5.4 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第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8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d</w:t>
      </w:r>
    </w:p>
    <w:p w:rsidR="00980A5F" w:rsidRPr="008918A4" w:rsidRDefault="00E15D3C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记录小鼠体重和出现的任何临床症状，第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7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d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染毒后约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24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～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30h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人道处死动物，</w:t>
      </w:r>
      <w:bookmarkStart w:id="6" w:name="_Hlk516581527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摘取小鼠双侧颌下淋巴结，同时分离耳廓打孔称重。</w:t>
      </w:r>
    </w:p>
    <w:p w:rsidR="00980A5F" w:rsidRPr="008918A4" w:rsidRDefault="00E15D3C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bookmarkStart w:id="7" w:name="_Hlk516562234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试验期间每天观察记录小鼠临床症状及耳朵局部刺激症状并按表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进行评分，任何时候局部刺激红斑评分≥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3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和（或）耳廓</w:t>
      </w:r>
      <w:bookmarkStart w:id="8" w:name="_Hlk519760650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厚度</w:t>
      </w:r>
      <w:bookmarkEnd w:id="8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（耳廓重）≥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25%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，为中度皮肤刺激性。在整个实验过程中，不应出现中度皮肤刺激性反应。</w:t>
      </w:r>
    </w:p>
    <w:bookmarkEnd w:id="6"/>
    <w:bookmarkEnd w:id="7"/>
    <w:p w:rsidR="00980A5F" w:rsidRPr="008918A4" w:rsidRDefault="00E15D3C">
      <w:pPr>
        <w:widowControl/>
        <w:autoSpaceDE w:val="0"/>
        <w:autoSpaceDN w:val="0"/>
        <w:spacing w:line="360" w:lineRule="auto"/>
        <w:ind w:firstLine="560"/>
        <w:jc w:val="center"/>
        <w:rPr>
          <w:rFonts w:ascii="Times New Roman" w:eastAsia="黑体" w:hAnsi="Times New Roman"/>
          <w:bCs/>
          <w:color w:val="000000" w:themeColor="text1"/>
          <w:kern w:val="0"/>
          <w:sz w:val="28"/>
          <w:szCs w:val="28"/>
        </w:rPr>
      </w:pPr>
      <w:r w:rsidRPr="008918A4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28"/>
        </w:rPr>
        <w:t>表</w:t>
      </w:r>
      <w:r w:rsidRPr="008918A4">
        <w:rPr>
          <w:rFonts w:ascii="Times New Roman" w:eastAsia="黑体" w:hAnsi="Times New Roman"/>
          <w:bCs/>
          <w:color w:val="000000" w:themeColor="text1"/>
          <w:kern w:val="0"/>
          <w:sz w:val="28"/>
          <w:szCs w:val="28"/>
        </w:rPr>
        <w:t xml:space="preserve">1 </w:t>
      </w:r>
      <w:r w:rsidRPr="008918A4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28"/>
        </w:rPr>
        <w:t>红斑评分</w:t>
      </w:r>
    </w:p>
    <w:tbl>
      <w:tblPr>
        <w:tblStyle w:val="aa"/>
        <w:tblW w:w="5681" w:type="dxa"/>
        <w:jc w:val="center"/>
        <w:tblLayout w:type="fixed"/>
        <w:tblLook w:val="04A0" w:firstRow="1" w:lastRow="0" w:firstColumn="1" w:lastColumn="0" w:noHBand="0" w:noVBand="1"/>
      </w:tblPr>
      <w:tblGrid>
        <w:gridCol w:w="4463"/>
        <w:gridCol w:w="1218"/>
      </w:tblGrid>
      <w:tr w:rsidR="008918A4" w:rsidRPr="008918A4">
        <w:trPr>
          <w:jc w:val="center"/>
        </w:trPr>
        <w:tc>
          <w:tcPr>
            <w:tcW w:w="4463" w:type="dxa"/>
            <w:tcBorders>
              <w:left w:val="nil"/>
              <w:bottom w:val="single" w:sz="4" w:space="0" w:color="auto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918A4">
              <w:rPr>
                <w:rFonts w:ascii="Times New Roman" w:eastAsia="黑体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症状</w:t>
            </w: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918A4">
              <w:rPr>
                <w:rFonts w:ascii="Times New Roman" w:eastAsia="黑体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分值</w:t>
            </w:r>
          </w:p>
        </w:tc>
      </w:tr>
      <w:tr w:rsidR="008918A4" w:rsidRPr="008918A4">
        <w:trPr>
          <w:jc w:val="center"/>
        </w:trPr>
        <w:tc>
          <w:tcPr>
            <w:tcW w:w="4463" w:type="dxa"/>
            <w:tcBorders>
              <w:left w:val="nil"/>
              <w:bottom w:val="nil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8918A4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无红斑</w:t>
            </w:r>
          </w:p>
        </w:tc>
        <w:tc>
          <w:tcPr>
            <w:tcW w:w="1218" w:type="dxa"/>
            <w:tcBorders>
              <w:left w:val="nil"/>
              <w:bottom w:val="nil"/>
              <w:right w:val="nil"/>
            </w:tcBorders>
          </w:tcPr>
          <w:p w:rsidR="00980A5F" w:rsidRPr="008918A4" w:rsidRDefault="00E15D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w:r w:rsidRPr="008918A4"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  <w:t>0</w:t>
            </w:r>
          </w:p>
        </w:tc>
      </w:tr>
      <w:tr w:rsidR="008918A4" w:rsidRPr="008918A4">
        <w:trPr>
          <w:jc w:val="center"/>
        </w:trPr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8918A4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轻微红斑（勉强可见）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80A5F" w:rsidRPr="008918A4" w:rsidRDefault="00E15D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w:r w:rsidRPr="008918A4"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  <w:t>1</w:t>
            </w:r>
          </w:p>
        </w:tc>
      </w:tr>
      <w:tr w:rsidR="008918A4" w:rsidRPr="008918A4">
        <w:trPr>
          <w:jc w:val="center"/>
        </w:trPr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8918A4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明显红斑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80A5F" w:rsidRPr="008918A4" w:rsidRDefault="00E15D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w:r w:rsidRPr="008918A4"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  <w:t>2</w:t>
            </w:r>
          </w:p>
        </w:tc>
      </w:tr>
      <w:tr w:rsidR="008918A4" w:rsidRPr="008918A4">
        <w:trPr>
          <w:jc w:val="center"/>
        </w:trPr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8918A4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中度</w:t>
            </w:r>
            <w:r w:rsidRPr="008918A4"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  <w:t>-</w:t>
            </w:r>
            <w:r w:rsidRPr="008918A4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重度红斑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80A5F" w:rsidRPr="008918A4" w:rsidRDefault="00E15D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w:r w:rsidRPr="008918A4"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  <w:t>3</w:t>
            </w:r>
          </w:p>
        </w:tc>
      </w:tr>
      <w:tr w:rsidR="008918A4" w:rsidRPr="008918A4">
        <w:trPr>
          <w:jc w:val="center"/>
        </w:trPr>
        <w:tc>
          <w:tcPr>
            <w:tcW w:w="4463" w:type="dxa"/>
            <w:tcBorders>
              <w:top w:val="nil"/>
              <w:left w:val="nil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8918A4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严重红斑（紫红色）至轻微焦痂形成</w:t>
            </w:r>
          </w:p>
        </w:tc>
        <w:tc>
          <w:tcPr>
            <w:tcW w:w="1218" w:type="dxa"/>
            <w:tcBorders>
              <w:top w:val="nil"/>
              <w:left w:val="nil"/>
              <w:right w:val="nil"/>
            </w:tcBorders>
          </w:tcPr>
          <w:p w:rsidR="00980A5F" w:rsidRPr="008918A4" w:rsidRDefault="00E15D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w:r w:rsidRPr="008918A4"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  <w:t>4</w:t>
            </w:r>
          </w:p>
        </w:tc>
      </w:tr>
    </w:tbl>
    <w:p w:rsidR="00980A5F" w:rsidRPr="008918A4" w:rsidRDefault="00E15D3C" w:rsidP="006C0985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6.5.5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淋巴细胞悬液的制备</w:t>
      </w:r>
    </w:p>
    <w:p w:rsidR="00980A5F" w:rsidRPr="008918A4" w:rsidRDefault="00E15D3C" w:rsidP="006C0985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bookmarkStart w:id="9" w:name="_Hlk516735723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将每只小鼠分离的淋巴结</w:t>
      </w:r>
      <w:bookmarkEnd w:id="9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夹在两片载玻片之间，施加轻微压力压碎，拉动两个载玻片使之分开。将每片载玻片在培养皿上固定一定的角度，用磷酸盐缓冲液（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PBS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）冲洗，同时用细胞刮刀将载玻片上组织轻轻刮下，每只小鼠淋巴结制成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1mL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细胞悬液。吸取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20μL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淋巴细胞悬液加到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1.98mL PBS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中混匀制成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2mL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样品，注意不要吸取肉眼可见的膜。用相同方法制备第二个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2mL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样品（每只小鼠制备两份平行样品）。</w:t>
      </w:r>
    </w:p>
    <w:p w:rsidR="00980A5F" w:rsidRPr="008918A4" w:rsidRDefault="00E15D3C" w:rsidP="006C0985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6.5.6 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细胞增殖测定（淋巴细胞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ATP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含量测定）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 </w:t>
      </w:r>
    </w:p>
    <w:p w:rsidR="00980A5F" w:rsidRPr="008918A4" w:rsidRDefault="00E15D3C" w:rsidP="006C0985">
      <w:pPr>
        <w:spacing w:line="560" w:lineRule="exact"/>
        <w:ind w:firstLineChars="200" w:firstLine="640"/>
        <w:rPr>
          <w:rFonts w:ascii="Times New Roman" w:eastAsiaTheme="minorEastAsia" w:hAnsi="Times New Roman"/>
          <w:b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用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ATP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测定试剂盒荧光素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/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荧光素酶法测定淋巴结中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ATP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含量，以相对发光单位（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RLU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）表示生物发光。由于动物处死后其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ATP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含量随时间逐渐下降，因此每只动物从处死到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ATP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含量测定时间应保持一致，约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30min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内。每只动物从分离颌下淋巴结到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ATP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测定系列操作务必在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20min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内完成，且每只动物处理时间保持一致。每只动物测定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份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2mL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细胞样品，取其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ATP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发光均值用于后续计算。</w:t>
      </w:r>
      <w:bookmarkStart w:id="10" w:name="_Hlk516581657"/>
    </w:p>
    <w:p w:rsidR="00980A5F" w:rsidRPr="008918A4" w:rsidRDefault="00E15D3C" w:rsidP="006C0985">
      <w:pPr>
        <w:spacing w:line="560" w:lineRule="exact"/>
        <w:ind w:firstLineChars="200" w:firstLine="643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Theme="minorEastAsia" w:hAnsi="Times New Roman"/>
          <w:b/>
          <w:color w:val="000000" w:themeColor="text1"/>
          <w:kern w:val="0"/>
          <w:sz w:val="32"/>
          <w:szCs w:val="32"/>
        </w:rPr>
        <w:t xml:space="preserve">7 </w:t>
      </w:r>
      <w:r w:rsidRPr="008918A4">
        <w:rPr>
          <w:rFonts w:ascii="Times New Roman" w:eastAsia="黑体" w:hAnsi="Times New Roman" w:hint="eastAsia"/>
          <w:bCs/>
          <w:color w:val="000000" w:themeColor="text1"/>
          <w:kern w:val="0"/>
          <w:sz w:val="32"/>
          <w:szCs w:val="32"/>
        </w:rPr>
        <w:t>数据处理</w:t>
      </w:r>
    </w:p>
    <w:p w:rsidR="00980A5F" w:rsidRPr="008918A4" w:rsidRDefault="00E15D3C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刺激指数（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stimulation index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 xml:space="preserve">, 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）为</w:t>
      </w:r>
      <w:proofErr w:type="gramStart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受试物组或</w:t>
      </w:r>
      <w:proofErr w:type="gramEnd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阳性对照组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RLU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均值与溶剂对照组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RLU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均值比值，计算公式如下：</w:t>
      </w:r>
    </w:p>
    <w:p w:rsidR="00980A5F" w:rsidRPr="008918A4" w:rsidRDefault="00E15D3C">
      <w:pPr>
        <w:autoSpaceDE w:val="0"/>
        <w:autoSpaceDN w:val="0"/>
        <w:adjustRightInd w:val="0"/>
        <w:ind w:leftChars="50" w:left="265" w:hangingChars="50" w:hanging="16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eastAsia="仿宋_GB2312" w:hAnsi="Cambria Math" w:hint="eastAsia"/>
              <w:color w:val="000000" w:themeColor="text1"/>
              <w:kern w:val="0"/>
              <w:sz w:val="32"/>
              <w:szCs w:val="32"/>
            </w:rPr>
            <m:t>刺激指数</m:t>
          </m:r>
          <m:r>
            <m:rPr>
              <m:sty m:val="p"/>
            </m:rPr>
            <w:rPr>
              <w:rFonts w:ascii="Cambria Math" w:eastAsia="仿宋_GB2312" w:hAnsi="Cambria Math"/>
              <w:color w:val="000000" w:themeColor="text1"/>
              <w:kern w:val="0"/>
              <w:sz w:val="32"/>
              <w:szCs w:val="32"/>
            </w:rPr>
            <m:t xml:space="preserve"> (SI) =</m:t>
          </m:r>
          <m:f>
            <m:fPr>
              <m:ctrlPr>
                <w:rPr>
                  <w:rFonts w:ascii="Cambria Math" w:eastAsia="仿宋_GB2312" w:hAnsi="Cambria Math"/>
                  <w:color w:val="000000" w:themeColor="text1"/>
                  <w:kern w:val="0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仿宋_GB2312" w:hAnsi="Cambria Math" w:hint="eastAsia"/>
                  <w:color w:val="000000" w:themeColor="text1"/>
                  <w:kern w:val="0"/>
                  <w:sz w:val="32"/>
                  <w:szCs w:val="32"/>
                </w:rPr>
                <m:t>受试物组或阳性对照组</m:t>
              </m:r>
              <m:r>
                <m:rPr>
                  <m:sty m:val="p"/>
                </m:rPr>
                <w:rPr>
                  <w:rFonts w:ascii="Cambria Math" w:eastAsia="仿宋_GB2312" w:hAnsi="Cambria Math"/>
                  <w:color w:val="000000" w:themeColor="text1"/>
                  <w:kern w:val="0"/>
                  <w:sz w:val="32"/>
                  <w:szCs w:val="32"/>
                </w:rPr>
                <m:t>RLU</m:t>
              </m:r>
              <m:r>
                <m:rPr>
                  <m:sty m:val="p"/>
                </m:rPr>
                <w:rPr>
                  <w:rFonts w:ascii="Cambria Math" w:eastAsia="仿宋_GB2312" w:hAnsi="Cambria Math" w:hint="eastAsia"/>
                  <w:color w:val="000000" w:themeColor="text1"/>
                  <w:kern w:val="0"/>
                  <w:sz w:val="32"/>
                  <w:szCs w:val="32"/>
                </w:rPr>
                <m:t>均值</m:t>
              </m:r>
            </m:num>
            <m:den>
              <m:r>
                <m:rPr>
                  <m:sty m:val="p"/>
                </m:rPr>
                <w:rPr>
                  <w:rFonts w:ascii="Cambria Math" w:eastAsia="仿宋_GB2312" w:hAnsi="Cambria Math" w:hint="eastAsia"/>
                  <w:color w:val="000000" w:themeColor="text1"/>
                  <w:kern w:val="0"/>
                  <w:sz w:val="32"/>
                  <w:szCs w:val="32"/>
                </w:rPr>
                <m:t>溶剂对照组</m:t>
              </m:r>
              <m:r>
                <m:rPr>
                  <m:sty m:val="p"/>
                </m:rPr>
                <w:rPr>
                  <w:rFonts w:ascii="Cambria Math" w:eastAsia="仿宋_GB2312" w:hAnsi="Cambria Math"/>
                  <w:color w:val="000000" w:themeColor="text1"/>
                  <w:kern w:val="0"/>
                  <w:sz w:val="32"/>
                  <w:szCs w:val="32"/>
                </w:rPr>
                <m:t>RLU</m:t>
              </m:r>
              <m:r>
                <m:rPr>
                  <m:sty m:val="p"/>
                </m:rPr>
                <w:rPr>
                  <w:rFonts w:ascii="Cambria Math" w:eastAsia="仿宋_GB2312" w:hAnsi="Cambria Math" w:hint="eastAsia"/>
                  <w:color w:val="000000" w:themeColor="text1"/>
                  <w:kern w:val="0"/>
                  <w:sz w:val="32"/>
                  <w:szCs w:val="32"/>
                </w:rPr>
                <m:t>均值</m:t>
              </m:r>
            </m:den>
          </m:f>
        </m:oMath>
      </m:oMathPara>
    </w:p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EC1.8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（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estimated concentration needed to produce SI =1.8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）为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SI=1.8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时受试物的浓度。当受试物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3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个浓度分别为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＞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1.8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和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＜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1.8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时，计算公式如下：</w:t>
      </w:r>
    </w:p>
    <w:p w:rsidR="00980A5F" w:rsidRPr="008918A4" w:rsidRDefault="00E15D3C">
      <w:pPr>
        <w:autoSpaceDE w:val="0"/>
        <w:autoSpaceDN w:val="0"/>
        <w:adjustRightInd w:val="0"/>
        <w:ind w:firstLine="42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eastAsia="仿宋_GB2312" w:hAnsi="Cambria Math"/>
              <w:color w:val="000000" w:themeColor="text1"/>
              <w:kern w:val="0"/>
              <w:sz w:val="32"/>
              <w:szCs w:val="32"/>
            </w:rPr>
            <m:t xml:space="preserve"> EC1.8=c+</m:t>
          </m:r>
          <m:d>
            <m:dPr>
              <m:begChr m:val="["/>
              <m:endChr m:val="]"/>
              <m:ctrlPr>
                <w:rPr>
                  <w:rFonts w:ascii="Cambria Math" w:eastAsia="仿宋_GB2312" w:hAnsi="Cambria Math"/>
                  <w:color w:val="000000" w:themeColor="text1"/>
                  <w:kern w:val="0"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eastAsia="仿宋_GB2312" w:hAnsi="Cambria Math"/>
                      <w:color w:val="000000" w:themeColor="text1"/>
                      <w:kern w:val="0"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  <m:t>1.8</m:t>
                      </m:r>
                      <m:r>
                        <m:rPr>
                          <m:sty m:val="p"/>
                        </m:rPr>
                        <w:rPr>
                          <w:rFonts w:ascii="MS Mincho" w:eastAsia="MS Mincho" w:hAnsi="MS Mincho" w:cs="MS Mincho" w:hint="eastAsia"/>
                          <w:color w:val="000000" w:themeColor="text1"/>
                          <w:kern w:val="0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  <m:t>d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  <m:t>d</m:t>
                      </m:r>
                    </m:e>
                  </m:d>
                </m:den>
              </m:f>
              <m:r>
                <m:rPr>
                  <m:sty m:val="p"/>
                </m:rPr>
                <w:rPr>
                  <w:rFonts w:ascii="Cambria Math" w:eastAsia="仿宋_GB2312" w:hAnsi="Cambria Math" w:hint="eastAsia"/>
                  <w:color w:val="000000" w:themeColor="text1"/>
                  <w:kern w:val="0"/>
                  <w:sz w:val="32"/>
                  <w:szCs w:val="32"/>
                </w:rPr>
                <m:t>×</m:t>
              </m:r>
              <m:d>
                <m:dPr>
                  <m:ctrlPr>
                    <w:rPr>
                      <w:rFonts w:ascii="Cambria Math" w:eastAsia="仿宋_GB2312" w:hAnsi="Cambria Math"/>
                      <w:color w:val="000000" w:themeColor="text1"/>
                      <w:kern w:val="0"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="仿宋_GB2312" w:hAnsi="Cambria Math"/>
                      <w:color w:val="000000" w:themeColor="text1"/>
                      <w:kern w:val="0"/>
                      <w:sz w:val="32"/>
                      <w:szCs w:val="32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eastAsia="仿宋_GB2312" w:hAnsi="Cambria Math"/>
                      <w:color w:val="000000" w:themeColor="text1"/>
                      <w:kern w:val="0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eastAsia="仿宋_GB2312" w:hAnsi="Cambria Math"/>
                      <w:color w:val="000000" w:themeColor="text1"/>
                      <w:kern w:val="0"/>
                      <w:sz w:val="32"/>
                      <w:szCs w:val="32"/>
                    </w:rPr>
                    <m:t>c</m:t>
                  </m:r>
                </m:e>
              </m:d>
            </m:e>
          </m:d>
        </m:oMath>
      </m:oMathPara>
    </w:p>
    <w:p w:rsidR="00980A5F" w:rsidRPr="008918A4" w:rsidRDefault="00E15D3C">
      <w:pPr>
        <w:autoSpaceDE w:val="0"/>
        <w:autoSpaceDN w:val="0"/>
        <w:adjustRightInd w:val="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当受试物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3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个浓度均为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</w:t>
      </w:r>
      <m:oMath>
        <m:r>
          <m:rPr>
            <m:sty m:val="p"/>
          </m:rPr>
          <w:rPr>
            <w:rFonts w:ascii="Cambria Math" w:eastAsia="仿宋_GB2312" w:hAnsi="Cambria Math" w:hint="eastAsia"/>
            <w:color w:val="000000" w:themeColor="text1"/>
            <w:kern w:val="0"/>
            <w:sz w:val="32"/>
            <w:szCs w:val="32"/>
          </w:rPr>
          <m:t>≥</m:t>
        </m:r>
      </m:oMath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1.8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时，计算公式如下：</w:t>
      </w:r>
    </w:p>
    <w:p w:rsidR="00980A5F" w:rsidRPr="008918A4" w:rsidRDefault="00A42093">
      <w:pPr>
        <w:autoSpaceDE w:val="0"/>
        <w:autoSpaceDN w:val="0"/>
        <w:adjustRightInd w:val="0"/>
        <w:ind w:firstLine="42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="仿宋_GB2312" w:hAnsi="Cambria Math"/>
                  <w:color w:val="000000" w:themeColor="text1"/>
                  <w:kern w:val="0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仿宋_GB2312" w:hAnsi="Cambria Math"/>
                  <w:color w:val="000000" w:themeColor="text1"/>
                  <w:kern w:val="0"/>
                  <w:sz w:val="32"/>
                  <w:szCs w:val="32"/>
                </w:rPr>
                <m:t>EC1.8</m:t>
              </m:r>
            </m:e>
            <m:sub>
              <m:r>
                <m:rPr>
                  <m:sty m:val="p"/>
                </m:rPr>
                <w:rPr>
                  <w:rFonts w:ascii="Cambria Math" w:eastAsia="仿宋_GB2312" w:hAnsi="Cambria Math"/>
                  <w:color w:val="000000" w:themeColor="text1"/>
                  <w:kern w:val="0"/>
                  <w:sz w:val="32"/>
                  <w:szCs w:val="32"/>
                </w:rPr>
                <m:t>ex</m:t>
              </m:r>
            </m:sub>
          </m:sSub>
          <m:r>
            <m:rPr>
              <m:sty m:val="p"/>
            </m:rPr>
            <w:rPr>
              <w:rFonts w:ascii="Cambria Math" w:eastAsia="仿宋_GB2312" w:hAnsi="Times New Roman"/>
              <w:color w:val="000000" w:themeColor="text1"/>
              <w:kern w:val="0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="仿宋_GB2312" w:hAnsi="Times New Roman"/>
                  <w:color w:val="000000" w:themeColor="text1"/>
                  <w:kern w:val="0"/>
                  <w:sz w:val="32"/>
                  <w:szCs w:val="3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仿宋_GB2312" w:hAnsi="Times New Roman"/>
                  <w:color w:val="000000" w:themeColor="text1"/>
                  <w:kern w:val="0"/>
                  <w:sz w:val="32"/>
                  <w:szCs w:val="32"/>
                </w:rPr>
                <m:t>2</m:t>
              </m:r>
            </m:e>
            <m:sup>
              <m:d>
                <m:dPr>
                  <m:begChr m:val="{"/>
                  <m:endChr m:val="}"/>
                  <m:ctrlPr>
                    <w:rPr>
                      <w:rFonts w:ascii="Cambria Math" w:eastAsia="仿宋_GB2312" w:hAnsi="Times New Roman"/>
                      <w:color w:val="000000" w:themeColor="text1"/>
                      <w:kern w:val="0"/>
                      <w:sz w:val="32"/>
                      <w:szCs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  <m:t>c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仿宋_GB2312" w:hAnsi="Cambria Math"/>
                      <w:color w:val="000000" w:themeColor="text1"/>
                      <w:kern w:val="0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  <m:t>1.8-d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  <m:t>b-d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eastAsia="仿宋_GB2312" w:hAnsi="Cambria Math" w:hint="eastAsia"/>
                      <w:color w:val="000000" w:themeColor="text1"/>
                      <w:kern w:val="0"/>
                      <w:sz w:val="32"/>
                      <w:szCs w:val="32"/>
                    </w:rPr>
                    <m:t>×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  <m:t>a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  <m:t>c</m:t>
                          </m:r>
                        </m:e>
                      </m:d>
                    </m:e>
                  </m:d>
                </m:e>
              </m:d>
            </m:sup>
          </m:sSup>
        </m:oMath>
      </m:oMathPara>
    </w:p>
    <w:p w:rsidR="00980A5F" w:rsidRPr="008918A4" w:rsidRDefault="00E15D3C" w:rsidP="006C0985">
      <w:pPr>
        <w:autoSpaceDE w:val="0"/>
        <w:autoSpaceDN w:val="0"/>
        <w:adjustRightInd w:val="0"/>
        <w:spacing w:line="560" w:lineRule="exac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注：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c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为相邻两点受试物的浓度，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d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为相应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值。</w:t>
      </w:r>
    </w:p>
    <w:p w:rsidR="00980A5F" w:rsidRPr="008918A4" w:rsidRDefault="00E15D3C" w:rsidP="006C098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Theme="minorEastAsia" w:hAnsi="Times New Roman"/>
          <w:b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数据应以表格形式显示每只小鼠的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RLU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值、每组的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RLU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均值与标准差、每个受试物各剂量组的平均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值，计算每个受试物的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EC1.8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值并判定致敏强度。对所有数据应采用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SPSS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软件</w:t>
      </w:r>
      <w:r w:rsidR="008918A4"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或其他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适当合理的统计学方法进行评价。</w:t>
      </w:r>
    </w:p>
    <w:p w:rsidR="00980A5F" w:rsidRPr="008918A4" w:rsidRDefault="00E15D3C" w:rsidP="006C0985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Theme="minorEastAsia" w:hAnsi="Times New Roman"/>
          <w:b/>
          <w:color w:val="000000" w:themeColor="text1"/>
          <w:kern w:val="0"/>
          <w:sz w:val="32"/>
          <w:szCs w:val="32"/>
        </w:rPr>
        <w:t xml:space="preserve">8 </w:t>
      </w:r>
      <w:r w:rsidRPr="008918A4">
        <w:rPr>
          <w:rFonts w:ascii="Times New Roman" w:eastAsia="黑体" w:hAnsi="Times New Roman" w:hint="eastAsia"/>
          <w:bCs/>
          <w:color w:val="000000" w:themeColor="text1"/>
          <w:kern w:val="0"/>
          <w:sz w:val="32"/>
          <w:szCs w:val="32"/>
        </w:rPr>
        <w:t>结果判定</w:t>
      </w:r>
    </w:p>
    <w:p w:rsidR="00980A5F" w:rsidRPr="008918A4" w:rsidRDefault="00E15D3C" w:rsidP="006C098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刺激指数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≥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1.8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，受试物为致敏阳性。对于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1.8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≤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≤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2.5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临界值是否判断为阳性，应结合考虑剂量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-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效应关系、统计显著性、系统毒性或皮肤刺激性、溶剂对照与阳性对照反应一致性、与已知致敏物的结构关系等。按表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对受试物进行致敏强度分级。</w:t>
      </w:r>
    </w:p>
    <w:p w:rsidR="00980A5F" w:rsidRPr="008918A4" w:rsidRDefault="00E15D3C" w:rsidP="00D30715">
      <w:pPr>
        <w:widowControl/>
        <w:autoSpaceDE w:val="0"/>
        <w:autoSpaceDN w:val="0"/>
        <w:spacing w:line="580" w:lineRule="exact"/>
        <w:jc w:val="center"/>
        <w:rPr>
          <w:rFonts w:ascii="Times New Roman" w:eastAsia="黑体" w:hAnsi="Times New Roman"/>
          <w:bCs/>
          <w:color w:val="000000" w:themeColor="text1"/>
          <w:kern w:val="0"/>
          <w:sz w:val="28"/>
          <w:szCs w:val="28"/>
        </w:rPr>
      </w:pPr>
      <w:r w:rsidRPr="008918A4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28"/>
        </w:rPr>
        <w:t>表</w:t>
      </w:r>
      <w:r w:rsidRPr="008918A4">
        <w:rPr>
          <w:rFonts w:ascii="Times New Roman" w:eastAsia="黑体" w:hAnsi="Times New Roman"/>
          <w:bCs/>
          <w:color w:val="000000" w:themeColor="text1"/>
          <w:kern w:val="0"/>
          <w:sz w:val="28"/>
          <w:szCs w:val="28"/>
        </w:rPr>
        <w:t xml:space="preserve">2 </w:t>
      </w:r>
      <w:r w:rsidRPr="008918A4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28"/>
        </w:rPr>
        <w:t>皮肤致敏强度分级</w:t>
      </w:r>
    </w:p>
    <w:tbl>
      <w:tblPr>
        <w:tblStyle w:val="aa"/>
        <w:tblW w:w="5528" w:type="dxa"/>
        <w:jc w:val="center"/>
        <w:tblLayout w:type="fixed"/>
        <w:tblLook w:val="04A0" w:firstRow="1" w:lastRow="0" w:firstColumn="1" w:lastColumn="0" w:noHBand="0" w:noVBand="1"/>
      </w:tblPr>
      <w:tblGrid>
        <w:gridCol w:w="3260"/>
        <w:gridCol w:w="2268"/>
      </w:tblGrid>
      <w:tr w:rsidR="008918A4" w:rsidRPr="008918A4">
        <w:trPr>
          <w:jc w:val="center"/>
        </w:trPr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spacing w:line="580" w:lineRule="exact"/>
              <w:jc w:val="center"/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918A4"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  <w:szCs w:val="24"/>
              </w:rPr>
              <w:t>EC1.8(%)</w:t>
            </w:r>
            <w:r w:rsidRPr="008918A4">
              <w:rPr>
                <w:rFonts w:ascii="Times New Roman" w:eastAsia="黑体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值范围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spacing w:line="580" w:lineRule="exact"/>
              <w:jc w:val="center"/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918A4">
              <w:rPr>
                <w:rFonts w:ascii="Times New Roman" w:eastAsia="黑体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致敏强度</w:t>
            </w:r>
          </w:p>
        </w:tc>
      </w:tr>
      <w:tr w:rsidR="008918A4" w:rsidRPr="008918A4">
        <w:trPr>
          <w:jc w:val="center"/>
        </w:trPr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仿宋_GB2312" w:hAnsi="Cambria Math"/>
                    <w:color w:val="000000" w:themeColor="text1"/>
                    <w:kern w:val="0"/>
                    <w:sz w:val="20"/>
                    <w:szCs w:val="24"/>
                  </w:rPr>
                  <m:t>EC1.8(%)&lt;0.1</m:t>
                </m:r>
              </m:oMath>
            </m:oMathPara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8918A4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极强</w:t>
            </w:r>
          </w:p>
        </w:tc>
      </w:tr>
      <w:tr w:rsidR="008918A4" w:rsidRPr="008918A4">
        <w:trPr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adjustRightInd w:val="0"/>
              <w:spacing w:line="580" w:lineRule="exact"/>
              <w:ind w:firstLineChars="300" w:firstLine="600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w:r w:rsidRPr="008918A4"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  <w:t>0.1</w:t>
            </w:r>
            <m:oMath>
              <m:r>
                <m:rPr>
                  <m:sty m:val="p"/>
                </m:rPr>
                <w:rPr>
                  <w:rFonts w:ascii="Cambria Math" w:eastAsia="仿宋_GB2312" w:hAnsi="Cambria Math" w:hint="eastAsia"/>
                  <w:color w:val="000000" w:themeColor="text1"/>
                  <w:kern w:val="0"/>
                  <w:sz w:val="20"/>
                  <w:szCs w:val="24"/>
                </w:rPr>
                <m:t>≤</m:t>
              </m:r>
              <m:r>
                <m:rPr>
                  <m:sty m:val="p"/>
                </m:rPr>
                <w:rPr>
                  <w:rFonts w:ascii="Cambria Math" w:eastAsia="仿宋_GB2312" w:hAnsi="Cambria Math"/>
                  <w:color w:val="000000" w:themeColor="text1"/>
                  <w:kern w:val="0"/>
                  <w:sz w:val="20"/>
                  <w:szCs w:val="24"/>
                </w:rPr>
                <m:t>EC1.8(%)&lt;1</m:t>
              </m:r>
            </m:oMath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8918A4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强</w:t>
            </w:r>
          </w:p>
        </w:tc>
      </w:tr>
      <w:tr w:rsidR="008918A4" w:rsidRPr="008918A4">
        <w:trPr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仿宋_GB2312" w:hAnsi="Cambria Math"/>
                    <w:color w:val="000000" w:themeColor="text1"/>
                    <w:kern w:val="0"/>
                    <w:sz w:val="20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color w:val="000000" w:themeColor="text1"/>
                    <w:kern w:val="0"/>
                    <w:sz w:val="20"/>
                    <w:szCs w:val="24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eastAsia="仿宋_GB2312" w:hAnsi="Cambria Math"/>
                    <w:color w:val="000000" w:themeColor="text1"/>
                    <w:kern w:val="0"/>
                    <w:sz w:val="20"/>
                    <w:szCs w:val="24"/>
                  </w:rPr>
                  <m:t>EC1.8(%)&lt;10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8918A4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中</w:t>
            </w:r>
          </w:p>
        </w:tc>
      </w:tr>
      <w:tr w:rsidR="008918A4" w:rsidRPr="008918A4">
        <w:trPr>
          <w:jc w:val="center"/>
        </w:trPr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仿宋_GB2312" w:hAnsi="Cambria Math"/>
                    <w:color w:val="000000" w:themeColor="text1"/>
                    <w:kern w:val="0"/>
                    <w:sz w:val="20"/>
                    <w:szCs w:val="24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color w:val="000000" w:themeColor="text1"/>
                    <w:kern w:val="0"/>
                    <w:sz w:val="20"/>
                    <w:szCs w:val="24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eastAsia="仿宋_GB2312" w:hAnsi="Cambria Math"/>
                    <w:color w:val="000000" w:themeColor="text1"/>
                    <w:kern w:val="0"/>
                    <w:sz w:val="20"/>
                    <w:szCs w:val="24"/>
                  </w:rPr>
                  <m:t>EC1.8(%)&lt;100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8918A4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弱</w:t>
            </w:r>
          </w:p>
        </w:tc>
      </w:tr>
    </w:tbl>
    <w:bookmarkEnd w:id="10"/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3"/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Theme="minorEastAsia" w:hAnsi="Times New Roman"/>
          <w:b/>
          <w:color w:val="000000" w:themeColor="text1"/>
          <w:kern w:val="0"/>
          <w:sz w:val="32"/>
          <w:szCs w:val="32"/>
        </w:rPr>
        <w:t>9</w:t>
      </w:r>
      <w:r w:rsidRPr="008918A4">
        <w:rPr>
          <w:rFonts w:ascii="Times New Roman" w:eastAsiaTheme="minorEastAsia" w:hAnsi="Times New Roman" w:hint="eastAsia"/>
          <w:b/>
          <w:color w:val="000000" w:themeColor="text1"/>
          <w:kern w:val="0"/>
          <w:sz w:val="32"/>
          <w:szCs w:val="32"/>
        </w:rPr>
        <w:t xml:space="preserve"> </w:t>
      </w:r>
      <w:r w:rsidRPr="008918A4">
        <w:rPr>
          <w:rFonts w:ascii="Times New Roman" w:eastAsia="黑体" w:hAnsi="Times New Roman" w:hint="eastAsia"/>
          <w:bCs/>
          <w:color w:val="000000" w:themeColor="text1"/>
          <w:kern w:val="0"/>
          <w:sz w:val="32"/>
          <w:szCs w:val="32"/>
        </w:rPr>
        <w:t>试验结果的解释</w:t>
      </w:r>
    </w:p>
    <w:p w:rsidR="00980A5F" w:rsidRPr="008918A4" w:rsidRDefault="00E15D3C" w:rsidP="00F42AF9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Times New Roman" w:eastAsiaTheme="minorEastAsia" w:hAnsi="Times New Roman"/>
          <w:color w:val="000000" w:themeColor="text1"/>
          <w:kern w:val="0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试验结果应能得出受试物的致敏能力和强度。这些结果只能在很有限的范围内外推到人类。</w:t>
      </w:r>
    </w:p>
    <w:sectPr w:rsidR="00980A5F" w:rsidRPr="008918A4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1424895" w15:done="0"/>
  <w15:commentEx w15:paraId="381B640F" w15:done="0"/>
  <w15:commentEx w15:paraId="21AB1DC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93" w:rsidRDefault="00A42093">
      <w:r>
        <w:separator/>
      </w:r>
    </w:p>
  </w:endnote>
  <w:endnote w:type="continuationSeparator" w:id="0">
    <w:p w:rsidR="00A42093" w:rsidRDefault="00A4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A5F" w:rsidRDefault="00980A5F">
    <w:pPr>
      <w:pStyle w:val="a6"/>
      <w:jc w:val="center"/>
    </w:pPr>
  </w:p>
  <w:p w:rsidR="00980A5F" w:rsidRDefault="00980A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93" w:rsidRDefault="00A42093">
      <w:r>
        <w:separator/>
      </w:r>
    </w:p>
  </w:footnote>
  <w:footnote w:type="continuationSeparator" w:id="0">
    <w:p w:rsidR="00A42093" w:rsidRDefault="00A42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A5F" w:rsidRDefault="00980A5F">
    <w:pPr>
      <w:pStyle w:val="a7"/>
      <w:pBdr>
        <w:bottom w:val="none" w:sz="0" w:space="1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utoBVT">
    <w15:presenceInfo w15:providerId="None" w15:userId="AutoBVT"/>
  </w15:person>
  <w15:person w15:author="lily">
    <w15:presenceInfo w15:providerId="None" w15:userId="li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39"/>
    <w:rsid w:val="000070F5"/>
    <w:rsid w:val="00026EB7"/>
    <w:rsid w:val="00030417"/>
    <w:rsid w:val="000322EF"/>
    <w:rsid w:val="00034731"/>
    <w:rsid w:val="000449F4"/>
    <w:rsid w:val="0005027F"/>
    <w:rsid w:val="00070422"/>
    <w:rsid w:val="0007164F"/>
    <w:rsid w:val="00072692"/>
    <w:rsid w:val="000804DF"/>
    <w:rsid w:val="00082CE0"/>
    <w:rsid w:val="000830A0"/>
    <w:rsid w:val="000842E1"/>
    <w:rsid w:val="0008765F"/>
    <w:rsid w:val="000A7B33"/>
    <w:rsid w:val="000B2552"/>
    <w:rsid w:val="000B3D75"/>
    <w:rsid w:val="000B5C81"/>
    <w:rsid w:val="000C67C3"/>
    <w:rsid w:val="000D727C"/>
    <w:rsid w:val="000D79CD"/>
    <w:rsid w:val="000E0152"/>
    <w:rsid w:val="000E1718"/>
    <w:rsid w:val="000E6BE4"/>
    <w:rsid w:val="00110113"/>
    <w:rsid w:val="0011427D"/>
    <w:rsid w:val="00120029"/>
    <w:rsid w:val="00132020"/>
    <w:rsid w:val="00136E8E"/>
    <w:rsid w:val="0013740D"/>
    <w:rsid w:val="00140082"/>
    <w:rsid w:val="0014132C"/>
    <w:rsid w:val="0015338D"/>
    <w:rsid w:val="00154181"/>
    <w:rsid w:val="0015423E"/>
    <w:rsid w:val="00156198"/>
    <w:rsid w:val="00161871"/>
    <w:rsid w:val="00163954"/>
    <w:rsid w:val="00166F1D"/>
    <w:rsid w:val="00171914"/>
    <w:rsid w:val="00187CE7"/>
    <w:rsid w:val="00191881"/>
    <w:rsid w:val="00193652"/>
    <w:rsid w:val="00196A8E"/>
    <w:rsid w:val="001A085A"/>
    <w:rsid w:val="001B08C3"/>
    <w:rsid w:val="001B5794"/>
    <w:rsid w:val="001C354C"/>
    <w:rsid w:val="001C3B18"/>
    <w:rsid w:val="001C4EE6"/>
    <w:rsid w:val="001C74D7"/>
    <w:rsid w:val="001D1C7D"/>
    <w:rsid w:val="001D6906"/>
    <w:rsid w:val="001D6F6E"/>
    <w:rsid w:val="001E0E7A"/>
    <w:rsid w:val="001E213C"/>
    <w:rsid w:val="001E42C3"/>
    <w:rsid w:val="001E4375"/>
    <w:rsid w:val="001F4FBF"/>
    <w:rsid w:val="001F5175"/>
    <w:rsid w:val="001F590A"/>
    <w:rsid w:val="00201087"/>
    <w:rsid w:val="00201991"/>
    <w:rsid w:val="00206678"/>
    <w:rsid w:val="00206E5B"/>
    <w:rsid w:val="00211399"/>
    <w:rsid w:val="00214429"/>
    <w:rsid w:val="0022631D"/>
    <w:rsid w:val="00230119"/>
    <w:rsid w:val="00231A95"/>
    <w:rsid w:val="002532CA"/>
    <w:rsid w:val="0026610B"/>
    <w:rsid w:val="00276210"/>
    <w:rsid w:val="0028427F"/>
    <w:rsid w:val="00290156"/>
    <w:rsid w:val="002901C1"/>
    <w:rsid w:val="002B17D0"/>
    <w:rsid w:val="002B252F"/>
    <w:rsid w:val="002C3CDF"/>
    <w:rsid w:val="002C7DCF"/>
    <w:rsid w:val="002D58C3"/>
    <w:rsid w:val="002E0AA4"/>
    <w:rsid w:val="002E26C5"/>
    <w:rsid w:val="002E28CF"/>
    <w:rsid w:val="002E3F1F"/>
    <w:rsid w:val="002E73BA"/>
    <w:rsid w:val="002F3626"/>
    <w:rsid w:val="002F5178"/>
    <w:rsid w:val="002F5AF3"/>
    <w:rsid w:val="0030754F"/>
    <w:rsid w:val="00317726"/>
    <w:rsid w:val="00332B32"/>
    <w:rsid w:val="00345506"/>
    <w:rsid w:val="00346133"/>
    <w:rsid w:val="003534A4"/>
    <w:rsid w:val="00355481"/>
    <w:rsid w:val="00361BF5"/>
    <w:rsid w:val="003701EE"/>
    <w:rsid w:val="00371C41"/>
    <w:rsid w:val="00380CED"/>
    <w:rsid w:val="00391C47"/>
    <w:rsid w:val="003A30B4"/>
    <w:rsid w:val="003A7142"/>
    <w:rsid w:val="003B04EC"/>
    <w:rsid w:val="003B05A3"/>
    <w:rsid w:val="003B5FC1"/>
    <w:rsid w:val="003B6D93"/>
    <w:rsid w:val="003B723B"/>
    <w:rsid w:val="003B758B"/>
    <w:rsid w:val="003C03C2"/>
    <w:rsid w:val="003D01CB"/>
    <w:rsid w:val="003D02FC"/>
    <w:rsid w:val="003D1154"/>
    <w:rsid w:val="003D5883"/>
    <w:rsid w:val="003D77B0"/>
    <w:rsid w:val="003D7B7E"/>
    <w:rsid w:val="003E22D2"/>
    <w:rsid w:val="003E3414"/>
    <w:rsid w:val="003E391C"/>
    <w:rsid w:val="003E61AA"/>
    <w:rsid w:val="003F0F68"/>
    <w:rsid w:val="003F1B02"/>
    <w:rsid w:val="00401564"/>
    <w:rsid w:val="00417227"/>
    <w:rsid w:val="00420EBE"/>
    <w:rsid w:val="0042304A"/>
    <w:rsid w:val="00426312"/>
    <w:rsid w:val="0043191C"/>
    <w:rsid w:val="00431AED"/>
    <w:rsid w:val="00435459"/>
    <w:rsid w:val="0043547F"/>
    <w:rsid w:val="00446D48"/>
    <w:rsid w:val="004752A1"/>
    <w:rsid w:val="00477F75"/>
    <w:rsid w:val="004800C6"/>
    <w:rsid w:val="00480ABD"/>
    <w:rsid w:val="00482E23"/>
    <w:rsid w:val="0048696E"/>
    <w:rsid w:val="004A062E"/>
    <w:rsid w:val="004A1119"/>
    <w:rsid w:val="004A228A"/>
    <w:rsid w:val="004A275F"/>
    <w:rsid w:val="004A78B7"/>
    <w:rsid w:val="004C3765"/>
    <w:rsid w:val="004D274C"/>
    <w:rsid w:val="004D7C51"/>
    <w:rsid w:val="004E26B5"/>
    <w:rsid w:val="004F2A0D"/>
    <w:rsid w:val="004F306A"/>
    <w:rsid w:val="004F72E1"/>
    <w:rsid w:val="004F7DC3"/>
    <w:rsid w:val="00502FE1"/>
    <w:rsid w:val="00522ED5"/>
    <w:rsid w:val="00542FD0"/>
    <w:rsid w:val="00562B52"/>
    <w:rsid w:val="00574E01"/>
    <w:rsid w:val="00575B9A"/>
    <w:rsid w:val="00586AF0"/>
    <w:rsid w:val="00587939"/>
    <w:rsid w:val="00592B49"/>
    <w:rsid w:val="00592D26"/>
    <w:rsid w:val="005A4A75"/>
    <w:rsid w:val="005A5EEB"/>
    <w:rsid w:val="005C4C04"/>
    <w:rsid w:val="005D5879"/>
    <w:rsid w:val="005E2B70"/>
    <w:rsid w:val="005F2CEF"/>
    <w:rsid w:val="005F6493"/>
    <w:rsid w:val="005F654F"/>
    <w:rsid w:val="00601A0B"/>
    <w:rsid w:val="006031DC"/>
    <w:rsid w:val="00606A4D"/>
    <w:rsid w:val="00611CF6"/>
    <w:rsid w:val="00621AB3"/>
    <w:rsid w:val="00631430"/>
    <w:rsid w:val="00631767"/>
    <w:rsid w:val="0063490B"/>
    <w:rsid w:val="00640FB9"/>
    <w:rsid w:val="0064411E"/>
    <w:rsid w:val="00662566"/>
    <w:rsid w:val="0066448C"/>
    <w:rsid w:val="00683ADF"/>
    <w:rsid w:val="006854BC"/>
    <w:rsid w:val="00694043"/>
    <w:rsid w:val="006A058E"/>
    <w:rsid w:val="006B01F8"/>
    <w:rsid w:val="006B02A2"/>
    <w:rsid w:val="006B0E42"/>
    <w:rsid w:val="006B63EA"/>
    <w:rsid w:val="006C0985"/>
    <w:rsid w:val="006D701B"/>
    <w:rsid w:val="006E0A71"/>
    <w:rsid w:val="006F7B97"/>
    <w:rsid w:val="0070104F"/>
    <w:rsid w:val="00715722"/>
    <w:rsid w:val="007219CD"/>
    <w:rsid w:val="007411E0"/>
    <w:rsid w:val="007543D9"/>
    <w:rsid w:val="00756360"/>
    <w:rsid w:val="00772739"/>
    <w:rsid w:val="007727C2"/>
    <w:rsid w:val="00773BDC"/>
    <w:rsid w:val="00775EE6"/>
    <w:rsid w:val="00781756"/>
    <w:rsid w:val="00791B93"/>
    <w:rsid w:val="00794D62"/>
    <w:rsid w:val="00797ADB"/>
    <w:rsid w:val="007B13DB"/>
    <w:rsid w:val="007B343F"/>
    <w:rsid w:val="007B3770"/>
    <w:rsid w:val="007B7C7C"/>
    <w:rsid w:val="007D5219"/>
    <w:rsid w:val="007D7FA0"/>
    <w:rsid w:val="00800EB8"/>
    <w:rsid w:val="008020F3"/>
    <w:rsid w:val="00804A04"/>
    <w:rsid w:val="00812D13"/>
    <w:rsid w:val="00822DCA"/>
    <w:rsid w:val="00822E15"/>
    <w:rsid w:val="00830419"/>
    <w:rsid w:val="00831814"/>
    <w:rsid w:val="00837391"/>
    <w:rsid w:val="00847592"/>
    <w:rsid w:val="008514D7"/>
    <w:rsid w:val="008600C6"/>
    <w:rsid w:val="00865239"/>
    <w:rsid w:val="0086735C"/>
    <w:rsid w:val="00867E49"/>
    <w:rsid w:val="00870582"/>
    <w:rsid w:val="0087491A"/>
    <w:rsid w:val="00883B40"/>
    <w:rsid w:val="00886B04"/>
    <w:rsid w:val="00890ED9"/>
    <w:rsid w:val="008918A4"/>
    <w:rsid w:val="00891FAF"/>
    <w:rsid w:val="008970F4"/>
    <w:rsid w:val="008A2248"/>
    <w:rsid w:val="008A4D60"/>
    <w:rsid w:val="008A60BC"/>
    <w:rsid w:val="008A7C92"/>
    <w:rsid w:val="008B288C"/>
    <w:rsid w:val="008C5ADF"/>
    <w:rsid w:val="008E11BE"/>
    <w:rsid w:val="008E69B4"/>
    <w:rsid w:val="008E75D3"/>
    <w:rsid w:val="008F00CD"/>
    <w:rsid w:val="008F783B"/>
    <w:rsid w:val="00901422"/>
    <w:rsid w:val="009014C1"/>
    <w:rsid w:val="00904432"/>
    <w:rsid w:val="009059A1"/>
    <w:rsid w:val="00905A30"/>
    <w:rsid w:val="009211BF"/>
    <w:rsid w:val="00931AB6"/>
    <w:rsid w:val="0093535B"/>
    <w:rsid w:val="00935FBD"/>
    <w:rsid w:val="00936575"/>
    <w:rsid w:val="009365D5"/>
    <w:rsid w:val="00936F7A"/>
    <w:rsid w:val="00937BF3"/>
    <w:rsid w:val="0095399B"/>
    <w:rsid w:val="00965049"/>
    <w:rsid w:val="00965AC5"/>
    <w:rsid w:val="00965B95"/>
    <w:rsid w:val="00972D6C"/>
    <w:rsid w:val="009755E9"/>
    <w:rsid w:val="00980A5F"/>
    <w:rsid w:val="009838C2"/>
    <w:rsid w:val="009926C9"/>
    <w:rsid w:val="00992EE7"/>
    <w:rsid w:val="009A5CC8"/>
    <w:rsid w:val="009A6E34"/>
    <w:rsid w:val="009B17B0"/>
    <w:rsid w:val="009B1E40"/>
    <w:rsid w:val="009B4B27"/>
    <w:rsid w:val="009B5B8F"/>
    <w:rsid w:val="009B5DD1"/>
    <w:rsid w:val="009B72B3"/>
    <w:rsid w:val="009B7796"/>
    <w:rsid w:val="009C138A"/>
    <w:rsid w:val="009D0093"/>
    <w:rsid w:val="009D71FC"/>
    <w:rsid w:val="009F5504"/>
    <w:rsid w:val="00A01EBB"/>
    <w:rsid w:val="00A07E6F"/>
    <w:rsid w:val="00A11310"/>
    <w:rsid w:val="00A20DFD"/>
    <w:rsid w:val="00A26F1B"/>
    <w:rsid w:val="00A30424"/>
    <w:rsid w:val="00A31405"/>
    <w:rsid w:val="00A34064"/>
    <w:rsid w:val="00A42093"/>
    <w:rsid w:val="00A42D9C"/>
    <w:rsid w:val="00A73327"/>
    <w:rsid w:val="00A74E2B"/>
    <w:rsid w:val="00A87556"/>
    <w:rsid w:val="00AA2FCB"/>
    <w:rsid w:val="00AA3115"/>
    <w:rsid w:val="00AA42D3"/>
    <w:rsid w:val="00AA666A"/>
    <w:rsid w:val="00AB3CA0"/>
    <w:rsid w:val="00AB4EF9"/>
    <w:rsid w:val="00AC13B4"/>
    <w:rsid w:val="00AC4E8E"/>
    <w:rsid w:val="00AE3988"/>
    <w:rsid w:val="00AE57AA"/>
    <w:rsid w:val="00B0020B"/>
    <w:rsid w:val="00B07541"/>
    <w:rsid w:val="00B10123"/>
    <w:rsid w:val="00B16E38"/>
    <w:rsid w:val="00B2290B"/>
    <w:rsid w:val="00B33A3B"/>
    <w:rsid w:val="00B464F3"/>
    <w:rsid w:val="00B50C8C"/>
    <w:rsid w:val="00B57232"/>
    <w:rsid w:val="00B605DB"/>
    <w:rsid w:val="00B6173D"/>
    <w:rsid w:val="00B62EC2"/>
    <w:rsid w:val="00B6453C"/>
    <w:rsid w:val="00B64B1A"/>
    <w:rsid w:val="00B70D50"/>
    <w:rsid w:val="00B74A6F"/>
    <w:rsid w:val="00B85C14"/>
    <w:rsid w:val="00BA5A33"/>
    <w:rsid w:val="00BB2CB1"/>
    <w:rsid w:val="00BB47C2"/>
    <w:rsid w:val="00BB5624"/>
    <w:rsid w:val="00BC00B3"/>
    <w:rsid w:val="00BD13ED"/>
    <w:rsid w:val="00BD2CAE"/>
    <w:rsid w:val="00BD4DF4"/>
    <w:rsid w:val="00BD4F46"/>
    <w:rsid w:val="00BE3996"/>
    <w:rsid w:val="00BE5488"/>
    <w:rsid w:val="00BF3E89"/>
    <w:rsid w:val="00BF742F"/>
    <w:rsid w:val="00C04CBE"/>
    <w:rsid w:val="00C14007"/>
    <w:rsid w:val="00C148FD"/>
    <w:rsid w:val="00C20848"/>
    <w:rsid w:val="00C23813"/>
    <w:rsid w:val="00C23941"/>
    <w:rsid w:val="00C44B20"/>
    <w:rsid w:val="00C60E00"/>
    <w:rsid w:val="00C679C0"/>
    <w:rsid w:val="00C76C0C"/>
    <w:rsid w:val="00C942CF"/>
    <w:rsid w:val="00C95EED"/>
    <w:rsid w:val="00CA5F39"/>
    <w:rsid w:val="00CB6789"/>
    <w:rsid w:val="00CD52C5"/>
    <w:rsid w:val="00CD6900"/>
    <w:rsid w:val="00CE045F"/>
    <w:rsid w:val="00CE6EF9"/>
    <w:rsid w:val="00CF35EC"/>
    <w:rsid w:val="00CF5039"/>
    <w:rsid w:val="00CF63D5"/>
    <w:rsid w:val="00D03C46"/>
    <w:rsid w:val="00D05FBB"/>
    <w:rsid w:val="00D10FDC"/>
    <w:rsid w:val="00D1469B"/>
    <w:rsid w:val="00D30715"/>
    <w:rsid w:val="00D31881"/>
    <w:rsid w:val="00D430BF"/>
    <w:rsid w:val="00D52261"/>
    <w:rsid w:val="00D64028"/>
    <w:rsid w:val="00D67B95"/>
    <w:rsid w:val="00D73BFC"/>
    <w:rsid w:val="00D765EA"/>
    <w:rsid w:val="00D832F2"/>
    <w:rsid w:val="00D83896"/>
    <w:rsid w:val="00D861A7"/>
    <w:rsid w:val="00D92697"/>
    <w:rsid w:val="00D943F6"/>
    <w:rsid w:val="00DA275F"/>
    <w:rsid w:val="00DA47C3"/>
    <w:rsid w:val="00DA5B19"/>
    <w:rsid w:val="00DB124E"/>
    <w:rsid w:val="00DC71E2"/>
    <w:rsid w:val="00DD4016"/>
    <w:rsid w:val="00DD4F69"/>
    <w:rsid w:val="00DD5B9F"/>
    <w:rsid w:val="00DE1B69"/>
    <w:rsid w:val="00DF2B52"/>
    <w:rsid w:val="00DF5898"/>
    <w:rsid w:val="00DF60B9"/>
    <w:rsid w:val="00DF6A07"/>
    <w:rsid w:val="00E036E1"/>
    <w:rsid w:val="00E116B7"/>
    <w:rsid w:val="00E14DCF"/>
    <w:rsid w:val="00E15D3C"/>
    <w:rsid w:val="00E16F48"/>
    <w:rsid w:val="00E21436"/>
    <w:rsid w:val="00E31B59"/>
    <w:rsid w:val="00E32AC3"/>
    <w:rsid w:val="00E44477"/>
    <w:rsid w:val="00E45ED0"/>
    <w:rsid w:val="00E81EAC"/>
    <w:rsid w:val="00E84769"/>
    <w:rsid w:val="00EA0947"/>
    <w:rsid w:val="00EA4D70"/>
    <w:rsid w:val="00EA520B"/>
    <w:rsid w:val="00EA5DBD"/>
    <w:rsid w:val="00EA6588"/>
    <w:rsid w:val="00EA7B59"/>
    <w:rsid w:val="00EB0147"/>
    <w:rsid w:val="00EB05D0"/>
    <w:rsid w:val="00EB5AD7"/>
    <w:rsid w:val="00EC7A4D"/>
    <w:rsid w:val="00ED4E8E"/>
    <w:rsid w:val="00ED6C55"/>
    <w:rsid w:val="00EE1573"/>
    <w:rsid w:val="00EE4C69"/>
    <w:rsid w:val="00EE5568"/>
    <w:rsid w:val="00EF007A"/>
    <w:rsid w:val="00EF3ABE"/>
    <w:rsid w:val="00EF5B58"/>
    <w:rsid w:val="00F02D0E"/>
    <w:rsid w:val="00F05754"/>
    <w:rsid w:val="00F05F84"/>
    <w:rsid w:val="00F103EC"/>
    <w:rsid w:val="00F2539C"/>
    <w:rsid w:val="00F30D9F"/>
    <w:rsid w:val="00F34B75"/>
    <w:rsid w:val="00F41B2E"/>
    <w:rsid w:val="00F42AF9"/>
    <w:rsid w:val="00F55A2D"/>
    <w:rsid w:val="00F6112C"/>
    <w:rsid w:val="00F61957"/>
    <w:rsid w:val="00F80FD0"/>
    <w:rsid w:val="00F858A1"/>
    <w:rsid w:val="00F85F8E"/>
    <w:rsid w:val="00F928CC"/>
    <w:rsid w:val="00F932DB"/>
    <w:rsid w:val="00FA4F59"/>
    <w:rsid w:val="00FA73AE"/>
    <w:rsid w:val="00FB10EC"/>
    <w:rsid w:val="00FB3548"/>
    <w:rsid w:val="00FB4D8C"/>
    <w:rsid w:val="00FC5A1B"/>
    <w:rsid w:val="00FC65DB"/>
    <w:rsid w:val="00FD38D6"/>
    <w:rsid w:val="00FD42CC"/>
    <w:rsid w:val="00FE024B"/>
    <w:rsid w:val="00FE4094"/>
    <w:rsid w:val="00FE5139"/>
    <w:rsid w:val="00FE6EA0"/>
    <w:rsid w:val="00FE71D0"/>
    <w:rsid w:val="00FE741A"/>
    <w:rsid w:val="031000EF"/>
    <w:rsid w:val="042F3D68"/>
    <w:rsid w:val="06174A35"/>
    <w:rsid w:val="06206848"/>
    <w:rsid w:val="06290067"/>
    <w:rsid w:val="0DCC1B8C"/>
    <w:rsid w:val="0E3F4C8D"/>
    <w:rsid w:val="14951D49"/>
    <w:rsid w:val="14E30BC9"/>
    <w:rsid w:val="153F39B9"/>
    <w:rsid w:val="1A0D43FB"/>
    <w:rsid w:val="1B397687"/>
    <w:rsid w:val="1FD652C1"/>
    <w:rsid w:val="20184AF9"/>
    <w:rsid w:val="21083869"/>
    <w:rsid w:val="23536EF7"/>
    <w:rsid w:val="24470FDA"/>
    <w:rsid w:val="24A96CC9"/>
    <w:rsid w:val="25C24153"/>
    <w:rsid w:val="266E0715"/>
    <w:rsid w:val="271A4F53"/>
    <w:rsid w:val="28A829A2"/>
    <w:rsid w:val="2A2A491E"/>
    <w:rsid w:val="2C056F59"/>
    <w:rsid w:val="2DBF6474"/>
    <w:rsid w:val="2E927591"/>
    <w:rsid w:val="2FDE0A0C"/>
    <w:rsid w:val="3B0B7C69"/>
    <w:rsid w:val="40174835"/>
    <w:rsid w:val="429E0DD9"/>
    <w:rsid w:val="42A30903"/>
    <w:rsid w:val="46C630FC"/>
    <w:rsid w:val="4734734C"/>
    <w:rsid w:val="4AFC3F90"/>
    <w:rsid w:val="4FBB2D8B"/>
    <w:rsid w:val="512D36EA"/>
    <w:rsid w:val="52691A78"/>
    <w:rsid w:val="54A67197"/>
    <w:rsid w:val="54EB02F2"/>
    <w:rsid w:val="55116614"/>
    <w:rsid w:val="59337040"/>
    <w:rsid w:val="5A630DCD"/>
    <w:rsid w:val="61A01435"/>
    <w:rsid w:val="61A82A60"/>
    <w:rsid w:val="62690966"/>
    <w:rsid w:val="62A50886"/>
    <w:rsid w:val="692D1BA4"/>
    <w:rsid w:val="69B87175"/>
    <w:rsid w:val="6B6557CC"/>
    <w:rsid w:val="6C7561C2"/>
    <w:rsid w:val="6F7F5E42"/>
    <w:rsid w:val="79F422EC"/>
    <w:rsid w:val="7B292A49"/>
    <w:rsid w:val="7DA3356C"/>
    <w:rsid w:val="7F4A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Times New Roman"/>
      <w:kern w:val="1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a">
    <w:name w:val="Table Grid"/>
    <w:basedOn w:val="a1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ab">
    <w:name w:val="段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宋体" w:eastAsia="宋体" w:hAnsi="宋体" w:cs="Times New Roman"/>
      <w:kern w:val="15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styleId="ad">
    <w:name w:val="Placeholder Text"/>
    <w:basedOn w:val="a0"/>
    <w:uiPriority w:val="99"/>
    <w:semiHidden/>
    <w:qFormat/>
    <w:rPr>
      <w:color w:val="808080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宋体" w:eastAsia="宋体" w:hAnsi="宋体" w:cs="Times New Roman"/>
      <w:kern w:val="15"/>
      <w:szCs w:val="21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宋体" w:eastAsia="宋体" w:hAnsi="宋体" w:cs="Times New Roman"/>
      <w:b/>
      <w:bCs/>
      <w:kern w:val="15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Times New Roman"/>
      <w:kern w:val="1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a">
    <w:name w:val="Table Grid"/>
    <w:basedOn w:val="a1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ab">
    <w:name w:val="段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宋体" w:eastAsia="宋体" w:hAnsi="宋体" w:cs="Times New Roman"/>
      <w:kern w:val="15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styleId="ad">
    <w:name w:val="Placeholder Text"/>
    <w:basedOn w:val="a0"/>
    <w:uiPriority w:val="99"/>
    <w:semiHidden/>
    <w:qFormat/>
    <w:rPr>
      <w:color w:val="808080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宋体" w:eastAsia="宋体" w:hAnsi="宋体" w:cs="Times New Roman"/>
      <w:kern w:val="15"/>
      <w:szCs w:val="21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宋体" w:eastAsia="宋体" w:hAnsi="宋体" w:cs="Times New Roman"/>
      <w:b/>
      <w:bCs/>
      <w:kern w:val="15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FB7556-2847-4C36-BA82-2AFF9C817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126689F.dotm</Template>
  <TotalTime>10</TotalTime>
  <Pages>1</Pages>
  <Words>472</Words>
  <Characters>2696</Characters>
  <Application>Microsoft Office Word</Application>
  <DocSecurity>0</DocSecurity>
  <Lines>22</Lines>
  <Paragraphs>6</Paragraphs>
  <ScaleCrop>false</ScaleCrop>
  <Company>china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hpl</dc:creator>
  <cp:lastModifiedBy>文印室2</cp:lastModifiedBy>
  <cp:revision>7</cp:revision>
  <cp:lastPrinted>2019-01-02T02:59:00Z</cp:lastPrinted>
  <dcterms:created xsi:type="dcterms:W3CDTF">2019-01-17T08:16:00Z</dcterms:created>
  <dcterms:modified xsi:type="dcterms:W3CDTF">2019-03-18T08:15:00Z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