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140" w:after="140" w:line="480" w:lineRule="auto"/>
        <w:jc w:val="center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关于部分</w:t>
      </w:r>
      <w:r>
        <w:rPr>
          <w:rFonts w:hint="eastAsia" w:asciiTheme="majorEastAsia" w:hAnsiTheme="majorEastAsia" w:eastAsiaTheme="majorEastAsia" w:cstheme="majorEastAsia"/>
          <w:sz w:val="44"/>
          <w:szCs w:val="44"/>
          <w:lang w:eastAsia="zh-CN"/>
        </w:rPr>
        <w:t>不合格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检验项目的说明</w:t>
      </w:r>
    </w:p>
    <w:p>
      <w:pPr>
        <w:ind w:firstLine="640" w:firstLineChars="200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一、三氯蔗糖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三氯蔗糖是以蔗糖为原料的功能性甜味剂，甜度可达蔗糖600倍。这种甜味剂具有无能量，甜度高，甜味纯正，高度安全等特点。《食品安全国家标准  食品添加剂使用标准》（GB 2760-2014）中规定葡萄酒中不得使用三氯蔗糖。葡萄酒中超范围使用三氯蔗糖的原因应该是企业为改善产品口感，违规添加所致。虽然三氯蔗糖在人体内无积蓄，安全性较高，但若长期过量食用三氯蔗糖超标的食品会对人体健康造成一定危害。</w:t>
      </w:r>
    </w:p>
    <w:p>
      <w:pPr>
        <w:widowControl/>
        <w:ind w:left="638" w:leftChars="304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</w:rPr>
        <w:t>、糖精钠</w:t>
      </w:r>
      <w:bookmarkStart w:id="0" w:name="_GoBack"/>
      <w:bookmarkEnd w:id="0"/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糖精钠是一类常用的人工合成甜味剂，是最古老的甜味剂，具有增加甜度的作用，味质较差，有明显后苦，不易被人体代谢吸收，大部分以原型由肾脏排出。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《食品安全国家标准 食品添加剂使用标准》（GB2760—2014）中允许添加糖精钠的食品类别中，不含“其他豆制品”。所以根据规定，在“其他豆制品”中，不得使用糖精钠。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糖精钠检出的原因包括但不限于以下几种情况：（1）食品生产商违规添加；（2）食品生产加工过程中，误添加；（3）食品原辅料带入等。</w:t>
      </w: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糖精钠作为人工合成甜味剂，在超标的情况下，可能影响食品的味道，有后苦，其使用安全性有争议，有实验表明糖精钠能引起动物肿瘤，长期过量食用会对人体健康造成一定影响。</w:t>
      </w:r>
    </w:p>
    <w:p>
      <w:pPr>
        <w:spacing w:line="64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B4EFC"/>
    <w:rsid w:val="034A0833"/>
    <w:rsid w:val="04693249"/>
    <w:rsid w:val="055F092C"/>
    <w:rsid w:val="05B77019"/>
    <w:rsid w:val="0906027F"/>
    <w:rsid w:val="09AA0280"/>
    <w:rsid w:val="0F615AEB"/>
    <w:rsid w:val="10C8728E"/>
    <w:rsid w:val="17E5281E"/>
    <w:rsid w:val="23921B40"/>
    <w:rsid w:val="247352E0"/>
    <w:rsid w:val="24C85C25"/>
    <w:rsid w:val="291931BD"/>
    <w:rsid w:val="2D006C3A"/>
    <w:rsid w:val="2D310ADA"/>
    <w:rsid w:val="2E7A2EC5"/>
    <w:rsid w:val="30BA5AAF"/>
    <w:rsid w:val="33FC0891"/>
    <w:rsid w:val="34047129"/>
    <w:rsid w:val="36203A1A"/>
    <w:rsid w:val="39C66D6D"/>
    <w:rsid w:val="3AF774B6"/>
    <w:rsid w:val="3D2D19BD"/>
    <w:rsid w:val="3D686C25"/>
    <w:rsid w:val="3DD0247A"/>
    <w:rsid w:val="425952C2"/>
    <w:rsid w:val="43155423"/>
    <w:rsid w:val="441C59C6"/>
    <w:rsid w:val="47607C54"/>
    <w:rsid w:val="4D390E49"/>
    <w:rsid w:val="4F9A3C7D"/>
    <w:rsid w:val="504E12AF"/>
    <w:rsid w:val="50EB322A"/>
    <w:rsid w:val="51AE7AE0"/>
    <w:rsid w:val="53791738"/>
    <w:rsid w:val="53E76EEA"/>
    <w:rsid w:val="55DA6F3F"/>
    <w:rsid w:val="59B573DC"/>
    <w:rsid w:val="624937F2"/>
    <w:rsid w:val="63654CB0"/>
    <w:rsid w:val="66783E38"/>
    <w:rsid w:val="6ACF31A1"/>
    <w:rsid w:val="6BDF4AC3"/>
    <w:rsid w:val="6D4D26C8"/>
    <w:rsid w:val="70545421"/>
    <w:rsid w:val="70E5696D"/>
    <w:rsid w:val="76856093"/>
    <w:rsid w:val="77837F88"/>
    <w:rsid w:val="79CB5965"/>
    <w:rsid w:val="7B74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PingFang SC" w:hAnsi="PingFang SC" w:eastAsia="PingFang SC" w:cs="PingFang SC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2018-11-27T02:06:38Z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