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360" w:lineRule="auto"/>
        <w:ind w:right="0"/>
        <w:jc w:val="left"/>
        <w:textAlignment w:val="auto"/>
        <w:outlineLvl w:val="9"/>
        <w:rPr>
          <w:rFonts w:hint="eastAsia" w:ascii="方正小标宋简体" w:eastAsia="方正小标宋简体"/>
          <w:sz w:val="28"/>
          <w:szCs w:val="28"/>
          <w:lang w:eastAsia="zh-CN"/>
        </w:rPr>
      </w:pPr>
      <w:r>
        <w:rPr>
          <w:rFonts w:hint="eastAsia" w:ascii="方正小标宋简体" w:eastAsia="方正小标宋简体"/>
          <w:sz w:val="28"/>
          <w:szCs w:val="28"/>
          <w:lang w:eastAsia="zh-CN"/>
        </w:rPr>
        <w:t>附件</w:t>
      </w:r>
      <w:r>
        <w:rPr>
          <w:rFonts w:hint="eastAsia" w:ascii="方正小标宋简体" w:eastAsia="方正小标宋简体"/>
          <w:sz w:val="28"/>
          <w:szCs w:val="28"/>
          <w:lang w:val="en-US" w:eastAsia="zh-CN"/>
        </w:rPr>
        <w:t>4</w:t>
      </w:r>
    </w:p>
    <w:p>
      <w:pPr>
        <w:spacing w:line="360" w:lineRule="auto"/>
        <w:ind w:firstLine="560" w:firstLineChars="200"/>
        <w:jc w:val="center"/>
        <w:rPr>
          <w:rFonts w:hint="eastAsia" w:ascii="宋体" w:hAnsi="宋体" w:eastAsia="宋体" w:cs="宋体"/>
          <w:b/>
          <w:bCs w:val="0"/>
          <w:color w:val="auto"/>
          <w:kern w:val="2"/>
          <w:sz w:val="44"/>
          <w:szCs w:val="44"/>
          <w:u w:val="none"/>
          <w:lang w:val="en-US" w:eastAsia="zh-CN"/>
        </w:rPr>
      </w:pPr>
      <w:r>
        <w:rPr>
          <w:rFonts w:hint="eastAsia" w:ascii="宋体" w:hAnsi="宋体" w:eastAsia="宋体" w:cs="宋体"/>
          <w:b/>
          <w:bCs w:val="0"/>
          <w:color w:val="auto"/>
          <w:kern w:val="2"/>
          <w:sz w:val="44"/>
          <w:szCs w:val="44"/>
          <w:u w:val="none"/>
          <w:lang w:val="en-US" w:eastAsia="zh-CN"/>
        </w:rPr>
        <w:t>关于部分检验项目的说明</w:t>
      </w:r>
    </w:p>
    <w:p>
      <w:pPr>
        <w:widowControl w:val="0"/>
        <w:numPr>
          <w:numId w:val="0"/>
        </w:numPr>
        <w:wordWrap/>
        <w:adjustRightInd/>
        <w:snapToGrid/>
        <w:spacing w:line="600" w:lineRule="exact"/>
        <w:ind w:firstLine="643" w:firstLineChars="20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一、脱氢乙酸及其钠盐（以脱氢乙酸计）</w:t>
      </w:r>
    </w:p>
    <w:p>
      <w:pPr>
        <w:widowControl w:val="0"/>
        <w:wordWrap/>
        <w:adjustRightInd/>
        <w:snapToGrid/>
        <w:spacing w:line="360" w:lineRule="auto"/>
        <w:ind w:right="0"/>
        <w:jc w:val="left"/>
        <w:textAlignment w:val="auto"/>
        <w:outlineLvl w:val="9"/>
        <w:rPr>
          <w:rFonts w:hint="eastAsia" w:ascii="宋体" w:hAnsi="宋体" w:eastAsia="宋体" w:cs="宋体"/>
          <w:b/>
          <w:bCs/>
          <w:sz w:val="32"/>
          <w:szCs w:val="32"/>
          <w:lang w:val="en-US" w:eastAsia="zh-CN"/>
        </w:rPr>
      </w:pPr>
      <w:r>
        <w:rPr>
          <w:rFonts w:hint="eastAsia" w:ascii="宋体" w:hAnsi="宋体" w:cs="宋体"/>
          <w:b w:val="0"/>
          <w:bCs/>
          <w:kern w:val="2"/>
          <w:sz w:val="32"/>
          <w:szCs w:val="32"/>
          <w:lang w:val="en-US" w:eastAsia="zh-CN"/>
        </w:rPr>
        <w:t xml:space="preserve">   </w:t>
      </w:r>
      <w:r>
        <w:rPr>
          <w:rFonts w:hint="eastAsia" w:ascii="宋体" w:hAnsi="宋体" w:eastAsia="宋体" w:cs="宋体"/>
          <w:b w:val="0"/>
          <w:bCs/>
          <w:kern w:val="2"/>
          <w:sz w:val="32"/>
          <w:szCs w:val="32"/>
          <w:lang w:val="en-US" w:eastAsia="zh-CN"/>
        </w:rPr>
        <w:t xml:space="preserve"> </w:t>
      </w:r>
      <w:r>
        <w:rPr>
          <w:rFonts w:hint="eastAsia" w:ascii="宋体" w:hAnsi="宋体" w:eastAsia="宋体" w:cs="宋体"/>
          <w:b w:val="0"/>
          <w:bCs/>
          <w:sz w:val="32"/>
          <w:szCs w:val="32"/>
        </w:rPr>
        <w:t>脱氢乙酸及其钠盐是我国允许使用的防腐剂。造成超标的主要原因有：一是生产工艺把关不严；二是使用食品添加剂未准确计量；三是企业可能为增加产品保质期或者弥补生产过程卫生条件不佳而超限量使用。</w:t>
      </w:r>
      <w:r>
        <w:rPr>
          <w:rFonts w:hint="eastAsia" w:ascii="宋体" w:hAnsi="宋体" w:eastAsia="宋体" w:cs="宋体"/>
          <w:b/>
          <w:bCs/>
          <w:sz w:val="32"/>
          <w:szCs w:val="32"/>
          <w:lang w:val="en-US" w:eastAsia="zh-CN"/>
        </w:rPr>
        <w:t xml:space="preserve"> </w:t>
      </w:r>
    </w:p>
    <w:p>
      <w:pPr>
        <w:numPr>
          <w:numId w:val="0"/>
        </w:numPr>
        <w:ind w:firstLine="640" w:firstLineChars="200"/>
        <w:jc w:val="left"/>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二、</w:t>
      </w:r>
      <w:r>
        <w:rPr>
          <w:rFonts w:hint="eastAsia" w:ascii="宋体" w:hAnsi="宋体" w:eastAsia="宋体" w:cs="宋体"/>
          <w:b/>
          <w:bCs/>
          <w:sz w:val="32"/>
          <w:szCs w:val="32"/>
          <w:lang w:val="en-US" w:eastAsia="zh-CN"/>
        </w:rPr>
        <w:t>菌落总数</w:t>
      </w:r>
    </w:p>
    <w:p>
      <w:pPr>
        <w:widowControl w:val="0"/>
        <w:wordWrap/>
        <w:adjustRightInd/>
        <w:snapToGrid/>
        <w:spacing w:line="360" w:lineRule="auto"/>
        <w:ind w:right="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菌落总数是判定食品被细菌污染的程度、新鲜度及卫生质量的一个重要指标</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人体长期食用菌落总数超标的食物，可能会引起胃肠道疾病。不合格</w:t>
      </w:r>
      <w:r>
        <w:rPr>
          <w:rFonts w:hint="eastAsia" w:ascii="宋体" w:hAnsi="宋体" w:cs="宋体"/>
          <w:sz w:val="32"/>
          <w:szCs w:val="32"/>
          <w:lang w:val="en-US" w:eastAsia="zh-CN"/>
        </w:rPr>
        <w:t>的</w:t>
      </w:r>
      <w:r>
        <w:rPr>
          <w:rFonts w:hint="eastAsia" w:ascii="宋体" w:hAnsi="宋体" w:eastAsia="宋体" w:cs="宋体"/>
          <w:sz w:val="32"/>
          <w:szCs w:val="32"/>
          <w:lang w:val="en-US" w:eastAsia="zh-CN"/>
        </w:rPr>
        <w:t>原因可能</w:t>
      </w:r>
      <w:r>
        <w:rPr>
          <w:rFonts w:hint="eastAsia" w:ascii="宋体" w:hAnsi="宋体" w:cs="宋体"/>
          <w:sz w:val="32"/>
          <w:szCs w:val="32"/>
          <w:lang w:val="en-US" w:eastAsia="zh-CN"/>
        </w:rPr>
        <w:t>是</w:t>
      </w:r>
      <w:r>
        <w:rPr>
          <w:rFonts w:hint="eastAsia" w:ascii="宋体" w:hAnsi="宋体" w:eastAsia="宋体" w:cs="宋体"/>
          <w:sz w:val="32"/>
          <w:szCs w:val="32"/>
          <w:lang w:val="en-US" w:eastAsia="zh-CN"/>
        </w:rPr>
        <w:t>生产单位未按要求严格控制生产加工过程</w:t>
      </w:r>
      <w:r>
        <w:rPr>
          <w:rFonts w:hint="eastAsia" w:ascii="宋体" w:hAnsi="宋体" w:cs="宋体"/>
          <w:sz w:val="32"/>
          <w:szCs w:val="32"/>
          <w:lang w:val="en-US" w:eastAsia="zh-CN"/>
        </w:rPr>
        <w:t>中</w:t>
      </w:r>
      <w:r>
        <w:rPr>
          <w:rFonts w:hint="eastAsia" w:ascii="宋体" w:hAnsi="宋体" w:eastAsia="宋体" w:cs="宋体"/>
          <w:sz w:val="32"/>
          <w:szCs w:val="32"/>
          <w:lang w:val="en-US" w:eastAsia="zh-CN"/>
        </w:rPr>
        <w:t>卫生条件，或者包装容器清洗消毒不到位；还有可能与产品储运条件控制不当等有关。</w:t>
      </w:r>
    </w:p>
    <w:p>
      <w:pPr>
        <w:widowControl w:val="0"/>
        <w:numPr>
          <w:numId w:val="0"/>
        </w:numPr>
        <w:wordWrap/>
        <w:adjustRightInd/>
        <w:snapToGrid/>
        <w:spacing w:line="360" w:lineRule="auto"/>
        <w:ind w:right="0"/>
        <w:jc w:val="both"/>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三、铝的残留量（干样品，以Al计）</w:t>
      </w:r>
    </w:p>
    <w:p>
      <w:pPr>
        <w:widowControl w:val="0"/>
        <w:numPr>
          <w:numId w:val="0"/>
        </w:numPr>
        <w:wordWrap/>
        <w:adjustRightInd/>
        <w:snapToGrid/>
        <w:spacing w:line="360" w:lineRule="auto"/>
        <w:ind w:right="0"/>
        <w:jc w:val="both"/>
        <w:textAlignment w:val="auto"/>
        <w:outlineLvl w:val="9"/>
        <w:rPr>
          <w:rFonts w:hint="eastAsia" w:ascii="宋体" w:hAnsi="宋体" w:eastAsia="宋体" w:cs="宋体"/>
          <w:b w:val="0"/>
          <w:bCs/>
          <w:sz w:val="21"/>
          <w:szCs w:val="21"/>
        </w:rPr>
      </w:pPr>
      <w:r>
        <w:rPr>
          <w:rFonts w:hint="eastAsia" w:ascii="宋体" w:hAnsi="宋体" w:cs="宋体"/>
          <w:b w:val="0"/>
          <w:bCs/>
          <w:sz w:val="32"/>
          <w:szCs w:val="32"/>
          <w:lang w:val="en-US" w:eastAsia="zh-CN"/>
        </w:rPr>
        <w:t xml:space="preserve">    </w:t>
      </w:r>
      <w:r>
        <w:rPr>
          <w:rFonts w:hint="eastAsia" w:ascii="宋体" w:hAnsi="宋体" w:eastAsia="宋体" w:cs="宋体"/>
          <w:b w:val="0"/>
          <w:bCs/>
          <w:sz w:val="32"/>
          <w:szCs w:val="32"/>
        </w:rPr>
        <w:t>含铝食品添加剂（比如明矾）是合法的食品添加剂，按标准使用不会对健康造成危害。</w:t>
      </w:r>
      <w:r>
        <w:rPr>
          <w:rFonts w:hint="eastAsia" w:ascii="宋体" w:hAnsi="宋体" w:cs="宋体"/>
          <w:sz w:val="32"/>
          <w:szCs w:val="32"/>
          <w:lang w:val="en-US" w:eastAsia="zh-CN"/>
        </w:rPr>
        <w:t>人体长期摄入过多的铝会在体内累积，对脑神经有毒害作用，干扰人的意识和记忆功能。铝残留量超标的原因可能是个别企业为增加产品口感，在生产加工过程中超限量、超范围使用含铝添加剂，或者其使用的复配添加剂中铝含量过高。</w:t>
      </w:r>
    </w:p>
    <w:p>
      <w:pPr>
        <w:widowControl w:val="0"/>
        <w:numPr>
          <w:numId w:val="0"/>
        </w:numPr>
        <w:wordWrap/>
        <w:adjustRightInd/>
        <w:snapToGrid/>
        <w:spacing w:line="360" w:lineRule="auto"/>
        <w:ind w:right="0" w:firstLine="640" w:firstLineChars="200"/>
        <w:jc w:val="both"/>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四、防腐剂混合使用时各自用量占其最大使用量的比例之和</w:t>
      </w:r>
    </w:p>
    <w:p>
      <w:pPr>
        <w:jc w:val="both"/>
        <w:rPr>
          <w:rFonts w:hint="eastAsia" w:ascii="宋体" w:hAnsi="宋体" w:eastAsia="宋体" w:cs="宋体"/>
          <w:b w:val="0"/>
          <w:bCs/>
          <w:spacing w:val="-12"/>
          <w:sz w:val="32"/>
          <w:szCs w:val="32"/>
        </w:rPr>
      </w:pP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lang w:val="en-US" w:eastAsia="zh-CN"/>
        </w:rPr>
        <w:t>防腐剂是以保持食品原有品质和营养价值为目的的食品添加剂，它能抑制微生物的生长繁殖，防止食品腐败变质从而延长保质期。</w:t>
      </w:r>
      <w:bookmarkStart w:id="0" w:name="_GoBack"/>
      <w:bookmarkEnd w:id="0"/>
      <w:r>
        <w:rPr>
          <w:rFonts w:hint="eastAsia" w:ascii="宋体" w:hAnsi="宋体" w:eastAsia="宋体" w:cs="宋体"/>
          <w:b w:val="0"/>
          <w:bCs w:val="0"/>
          <w:sz w:val="32"/>
          <w:szCs w:val="32"/>
          <w:lang w:val="en-US" w:eastAsia="zh-CN"/>
        </w:rPr>
        <w:t>《食品安全国家标准</w:t>
      </w: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lang w:val="en-US" w:eastAsia="zh-CN"/>
        </w:rPr>
        <w:t>食品添加剂使用标准》（GB2760-2014）中不仅规定了我国在食品中允许添加的某一添加剂的种类、使用量或残流量，而且规定了同一功能的防腐剂在混合使用时，各自用量占其最大使用量的比例之和不应超过1</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长期过量食用防腐剂超标食品，会对人体健康造成一定影响。</w:t>
      </w:r>
    </w:p>
    <w:p>
      <w:pPr>
        <w:widowControl w:val="0"/>
        <w:numPr>
          <w:numId w:val="0"/>
        </w:numPr>
        <w:wordWrap/>
        <w:adjustRightInd/>
        <w:snapToGrid/>
        <w:spacing w:line="360" w:lineRule="auto"/>
        <w:ind w:right="0" w:firstLine="640" w:firstLineChars="200"/>
        <w:jc w:val="both"/>
        <w:textAlignment w:val="auto"/>
        <w:outlineLvl w:val="9"/>
        <w:rPr>
          <w:rFonts w:hint="eastAsia" w:ascii="宋体" w:hAnsi="宋体" w:cs="宋体"/>
          <w:sz w:val="32"/>
          <w:szCs w:val="32"/>
          <w:lang w:val="en-US" w:eastAsia="zh-CN"/>
        </w:rPr>
      </w:pPr>
    </w:p>
    <w:sectPr>
      <w:footerReference r:id="rId4" w:type="default"/>
      <w:pgSz w:w="11906" w:h="16838"/>
      <w:pgMar w:top="1928"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99"/>
    <w:pPr>
      <w:spacing w:before="100" w:beforeAutospacing="1" w:after="100" w:afterAutospacing="1"/>
      <w:ind w:left="0" w:right="0"/>
      <w:jc w:val="left"/>
    </w:pPr>
    <w:rPr>
      <w:color w:val="CC0000"/>
      <w:kern w:val="0"/>
      <w:sz w:val="24"/>
      <w:u w:val="single"/>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Pages>
  <Words>2941</Words>
  <Characters>3435</Characters>
  <Lines>139</Lines>
  <Paragraphs>44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2016-11-23T00:43:00Z</dcterms:created>
  <dc:creator>SDWM</dc:creator>
  <cp:lastModifiedBy>于精波</cp:lastModifiedBy>
  <cp:lastPrinted>2018-01-03T05:04:00Z</cp:lastPrinted>
  <dcterms:modified xsi:type="dcterms:W3CDTF">2018-11-27T08:11:42Z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