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bCs/>
          <w:sz w:val="32"/>
          <w:szCs w:val="36"/>
        </w:rPr>
      </w:pPr>
      <w:r>
        <w:rPr>
          <w:rFonts w:hint="eastAsia" w:ascii="黑体" w:hAnsi="黑体" w:eastAsia="黑体"/>
          <w:bCs/>
          <w:sz w:val="32"/>
          <w:szCs w:val="36"/>
        </w:rPr>
        <w:t>广东省</w:t>
      </w:r>
      <w:r>
        <w:rPr>
          <w:rFonts w:hint="eastAsia" w:ascii="黑体" w:hAnsi="黑体" w:eastAsia="黑体"/>
          <w:sz w:val="32"/>
          <w:szCs w:val="36"/>
        </w:rPr>
        <w:t>摩托车制动蹄（衬）</w:t>
      </w:r>
      <w:r>
        <w:rPr>
          <w:rFonts w:hint="eastAsia" w:ascii="黑体" w:hAnsi="黑体" w:eastAsia="黑体"/>
          <w:bCs/>
          <w:sz w:val="32"/>
          <w:szCs w:val="36"/>
        </w:rPr>
        <w:t>产品质量监督抽查实施细则</w:t>
      </w:r>
    </w:p>
    <w:p>
      <w:pPr>
        <w:jc w:val="center"/>
        <w:outlineLvl w:val="0"/>
        <w:rPr>
          <w:rFonts w:hint="eastAsia" w:ascii="黑体" w:hAnsi="黑体" w:eastAsia="黑体"/>
          <w:bCs/>
          <w:sz w:val="32"/>
          <w:szCs w:val="36"/>
        </w:rPr>
      </w:pPr>
    </w:p>
    <w:p>
      <w:pPr>
        <w:snapToGrid w:val="0"/>
        <w:spacing w:beforeLines="50" w:line="360" w:lineRule="auto"/>
        <w:rPr>
          <w:rFonts w:ascii="宋体" w:hAnsi="宋体" w:cs="Sim Sun"/>
          <w:b/>
          <w:kern w:val="0"/>
        </w:rPr>
      </w:pPr>
      <w:r>
        <w:rPr>
          <w:rFonts w:hint="eastAsia" w:ascii="宋体" w:hAnsi="宋体"/>
          <w:b/>
        </w:rPr>
        <w:t xml:space="preserve">1 </w:t>
      </w:r>
      <w:r>
        <w:rPr>
          <w:rFonts w:hint="eastAsia" w:ascii="宋体" w:hAnsi="宋体" w:cs="Sim Sun"/>
          <w:b/>
          <w:kern w:val="0"/>
        </w:rPr>
        <w:t>适用范围</w:t>
      </w:r>
    </w:p>
    <w:p>
      <w:pPr>
        <w:spacing w:line="360" w:lineRule="auto"/>
        <w:ind w:firstLine="424" w:firstLineChars="202"/>
        <w:rPr>
          <w:rFonts w:ascii="宋体" w:hAnsi="宋体" w:cs="Sim Sun"/>
          <w:kern w:val="0"/>
        </w:rPr>
      </w:pPr>
      <w:r>
        <w:rPr>
          <w:rFonts w:hint="eastAsia" w:ascii="宋体" w:hAnsi="宋体" w:cs="Sim Sun"/>
          <w:kern w:val="0"/>
        </w:rPr>
        <w:t>本细则适用于</w:t>
      </w:r>
      <w:r>
        <w:rPr>
          <w:rFonts w:hint="eastAsia" w:ascii="宋体" w:hAnsi="宋体"/>
        </w:rPr>
        <w:t>广东省摩托车制动蹄（衬）产品质量监督抽查</w:t>
      </w:r>
      <w:r>
        <w:rPr>
          <w:rFonts w:hint="eastAsia" w:ascii="宋体" w:hAnsi="宋体" w:cs="Sim Sun"/>
          <w:kern w:val="0"/>
        </w:rPr>
        <w:t>。本细则内容包括产品分类、</w:t>
      </w:r>
      <w:r>
        <w:rPr>
          <w:rFonts w:hint="eastAsia" w:ascii="宋体" w:hAnsi="宋体"/>
        </w:rPr>
        <w:t>术语和定义、</w:t>
      </w:r>
      <w:r>
        <w:rPr>
          <w:rFonts w:hint="eastAsia" w:ascii="宋体" w:hAnsi="宋体" w:cs="Sim Sun"/>
          <w:kern w:val="0"/>
        </w:rPr>
        <w:t>企业规模划分、检验依据、抽样、检验要求、判定原则、异议处理。</w:t>
      </w:r>
    </w:p>
    <w:p>
      <w:pPr>
        <w:spacing w:line="360" w:lineRule="auto"/>
        <w:rPr>
          <w:rFonts w:ascii="宋体" w:hAnsi="宋体" w:cs="Sim Sun"/>
          <w:kern w:val="0"/>
        </w:rPr>
      </w:pPr>
      <w:r>
        <w:rPr>
          <w:rFonts w:hint="eastAsia" w:ascii="宋体" w:hAnsi="宋体" w:cs="Sim Sun"/>
          <w:b/>
          <w:kern w:val="0"/>
        </w:rPr>
        <w:t>2 产品分类</w:t>
      </w:r>
    </w:p>
    <w:p>
      <w:pPr>
        <w:spacing w:line="360" w:lineRule="auto"/>
        <w:rPr>
          <w:rFonts w:ascii="宋体" w:hAnsi="宋体" w:cs="Sim Sun"/>
          <w:b/>
          <w:kern w:val="0"/>
        </w:rPr>
      </w:pPr>
      <w:r>
        <w:rPr>
          <w:rFonts w:hint="eastAsia" w:ascii="宋体" w:hAnsi="宋体" w:cs="Sim Sun"/>
          <w:b/>
          <w:kern w:val="0"/>
        </w:rPr>
        <w:t>2.1 产品分类及代码</w:t>
      </w:r>
    </w:p>
    <w:p>
      <w:pPr>
        <w:spacing w:line="360" w:lineRule="auto"/>
        <w:ind w:firstLine="420" w:firstLineChars="200"/>
        <w:rPr>
          <w:rFonts w:ascii="宋体" w:hAnsi="宋体" w:cs="Sim Sun"/>
          <w:kern w:val="0"/>
        </w:rPr>
      </w:pPr>
      <w:r>
        <w:rPr>
          <w:rFonts w:hint="eastAsia" w:ascii="宋体" w:hAnsi="宋体" w:cs="Sim Sun"/>
          <w:kern w:val="0"/>
        </w:rPr>
        <w:t>产品分类及代码见表1。</w:t>
      </w:r>
    </w:p>
    <w:p>
      <w:pPr>
        <w:spacing w:line="440" w:lineRule="exact"/>
        <w:jc w:val="center"/>
        <w:rPr>
          <w:rFonts w:ascii="宋体" w:hAnsi="宋体" w:cs="Sim Sun"/>
          <w:b/>
          <w:kern w:val="0"/>
        </w:rPr>
      </w:pPr>
      <w:r>
        <w:rPr>
          <w:rFonts w:hint="eastAsia" w:ascii="宋体" w:hAnsi="宋体" w:cs="Sim Sun"/>
          <w:b/>
          <w:kern w:val="0"/>
        </w:rPr>
        <w:t>表1　产品分类及代码</w:t>
      </w:r>
    </w:p>
    <w:tbl>
      <w:tblPr>
        <w:tblStyle w:val="5"/>
        <w:tblW w:w="8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3291"/>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68" w:type="dxa"/>
          </w:tcPr>
          <w:p>
            <w:pPr>
              <w:spacing w:line="320" w:lineRule="exact"/>
              <w:jc w:val="center"/>
              <w:rPr>
                <w:rFonts w:ascii="宋体" w:hAnsi="宋体" w:cs="Sim Sun"/>
                <w:kern w:val="0"/>
              </w:rPr>
            </w:pPr>
            <w:r>
              <w:rPr>
                <w:rFonts w:hint="eastAsia" w:ascii="宋体" w:hAnsi="宋体" w:cs="Sim Sun"/>
                <w:kern w:val="0"/>
              </w:rPr>
              <w:t>产品分类</w:t>
            </w:r>
          </w:p>
        </w:tc>
        <w:tc>
          <w:tcPr>
            <w:tcW w:w="3291" w:type="dxa"/>
          </w:tcPr>
          <w:p>
            <w:pPr>
              <w:spacing w:line="320" w:lineRule="exact"/>
              <w:jc w:val="center"/>
              <w:rPr>
                <w:rFonts w:ascii="宋体" w:hAnsi="宋体" w:cs="Sim Sun"/>
                <w:kern w:val="0"/>
              </w:rPr>
            </w:pPr>
            <w:r>
              <w:rPr>
                <w:rFonts w:hint="eastAsia" w:ascii="宋体" w:hAnsi="宋体" w:cs="Sim Sun"/>
                <w:kern w:val="0"/>
              </w:rPr>
              <w:t>一级分类</w:t>
            </w:r>
          </w:p>
        </w:tc>
        <w:tc>
          <w:tcPr>
            <w:tcW w:w="3292" w:type="dxa"/>
          </w:tcPr>
          <w:p>
            <w:pPr>
              <w:spacing w:line="320" w:lineRule="exact"/>
              <w:jc w:val="center"/>
              <w:rPr>
                <w:rFonts w:ascii="宋体" w:hAnsi="宋体" w:cs="Sim Sun"/>
                <w:kern w:val="0"/>
              </w:rPr>
            </w:pPr>
            <w:r>
              <w:rPr>
                <w:rFonts w:hint="eastAsia" w:ascii="宋体" w:hAnsi="宋体" w:cs="Sim Sun"/>
                <w:kern w:val="0"/>
              </w:rPr>
              <w:t>二级分类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68" w:type="dxa"/>
          </w:tcPr>
          <w:p>
            <w:pPr>
              <w:spacing w:line="320" w:lineRule="exact"/>
              <w:jc w:val="center"/>
              <w:rPr>
                <w:rFonts w:ascii="宋体" w:hAnsi="宋体"/>
                <w:kern w:val="0"/>
              </w:rPr>
            </w:pPr>
            <w:r>
              <w:rPr>
                <w:rFonts w:hint="eastAsia" w:ascii="宋体" w:hAnsi="宋体"/>
                <w:kern w:val="0"/>
              </w:rPr>
              <w:t>分类代码</w:t>
            </w:r>
          </w:p>
        </w:tc>
        <w:tc>
          <w:tcPr>
            <w:tcW w:w="3291" w:type="dxa"/>
          </w:tcPr>
          <w:p>
            <w:pPr>
              <w:spacing w:line="320" w:lineRule="exact"/>
              <w:jc w:val="center"/>
              <w:rPr>
                <w:rFonts w:ascii="宋体" w:hAnsi="宋体"/>
                <w:kern w:val="0"/>
              </w:rPr>
            </w:pPr>
            <w:r>
              <w:rPr>
                <w:rFonts w:hint="eastAsia" w:ascii="宋体" w:hAnsi="宋体"/>
                <w:kern w:val="0"/>
              </w:rPr>
              <w:t>37922</w:t>
            </w:r>
          </w:p>
        </w:tc>
        <w:tc>
          <w:tcPr>
            <w:tcW w:w="3292" w:type="dxa"/>
          </w:tcPr>
          <w:p>
            <w:pPr>
              <w:spacing w:line="320" w:lineRule="exact"/>
              <w:jc w:val="center"/>
              <w:rPr>
                <w:rFonts w:ascii="宋体" w:hAnsi="宋体"/>
                <w:kern w:val="0"/>
              </w:rPr>
            </w:pPr>
            <w:r>
              <w:rPr>
                <w:rFonts w:hint="eastAsia" w:ascii="宋体" w:hAnsi="宋体"/>
                <w:kern w:val="0"/>
              </w:rPr>
              <w:t>37922.011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68" w:type="dxa"/>
          </w:tcPr>
          <w:p>
            <w:pPr>
              <w:pStyle w:val="3"/>
              <w:pBdr>
                <w:bottom w:val="none" w:color="auto" w:sz="0" w:space="0"/>
              </w:pBdr>
              <w:tabs>
                <w:tab w:val="clear" w:pos="4153"/>
                <w:tab w:val="clear" w:pos="8306"/>
              </w:tabs>
              <w:snapToGrid/>
              <w:spacing w:line="320" w:lineRule="exact"/>
              <w:rPr>
                <w:rFonts w:ascii="宋体" w:hAnsi="宋体" w:cs="Sim Sun"/>
                <w:sz w:val="21"/>
                <w:szCs w:val="21"/>
              </w:rPr>
            </w:pPr>
            <w:r>
              <w:rPr>
                <w:rFonts w:hint="eastAsia" w:ascii="宋体" w:hAnsi="宋体" w:cs="Sim Sun"/>
                <w:sz w:val="21"/>
                <w:szCs w:val="21"/>
              </w:rPr>
              <w:t>分类名称</w:t>
            </w:r>
          </w:p>
        </w:tc>
        <w:tc>
          <w:tcPr>
            <w:tcW w:w="3291" w:type="dxa"/>
          </w:tcPr>
          <w:p>
            <w:pPr>
              <w:spacing w:line="320" w:lineRule="exact"/>
              <w:jc w:val="center"/>
              <w:rPr>
                <w:rFonts w:ascii="宋体" w:hAnsi="宋体" w:cs="Sim Sun"/>
                <w:kern w:val="0"/>
              </w:rPr>
            </w:pPr>
            <w:r>
              <w:rPr>
                <w:rFonts w:hint="eastAsia" w:ascii="宋体" w:hAnsi="宋体" w:cs="Sim Sun"/>
                <w:kern w:val="0"/>
              </w:rPr>
              <w:t>石棉制品</w:t>
            </w:r>
          </w:p>
        </w:tc>
        <w:tc>
          <w:tcPr>
            <w:tcW w:w="3292" w:type="dxa"/>
          </w:tcPr>
          <w:p>
            <w:pPr>
              <w:spacing w:line="320" w:lineRule="exact"/>
              <w:jc w:val="center"/>
              <w:rPr>
                <w:rFonts w:ascii="宋体" w:hAnsi="宋体" w:cs="Sim Sun"/>
                <w:kern w:val="0"/>
              </w:rPr>
            </w:pPr>
            <w:r>
              <w:rPr>
                <w:rFonts w:hint="eastAsia" w:ascii="宋体" w:hAnsi="宋体" w:cs="Sim Sun"/>
                <w:kern w:val="0"/>
              </w:rPr>
              <w:t>石棉制动器衬片</w:t>
            </w:r>
          </w:p>
        </w:tc>
      </w:tr>
    </w:tbl>
    <w:p>
      <w:pPr>
        <w:snapToGrid w:val="0"/>
        <w:spacing w:beforeLines="50" w:line="360" w:lineRule="auto"/>
        <w:rPr>
          <w:rFonts w:ascii="宋体" w:hAnsi="宋体"/>
          <w:sz w:val="18"/>
          <w:szCs w:val="18"/>
        </w:rPr>
      </w:pPr>
      <w:r>
        <w:rPr>
          <w:rFonts w:hint="eastAsia" w:ascii="宋体" w:hAnsi="宋体" w:cs="宋体"/>
          <w:bCs/>
          <w:sz w:val="18"/>
          <w:szCs w:val="18"/>
        </w:rPr>
        <w:t>注：</w:t>
      </w:r>
      <w:r>
        <w:rPr>
          <w:rFonts w:hint="eastAsia" w:ascii="宋体" w:hAnsi="宋体"/>
          <w:sz w:val="18"/>
          <w:szCs w:val="18"/>
        </w:rPr>
        <w:t>产品分类及代码依据：GB/T 7635.1-2002《全国主要产品分类与代码 第1部分 可运输产品》</w:t>
      </w:r>
    </w:p>
    <w:p>
      <w:pPr>
        <w:spacing w:line="360" w:lineRule="auto"/>
        <w:rPr>
          <w:rFonts w:ascii="宋体" w:hAnsi="宋体" w:cs="Sim Sun"/>
          <w:b/>
          <w:kern w:val="0"/>
        </w:rPr>
      </w:pPr>
      <w:r>
        <w:rPr>
          <w:rFonts w:hint="eastAsia" w:ascii="宋体" w:hAnsi="宋体" w:cs="Sim Sun"/>
          <w:b/>
          <w:kern w:val="0"/>
        </w:rPr>
        <w:t>2.2 产品种类</w:t>
      </w:r>
    </w:p>
    <w:p>
      <w:pPr>
        <w:spacing w:line="360" w:lineRule="auto"/>
        <w:ind w:firstLine="420" w:firstLineChars="200"/>
        <w:rPr>
          <w:rFonts w:ascii="宋体" w:hAnsi="宋体" w:cs="Sim Sun"/>
          <w:kern w:val="0"/>
        </w:rPr>
      </w:pPr>
      <w:r>
        <w:rPr>
          <w:rFonts w:hint="eastAsia" w:ascii="宋体" w:hAnsi="宋体"/>
        </w:rPr>
        <w:t>摩托车制动蹄（衬）按结构和形状可分为：制动蹄组件和制动器组件</w:t>
      </w:r>
      <w:r>
        <w:rPr>
          <w:rFonts w:hint="eastAsia" w:ascii="宋体" w:hAnsi="宋体" w:cs="Sim Sun"/>
          <w:kern w:val="0"/>
        </w:rPr>
        <w:t>。</w:t>
      </w:r>
    </w:p>
    <w:p>
      <w:pPr>
        <w:spacing w:line="360" w:lineRule="auto"/>
        <w:rPr>
          <w:rFonts w:ascii="宋体" w:hAnsi="宋体" w:cs="Sim Sun"/>
          <w:kern w:val="0"/>
        </w:rPr>
      </w:pPr>
      <w:r>
        <w:rPr>
          <w:rFonts w:hint="eastAsia" w:ascii="宋体" w:hAnsi="宋体" w:cs="Sim Sun"/>
          <w:b/>
          <w:kern w:val="0"/>
        </w:rPr>
        <w:t>3术语和定义</w:t>
      </w:r>
    </w:p>
    <w:p>
      <w:pPr>
        <w:spacing w:line="360" w:lineRule="auto"/>
        <w:ind w:firstLine="420" w:firstLineChars="200"/>
        <w:rPr>
          <w:rFonts w:ascii="宋体" w:hAnsi="宋体"/>
        </w:rPr>
      </w:pPr>
      <w:r>
        <w:rPr>
          <w:rFonts w:hint="eastAsia" w:ascii="宋体" w:hAnsi="宋体"/>
        </w:rPr>
        <w:t>本细则中未列出的术语和定义同相关引用标准。</w:t>
      </w:r>
    </w:p>
    <w:p>
      <w:pPr>
        <w:spacing w:line="360" w:lineRule="auto"/>
        <w:rPr>
          <w:rFonts w:ascii="宋体" w:hAnsi="宋体" w:cs="Sim Sun"/>
          <w:kern w:val="0"/>
        </w:rPr>
      </w:pPr>
      <w:r>
        <w:rPr>
          <w:rFonts w:hint="eastAsia" w:ascii="宋体" w:hAnsi="宋体" w:cs="Sim Sun"/>
          <w:b/>
          <w:kern w:val="0"/>
        </w:rPr>
        <w:t>4 企业规模划分</w:t>
      </w:r>
    </w:p>
    <w:p>
      <w:pPr>
        <w:spacing w:line="360" w:lineRule="auto"/>
        <w:ind w:firstLine="420" w:firstLineChars="200"/>
        <w:rPr>
          <w:rFonts w:ascii="宋体" w:hAnsi="宋体" w:cs="Sim Sun"/>
          <w:kern w:val="0"/>
        </w:rPr>
      </w:pPr>
      <w:r>
        <w:rPr>
          <w:rFonts w:hint="eastAsia" w:ascii="宋体" w:hAnsi="宋体" w:cs="Sim Sun"/>
          <w:kern w:val="0"/>
        </w:rPr>
        <w:t>根据</w:t>
      </w:r>
      <w:r>
        <w:rPr>
          <w:rFonts w:hint="eastAsia" w:ascii="宋体" w:hAnsi="宋体"/>
        </w:rPr>
        <w:t>摩托车制动蹄（衬）</w:t>
      </w:r>
      <w:r>
        <w:rPr>
          <w:rFonts w:hint="eastAsia" w:ascii="宋体" w:hAnsi="宋体" w:cs="Sim Sun"/>
          <w:kern w:val="0"/>
        </w:rPr>
        <w:t>产品行业的实际情况，生产企业规模以</w:t>
      </w:r>
      <w:r>
        <w:rPr>
          <w:rFonts w:hint="eastAsia" w:ascii="宋体" w:hAnsi="宋体"/>
        </w:rPr>
        <w:t>摩托车制动蹄（衬）</w:t>
      </w:r>
      <w:r>
        <w:rPr>
          <w:rFonts w:hint="eastAsia" w:ascii="宋体" w:hAnsi="宋体" w:cs="Sim Sun"/>
          <w:kern w:val="0"/>
        </w:rPr>
        <w:t>产品年销售额为标准划分为大、中、小型企业，见表2。</w:t>
      </w:r>
    </w:p>
    <w:p>
      <w:pPr>
        <w:spacing w:line="440" w:lineRule="exact"/>
        <w:ind w:firstLine="422" w:firstLineChars="200"/>
        <w:jc w:val="center"/>
        <w:rPr>
          <w:rFonts w:ascii="宋体" w:hAnsi="宋体" w:cs="Sim Sun"/>
          <w:b/>
          <w:kern w:val="0"/>
        </w:rPr>
      </w:pPr>
      <w:r>
        <w:rPr>
          <w:rFonts w:hint="eastAsia" w:ascii="宋体" w:hAnsi="宋体" w:cs="Sim Sun"/>
          <w:b/>
          <w:kern w:val="0"/>
        </w:rPr>
        <w:t>表2　企业规模划分</w:t>
      </w:r>
    </w:p>
    <w:tbl>
      <w:tblPr>
        <w:tblStyle w:val="5"/>
        <w:tblW w:w="85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2"/>
        <w:gridCol w:w="2133"/>
        <w:gridCol w:w="2133"/>
        <w:gridCol w:w="2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132" w:type="dxa"/>
          </w:tcPr>
          <w:p>
            <w:pPr>
              <w:snapToGrid w:val="0"/>
              <w:spacing w:line="320" w:lineRule="exact"/>
              <w:jc w:val="center"/>
              <w:rPr>
                <w:rFonts w:ascii="宋体" w:hAnsi="宋体" w:cs="Sim Sun"/>
                <w:kern w:val="0"/>
              </w:rPr>
            </w:pPr>
            <w:r>
              <w:rPr>
                <w:rFonts w:hint="eastAsia" w:ascii="宋体" w:hAnsi="宋体" w:cs="Sim Sun"/>
                <w:kern w:val="0"/>
              </w:rPr>
              <w:t>企业规模</w:t>
            </w:r>
          </w:p>
        </w:tc>
        <w:tc>
          <w:tcPr>
            <w:tcW w:w="2133" w:type="dxa"/>
          </w:tcPr>
          <w:p>
            <w:pPr>
              <w:snapToGrid w:val="0"/>
              <w:spacing w:line="320" w:lineRule="exact"/>
              <w:jc w:val="center"/>
              <w:rPr>
                <w:rFonts w:ascii="宋体" w:hAnsi="宋体" w:cs="Sim Sun"/>
                <w:kern w:val="0"/>
              </w:rPr>
            </w:pPr>
            <w:r>
              <w:rPr>
                <w:rFonts w:hint="eastAsia" w:ascii="宋体" w:hAnsi="宋体" w:cs="Sim Sun"/>
                <w:kern w:val="0"/>
              </w:rPr>
              <w:t>大型企业</w:t>
            </w:r>
          </w:p>
        </w:tc>
        <w:tc>
          <w:tcPr>
            <w:tcW w:w="2133" w:type="dxa"/>
          </w:tcPr>
          <w:p>
            <w:pPr>
              <w:snapToGrid w:val="0"/>
              <w:spacing w:line="320" w:lineRule="exact"/>
              <w:jc w:val="center"/>
              <w:rPr>
                <w:rFonts w:ascii="宋体" w:hAnsi="宋体" w:cs="Sim Sun"/>
                <w:kern w:val="0"/>
              </w:rPr>
            </w:pPr>
            <w:r>
              <w:rPr>
                <w:rFonts w:hint="eastAsia" w:ascii="宋体" w:hAnsi="宋体" w:cs="Sim Sun"/>
                <w:kern w:val="0"/>
              </w:rPr>
              <w:t>中型企业</w:t>
            </w:r>
          </w:p>
        </w:tc>
        <w:tc>
          <w:tcPr>
            <w:tcW w:w="2133" w:type="dxa"/>
          </w:tcPr>
          <w:p>
            <w:pPr>
              <w:snapToGrid w:val="0"/>
              <w:spacing w:line="320" w:lineRule="exact"/>
              <w:jc w:val="center"/>
              <w:rPr>
                <w:rFonts w:ascii="宋体" w:hAnsi="宋体" w:cs="Sim Sun"/>
                <w:kern w:val="0"/>
              </w:rPr>
            </w:pPr>
            <w:r>
              <w:rPr>
                <w:rFonts w:hint="eastAsia" w:ascii="宋体" w:hAnsi="宋体" w:cs="Sim Sun"/>
                <w:kern w:val="0"/>
              </w:rPr>
              <w:t>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132" w:type="dxa"/>
          </w:tcPr>
          <w:p>
            <w:pPr>
              <w:snapToGrid w:val="0"/>
              <w:spacing w:line="320" w:lineRule="exact"/>
              <w:jc w:val="center"/>
              <w:rPr>
                <w:rFonts w:ascii="宋体" w:hAnsi="宋体" w:cs="Sim Sun"/>
                <w:kern w:val="0"/>
              </w:rPr>
            </w:pPr>
            <w:r>
              <w:rPr>
                <w:rFonts w:hint="eastAsia" w:ascii="宋体" w:hAnsi="宋体" w:cs="Sim Sun"/>
                <w:kern w:val="0"/>
              </w:rPr>
              <w:t>年销售额/万元</w:t>
            </w:r>
          </w:p>
        </w:tc>
        <w:tc>
          <w:tcPr>
            <w:tcW w:w="2133" w:type="dxa"/>
          </w:tcPr>
          <w:p>
            <w:pPr>
              <w:snapToGrid w:val="0"/>
              <w:spacing w:line="320" w:lineRule="exact"/>
              <w:jc w:val="center"/>
              <w:rPr>
                <w:rFonts w:ascii="宋体" w:hAnsi="宋体" w:cs="Sim Sun"/>
                <w:kern w:val="0"/>
              </w:rPr>
            </w:pPr>
            <w:r>
              <w:rPr>
                <w:rFonts w:hint="eastAsia" w:ascii="宋体" w:hAnsi="宋体" w:cs="Sim Sun"/>
                <w:kern w:val="0"/>
              </w:rPr>
              <w:t>≥5000</w:t>
            </w:r>
          </w:p>
        </w:tc>
        <w:tc>
          <w:tcPr>
            <w:tcW w:w="2133" w:type="dxa"/>
          </w:tcPr>
          <w:p>
            <w:pPr>
              <w:snapToGrid w:val="0"/>
              <w:spacing w:line="320" w:lineRule="exact"/>
              <w:jc w:val="center"/>
              <w:rPr>
                <w:rFonts w:ascii="宋体" w:hAnsi="宋体" w:cs="Sim Sun"/>
                <w:kern w:val="0"/>
              </w:rPr>
            </w:pPr>
            <w:r>
              <w:rPr>
                <w:rFonts w:hint="eastAsia" w:ascii="宋体" w:hAnsi="宋体" w:cs="Sim Sun"/>
                <w:kern w:val="0"/>
              </w:rPr>
              <w:t>≥1000且＜5000</w:t>
            </w:r>
          </w:p>
        </w:tc>
        <w:tc>
          <w:tcPr>
            <w:tcW w:w="2133" w:type="dxa"/>
          </w:tcPr>
          <w:p>
            <w:pPr>
              <w:snapToGrid w:val="0"/>
              <w:spacing w:line="320" w:lineRule="exact"/>
              <w:jc w:val="center"/>
              <w:rPr>
                <w:rFonts w:ascii="宋体" w:hAnsi="宋体" w:cs="Sim Sun"/>
                <w:kern w:val="0"/>
              </w:rPr>
            </w:pPr>
            <w:r>
              <w:rPr>
                <w:rFonts w:hint="eastAsia" w:ascii="宋体" w:hAnsi="宋体" w:cs="Sim Sun"/>
                <w:kern w:val="0"/>
              </w:rPr>
              <w:t>＜1000</w:t>
            </w:r>
          </w:p>
        </w:tc>
      </w:tr>
    </w:tbl>
    <w:p>
      <w:pPr>
        <w:snapToGrid w:val="0"/>
        <w:spacing w:beforeLines="100" w:line="360" w:lineRule="auto"/>
        <w:rPr>
          <w:rFonts w:ascii="宋体" w:hAnsi="宋体" w:cs="Sim Sun"/>
          <w:b/>
          <w:kern w:val="0"/>
        </w:rPr>
      </w:pPr>
      <w:r>
        <w:rPr>
          <w:rFonts w:hint="eastAsia" w:ascii="宋体" w:hAnsi="宋体" w:cs="Sim Sun"/>
          <w:b/>
          <w:kern w:val="0"/>
        </w:rPr>
        <w:t>5 检验依据</w:t>
      </w:r>
    </w:p>
    <w:p>
      <w:pPr>
        <w:adjustRightInd w:val="0"/>
        <w:snapToGrid w:val="0"/>
        <w:spacing w:line="360" w:lineRule="auto"/>
        <w:ind w:firstLine="420" w:firstLineChars="200"/>
        <w:rPr>
          <w:rFonts w:ascii="宋体" w:hAnsi="宋体"/>
          <w:color w:val="000000"/>
          <w:kern w:val="0"/>
        </w:rPr>
      </w:pPr>
      <w:r>
        <w:rPr>
          <w:rFonts w:hint="eastAsia" w:ascii="宋体" w:hAnsi="宋体"/>
          <w:color w:val="000000"/>
          <w:kern w:val="0"/>
        </w:rPr>
        <w:t>凡是注日期的引用文件，仅注日期的版本适用于本细则。凡是不注日期的引用文件，其最新版本（包括所有的修改单）适用于本细则。</w:t>
      </w:r>
    </w:p>
    <w:p>
      <w:pPr>
        <w:snapToGrid w:val="0"/>
        <w:spacing w:line="360" w:lineRule="auto"/>
        <w:ind w:firstLine="420" w:firstLineChars="200"/>
        <w:rPr>
          <w:rFonts w:ascii="宋体" w:hAnsi="宋体"/>
        </w:rPr>
      </w:pPr>
      <w:r>
        <w:rPr>
          <w:rFonts w:hint="eastAsia" w:ascii="宋体" w:hAnsi="宋体"/>
        </w:rPr>
        <w:t>QC/T 226-2014 《摩托车和轻便摩托车制动蹄组件和制动衬组件》</w:t>
      </w:r>
    </w:p>
    <w:p>
      <w:pPr>
        <w:spacing w:line="360" w:lineRule="auto"/>
        <w:ind w:firstLine="420" w:firstLineChars="200"/>
        <w:rPr>
          <w:snapToGrid w:val="0"/>
          <w:color w:val="000000"/>
        </w:rPr>
      </w:pPr>
      <w:r>
        <w:rPr>
          <w:rFonts w:hint="eastAsia"/>
          <w:snapToGrid w:val="0"/>
          <w:color w:val="000000"/>
        </w:rPr>
        <w:t>相关的法律法规、部门规章和规范</w:t>
      </w:r>
    </w:p>
    <w:p>
      <w:pPr>
        <w:spacing w:line="360" w:lineRule="auto"/>
        <w:ind w:firstLine="420" w:firstLineChars="200"/>
        <w:rPr>
          <w:rFonts w:hint="eastAsia"/>
          <w:snapToGrid w:val="0"/>
          <w:color w:val="000000"/>
        </w:rPr>
      </w:pPr>
      <w:r>
        <w:rPr>
          <w:rFonts w:hint="eastAsia"/>
          <w:snapToGrid w:val="0"/>
          <w:color w:val="000000"/>
        </w:rPr>
        <w:t>企业明示标准及产品明示质量要求</w:t>
      </w:r>
    </w:p>
    <w:p>
      <w:pPr>
        <w:spacing w:line="360" w:lineRule="auto"/>
        <w:ind w:firstLine="420" w:firstLineChars="200"/>
        <w:rPr>
          <w:snapToGrid w:val="0"/>
          <w:color w:val="000000"/>
        </w:rPr>
      </w:pPr>
    </w:p>
    <w:p>
      <w:pPr>
        <w:snapToGrid w:val="0"/>
        <w:spacing w:line="360" w:lineRule="auto"/>
        <w:rPr>
          <w:rFonts w:ascii="宋体" w:hAnsi="宋体" w:cs="Sim Sun"/>
          <w:b/>
          <w:kern w:val="0"/>
        </w:rPr>
      </w:pPr>
      <w:r>
        <w:rPr>
          <w:rFonts w:hint="eastAsia" w:ascii="宋体" w:hAnsi="宋体" w:cs="Sim Sun"/>
          <w:b/>
          <w:kern w:val="0"/>
        </w:rPr>
        <w:t>6 抽样</w:t>
      </w:r>
    </w:p>
    <w:p>
      <w:pPr>
        <w:spacing w:line="360" w:lineRule="auto"/>
        <w:rPr>
          <w:rFonts w:ascii="宋体" w:hAnsi="宋体" w:cs="Sim Sun"/>
          <w:kern w:val="0"/>
        </w:rPr>
      </w:pPr>
      <w:r>
        <w:rPr>
          <w:rFonts w:hint="eastAsia" w:ascii="宋体" w:hAnsi="宋体" w:cs="Sim Sun"/>
          <w:kern w:val="0"/>
        </w:rPr>
        <w:t>6.1 抽样型号或规格</w:t>
      </w:r>
    </w:p>
    <w:p>
      <w:pPr>
        <w:snapToGrid w:val="0"/>
        <w:spacing w:line="360" w:lineRule="auto"/>
        <w:ind w:firstLine="420" w:firstLineChars="200"/>
        <w:rPr>
          <w:rFonts w:ascii="宋体" w:hAnsi="宋体" w:cs="Sim Sun"/>
          <w:kern w:val="0"/>
        </w:rPr>
      </w:pPr>
      <w:r>
        <w:rPr>
          <w:rFonts w:hint="eastAsia" w:ascii="宋体" w:hAnsi="宋体" w:cs="Sim Sun"/>
          <w:kern w:val="0"/>
        </w:rPr>
        <w:t>优先抽取相同型号或规格的企业主导产品。</w:t>
      </w:r>
    </w:p>
    <w:p>
      <w:pPr>
        <w:snapToGrid w:val="0"/>
        <w:spacing w:line="360" w:lineRule="auto"/>
        <w:rPr>
          <w:rFonts w:ascii="宋体" w:hAnsi="宋体" w:cs="Sim Sun"/>
          <w:kern w:val="0"/>
        </w:rPr>
      </w:pPr>
      <w:r>
        <w:rPr>
          <w:rFonts w:hint="eastAsia" w:ascii="宋体" w:hAnsi="宋体" w:cs="Sim Sun"/>
          <w:kern w:val="0"/>
        </w:rPr>
        <w:t>6.2 抽样方法、基数及数量</w:t>
      </w:r>
    </w:p>
    <w:p>
      <w:pPr>
        <w:snapToGrid w:val="0"/>
        <w:spacing w:line="360" w:lineRule="auto"/>
        <w:ind w:firstLine="420" w:firstLineChars="200"/>
        <w:rPr>
          <w:rFonts w:ascii="宋体" w:hAnsi="宋体" w:cs="Sim Sun"/>
          <w:kern w:val="0"/>
        </w:rPr>
      </w:pPr>
      <w:r>
        <w:rPr>
          <w:rFonts w:hint="eastAsia" w:ascii="宋体" w:hAnsi="宋体" w:cs="Sim Sun"/>
          <w:kern w:val="0"/>
        </w:rPr>
        <w:t>在企业的成品库内、生产线末端抽取经企业检验合格或以任何方式表明合格的产品。</w:t>
      </w:r>
    </w:p>
    <w:p>
      <w:pPr>
        <w:snapToGrid w:val="0"/>
        <w:spacing w:line="360" w:lineRule="auto"/>
        <w:ind w:firstLine="420" w:firstLineChars="200"/>
        <w:rPr>
          <w:rFonts w:ascii="宋体" w:hAnsi="宋体" w:cs="Sim Sun"/>
          <w:color w:val="auto"/>
          <w:kern w:val="0"/>
        </w:rPr>
      </w:pPr>
      <w:r>
        <w:rPr>
          <w:rFonts w:hint="eastAsia" w:ascii="宋体" w:hAnsi="宋体" w:cs="Sim Sun"/>
          <w:color w:val="auto"/>
          <w:kern w:val="0"/>
          <w:szCs w:val="21"/>
        </w:rPr>
        <w:t>在</w:t>
      </w:r>
      <w:r>
        <w:rPr>
          <w:rFonts w:hint="eastAsia" w:ascii="宋体" w:hAnsi="宋体" w:cs="Sim Sun"/>
          <w:color w:val="auto"/>
          <w:kern w:val="0"/>
          <w:szCs w:val="21"/>
          <w:lang w:eastAsia="zh-CN"/>
        </w:rPr>
        <w:t>生产领域抽样时</w:t>
      </w:r>
      <w:r>
        <w:rPr>
          <w:rFonts w:hint="eastAsia" w:ascii="宋体" w:hAnsi="宋体" w:cs="Sim Sun"/>
          <w:color w:val="auto"/>
          <w:kern w:val="0"/>
          <w:szCs w:val="21"/>
        </w:rPr>
        <w:t>，</w:t>
      </w:r>
      <w:r>
        <w:rPr>
          <w:rFonts w:hint="eastAsia" w:ascii="宋体" w:hAnsi="宋体" w:cs="Sim Sun"/>
          <w:color w:val="auto"/>
          <w:kern w:val="0"/>
          <w:szCs w:val="21"/>
          <w:lang w:eastAsia="zh-CN"/>
        </w:rPr>
        <w:t>抽样基数满足抽样数量即可。</w:t>
      </w:r>
      <w:r>
        <w:rPr>
          <w:rFonts w:hint="eastAsia" w:ascii="宋体" w:hAnsi="宋体" w:cs="Sim Sun"/>
          <w:color w:val="auto"/>
          <w:kern w:val="0"/>
        </w:rPr>
        <w:t>抽样数量为48片，其中8片作为检验样品，16片为加倍复验用样品，24片作为备用样品。采用随机抽样法。</w:t>
      </w:r>
    </w:p>
    <w:p>
      <w:pPr>
        <w:snapToGrid w:val="0"/>
        <w:spacing w:line="360" w:lineRule="auto"/>
        <w:rPr>
          <w:rFonts w:ascii="宋体" w:hAnsi="宋体" w:cs="Sim Sun"/>
          <w:color w:val="auto"/>
          <w:kern w:val="0"/>
        </w:rPr>
      </w:pPr>
      <w:r>
        <w:rPr>
          <w:rFonts w:hint="eastAsia" w:ascii="宋体" w:hAnsi="宋体" w:cs="Sim Sun"/>
          <w:color w:val="auto"/>
          <w:kern w:val="0"/>
        </w:rPr>
        <w:t>6.3 样品处置</w:t>
      </w:r>
    </w:p>
    <w:p>
      <w:pPr>
        <w:snapToGrid w:val="0"/>
        <w:spacing w:line="360" w:lineRule="auto"/>
        <w:ind w:firstLine="420" w:firstLineChars="200"/>
        <w:rPr>
          <w:rFonts w:ascii="宋体" w:hAnsi="宋体" w:cs="Sim Sun"/>
          <w:kern w:val="0"/>
        </w:rPr>
      </w:pPr>
      <w:r>
        <w:rPr>
          <w:rFonts w:hint="eastAsia" w:ascii="宋体" w:hAnsi="宋体"/>
          <w:color w:val="auto"/>
        </w:rPr>
        <w:t>检验用样品及备用</w:t>
      </w:r>
      <w:r>
        <w:rPr>
          <w:rFonts w:hint="eastAsia" w:ascii="宋体" w:hAnsi="宋体"/>
        </w:rPr>
        <w:t>样品应分别封样，</w:t>
      </w:r>
      <w:r>
        <w:rPr>
          <w:rFonts w:hint="eastAsia" w:ascii="宋体" w:hAnsi="宋体"/>
          <w:spacing w:val="6"/>
        </w:rPr>
        <w:t>封样时应有防拆封措施，以保证样品的真实性。抽样人员负责把检验样品、复验样品送至检测机构，</w:t>
      </w:r>
      <w:r>
        <w:rPr>
          <w:rFonts w:hint="eastAsia" w:ascii="宋体" w:hAnsi="宋体"/>
          <w:color w:val="000000"/>
          <w:spacing w:val="6"/>
        </w:rPr>
        <w:t>备用样品封存在受检单位。</w:t>
      </w:r>
      <w:r>
        <w:rPr>
          <w:rFonts w:hint="eastAsia" w:ascii="宋体" w:hAnsi="宋体"/>
          <w:spacing w:val="6"/>
        </w:rPr>
        <w:t>如样品标签上标明特殊储存要求，样品应按要求进行处置。</w:t>
      </w:r>
    </w:p>
    <w:p>
      <w:pPr>
        <w:snapToGrid w:val="0"/>
        <w:spacing w:line="360" w:lineRule="auto"/>
        <w:rPr>
          <w:rFonts w:ascii="宋体" w:hAnsi="宋体" w:cs="Sim Sun"/>
          <w:kern w:val="0"/>
        </w:rPr>
      </w:pPr>
      <w:r>
        <w:rPr>
          <w:rFonts w:hint="eastAsia" w:ascii="宋体" w:hAnsi="宋体" w:cs="Sim Sun"/>
          <w:kern w:val="0"/>
        </w:rPr>
        <w:t>6.4 抽样单</w:t>
      </w:r>
    </w:p>
    <w:p>
      <w:pPr>
        <w:snapToGrid w:val="0"/>
        <w:spacing w:line="360" w:lineRule="auto"/>
        <w:ind w:firstLine="420" w:firstLineChars="200"/>
        <w:rPr>
          <w:rFonts w:ascii="宋体" w:hAnsi="宋体" w:cs="Sim Sun"/>
          <w:kern w:val="0"/>
        </w:rPr>
      </w:pPr>
      <w:r>
        <w:rPr>
          <w:rFonts w:hint="eastAsia" w:ascii="宋体" w:hAnsi="宋体" w:cs="Sim Sun"/>
          <w:kern w:val="0"/>
        </w:rPr>
        <w:t>应按有关规定填写抽样单，并记录被抽查产品及企业相关信息。同时记录被抽查企业上一年度生产的摩托车头盔产品销售总额（以万元计）；若企业上一年度未生产，则记录本年度实际生产的抽查产品的销售额，并加以说明。</w:t>
      </w:r>
      <w:r>
        <w:rPr>
          <w:rFonts w:hint="eastAsia" w:ascii="宋体" w:hAnsi="宋体"/>
        </w:rPr>
        <w:t>对于产品检验所需样品技术参数等信息，需要被抽企业提供的，应在抽样现场获取，并经企业确认。</w:t>
      </w:r>
    </w:p>
    <w:p>
      <w:pPr>
        <w:snapToGrid w:val="0"/>
        <w:spacing w:line="360" w:lineRule="auto"/>
        <w:rPr>
          <w:rFonts w:ascii="宋体" w:hAnsi="宋体" w:cs="Sim Sun"/>
          <w:b/>
          <w:kern w:val="0"/>
        </w:rPr>
      </w:pPr>
      <w:r>
        <w:rPr>
          <w:rFonts w:hint="eastAsia" w:ascii="宋体" w:hAnsi="宋体" w:cs="Sim Sun"/>
          <w:b/>
          <w:kern w:val="0"/>
        </w:rPr>
        <w:t>7 检验要求</w:t>
      </w:r>
    </w:p>
    <w:p>
      <w:pPr>
        <w:snapToGrid w:val="0"/>
        <w:spacing w:line="360" w:lineRule="auto"/>
        <w:rPr>
          <w:rFonts w:ascii="宋体" w:hAnsi="宋体" w:cs="Sim Sun"/>
          <w:b/>
          <w:kern w:val="0"/>
        </w:rPr>
      </w:pPr>
      <w:r>
        <w:rPr>
          <w:rFonts w:hint="eastAsia" w:ascii="宋体" w:hAnsi="宋体" w:cs="Sim Sun"/>
          <w:b/>
          <w:kern w:val="0"/>
        </w:rPr>
        <w:t>7.1 检验项目及重要程度分类</w:t>
      </w:r>
    </w:p>
    <w:p>
      <w:pPr>
        <w:snapToGrid w:val="0"/>
        <w:spacing w:line="360" w:lineRule="auto"/>
        <w:ind w:firstLine="420" w:firstLineChars="200"/>
        <w:rPr>
          <w:rFonts w:ascii="宋体" w:hAnsi="宋体" w:cs="Sim Sun"/>
          <w:kern w:val="0"/>
        </w:rPr>
      </w:pPr>
      <w:r>
        <w:rPr>
          <w:rFonts w:hint="eastAsia" w:ascii="宋体" w:hAnsi="宋体"/>
        </w:rPr>
        <w:t>摩托车制动蹄（衬）</w:t>
      </w:r>
      <w:r>
        <w:rPr>
          <w:rFonts w:hint="eastAsia" w:ascii="宋体" w:hAnsi="宋体" w:cs="Sim Sun"/>
          <w:kern w:val="0"/>
        </w:rPr>
        <w:t>检验项目及重要程度分类见表3。</w:t>
      </w:r>
    </w:p>
    <w:p>
      <w:pPr>
        <w:snapToGrid w:val="0"/>
        <w:spacing w:line="360" w:lineRule="auto"/>
        <w:jc w:val="center"/>
        <w:rPr>
          <w:rFonts w:ascii="宋体" w:hAnsi="宋体" w:cs="Sim Sun"/>
          <w:b/>
          <w:kern w:val="0"/>
        </w:rPr>
      </w:pPr>
      <w:r>
        <w:rPr>
          <w:rFonts w:hint="eastAsia" w:ascii="宋体" w:hAnsi="宋体" w:cs="Sim Sun"/>
          <w:b/>
          <w:kern w:val="0"/>
        </w:rPr>
        <w:t>表3　摩托车制动蹄（衬）检验项目及重要程度分类</w:t>
      </w:r>
    </w:p>
    <w:tbl>
      <w:tblPr>
        <w:tblStyle w:val="5"/>
        <w:tblW w:w="92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920"/>
        <w:gridCol w:w="2268"/>
        <w:gridCol w:w="992"/>
        <w:gridCol w:w="1843"/>
        <w:gridCol w:w="81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41" w:type="dxa"/>
            <w:vMerge w:val="restart"/>
            <w:vAlign w:val="center"/>
          </w:tcPr>
          <w:p>
            <w:pPr>
              <w:jc w:val="center"/>
              <w:rPr>
                <w:rFonts w:ascii="宋体" w:hAnsi="宋体"/>
                <w:bCs/>
                <w:sz w:val="18"/>
                <w:szCs w:val="18"/>
              </w:rPr>
            </w:pPr>
            <w:r>
              <w:rPr>
                <w:rFonts w:hint="eastAsia" w:ascii="宋体" w:hAnsi="宋体"/>
                <w:bCs/>
                <w:sz w:val="18"/>
                <w:szCs w:val="18"/>
              </w:rPr>
              <w:t>序号</w:t>
            </w:r>
          </w:p>
        </w:tc>
        <w:tc>
          <w:tcPr>
            <w:tcW w:w="1920" w:type="dxa"/>
            <w:vMerge w:val="restart"/>
            <w:vAlign w:val="center"/>
          </w:tcPr>
          <w:p>
            <w:pPr>
              <w:jc w:val="center"/>
              <w:rPr>
                <w:rFonts w:ascii="宋体" w:hAnsi="宋体"/>
                <w:bCs/>
                <w:sz w:val="18"/>
                <w:szCs w:val="18"/>
              </w:rPr>
            </w:pPr>
            <w:r>
              <w:rPr>
                <w:rFonts w:hint="eastAsia" w:ascii="宋体" w:hAnsi="宋体"/>
                <w:bCs/>
                <w:sz w:val="18"/>
                <w:szCs w:val="18"/>
              </w:rPr>
              <w:t>检验项目</w:t>
            </w:r>
          </w:p>
        </w:tc>
        <w:tc>
          <w:tcPr>
            <w:tcW w:w="2268" w:type="dxa"/>
            <w:vMerge w:val="restart"/>
            <w:vAlign w:val="center"/>
          </w:tcPr>
          <w:p>
            <w:pPr>
              <w:jc w:val="center"/>
              <w:rPr>
                <w:rFonts w:ascii="宋体" w:hAnsi="宋体"/>
                <w:bCs/>
                <w:sz w:val="18"/>
                <w:szCs w:val="18"/>
              </w:rPr>
            </w:pPr>
            <w:r>
              <w:rPr>
                <w:rFonts w:hint="eastAsia" w:ascii="宋体" w:hAnsi="宋体"/>
                <w:bCs/>
                <w:sz w:val="18"/>
                <w:szCs w:val="18"/>
              </w:rPr>
              <w:t>依据法律法规或标准条款</w:t>
            </w:r>
          </w:p>
        </w:tc>
        <w:tc>
          <w:tcPr>
            <w:tcW w:w="992" w:type="dxa"/>
            <w:vMerge w:val="restart"/>
            <w:vAlign w:val="center"/>
          </w:tcPr>
          <w:p>
            <w:pPr>
              <w:jc w:val="center"/>
              <w:rPr>
                <w:rFonts w:ascii="宋体" w:hAnsi="宋体"/>
                <w:bCs/>
                <w:sz w:val="18"/>
                <w:szCs w:val="18"/>
              </w:rPr>
            </w:pPr>
            <w:r>
              <w:rPr>
                <w:rFonts w:hint="eastAsia" w:ascii="宋体" w:hAnsi="宋体"/>
                <w:bCs/>
                <w:sz w:val="18"/>
                <w:szCs w:val="18"/>
              </w:rPr>
              <w:t>强制性</w:t>
            </w:r>
          </w:p>
          <w:p>
            <w:pPr>
              <w:jc w:val="center"/>
              <w:rPr>
                <w:rFonts w:ascii="宋体" w:hAnsi="宋体"/>
                <w:bCs/>
                <w:sz w:val="18"/>
                <w:szCs w:val="18"/>
              </w:rPr>
            </w:pPr>
            <w:r>
              <w:rPr>
                <w:rFonts w:hint="eastAsia" w:ascii="宋体" w:hAnsi="宋体"/>
                <w:bCs/>
                <w:sz w:val="18"/>
                <w:szCs w:val="18"/>
              </w:rPr>
              <w:t>/推荐性</w:t>
            </w:r>
          </w:p>
        </w:tc>
        <w:tc>
          <w:tcPr>
            <w:tcW w:w="1843" w:type="dxa"/>
            <w:vMerge w:val="restart"/>
            <w:vAlign w:val="center"/>
          </w:tcPr>
          <w:p>
            <w:pPr>
              <w:jc w:val="center"/>
              <w:rPr>
                <w:rFonts w:ascii="宋体" w:hAnsi="宋体"/>
                <w:bCs/>
                <w:sz w:val="18"/>
                <w:szCs w:val="18"/>
              </w:rPr>
            </w:pPr>
            <w:r>
              <w:rPr>
                <w:rFonts w:hint="eastAsia" w:ascii="宋体" w:hAnsi="宋体"/>
                <w:bCs/>
                <w:sz w:val="18"/>
                <w:szCs w:val="18"/>
              </w:rPr>
              <w:t>检 测 方 法</w:t>
            </w:r>
          </w:p>
        </w:tc>
        <w:tc>
          <w:tcPr>
            <w:tcW w:w="1664" w:type="dxa"/>
            <w:gridSpan w:val="2"/>
            <w:vAlign w:val="center"/>
          </w:tcPr>
          <w:p>
            <w:pPr>
              <w:jc w:val="center"/>
              <w:rPr>
                <w:rFonts w:ascii="宋体" w:hAnsi="宋体"/>
                <w:bCs/>
                <w:sz w:val="18"/>
                <w:szCs w:val="18"/>
              </w:rPr>
            </w:pPr>
            <w:r>
              <w:rPr>
                <w:rFonts w:hint="eastAsia" w:ascii="宋体" w:hAnsi="宋体"/>
                <w:bCs/>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41" w:type="dxa"/>
            <w:vMerge w:val="continue"/>
            <w:vAlign w:val="center"/>
          </w:tcPr>
          <w:p>
            <w:pPr>
              <w:jc w:val="center"/>
              <w:rPr>
                <w:rFonts w:ascii="宋体" w:hAnsi="宋体"/>
                <w:bCs/>
                <w:sz w:val="18"/>
                <w:szCs w:val="18"/>
              </w:rPr>
            </w:pPr>
          </w:p>
        </w:tc>
        <w:tc>
          <w:tcPr>
            <w:tcW w:w="1920" w:type="dxa"/>
            <w:vMerge w:val="continue"/>
            <w:vAlign w:val="center"/>
          </w:tcPr>
          <w:p>
            <w:pPr>
              <w:jc w:val="center"/>
              <w:rPr>
                <w:rFonts w:ascii="宋体" w:hAnsi="宋体"/>
                <w:bCs/>
                <w:sz w:val="18"/>
                <w:szCs w:val="18"/>
              </w:rPr>
            </w:pPr>
          </w:p>
        </w:tc>
        <w:tc>
          <w:tcPr>
            <w:tcW w:w="2268" w:type="dxa"/>
            <w:vMerge w:val="continue"/>
            <w:vAlign w:val="center"/>
          </w:tcPr>
          <w:p>
            <w:pPr>
              <w:jc w:val="center"/>
              <w:rPr>
                <w:rFonts w:ascii="宋体" w:hAnsi="宋体"/>
                <w:bCs/>
                <w:sz w:val="18"/>
                <w:szCs w:val="18"/>
              </w:rPr>
            </w:pPr>
          </w:p>
        </w:tc>
        <w:tc>
          <w:tcPr>
            <w:tcW w:w="992" w:type="dxa"/>
            <w:vMerge w:val="continue"/>
            <w:vAlign w:val="center"/>
          </w:tcPr>
          <w:p>
            <w:pPr>
              <w:jc w:val="center"/>
              <w:rPr>
                <w:rFonts w:ascii="宋体" w:hAnsi="宋体"/>
                <w:bCs/>
                <w:sz w:val="18"/>
                <w:szCs w:val="18"/>
              </w:rPr>
            </w:pPr>
          </w:p>
        </w:tc>
        <w:tc>
          <w:tcPr>
            <w:tcW w:w="1843" w:type="dxa"/>
            <w:vMerge w:val="continue"/>
            <w:vAlign w:val="center"/>
          </w:tcPr>
          <w:p>
            <w:pPr>
              <w:jc w:val="center"/>
              <w:rPr>
                <w:rFonts w:ascii="宋体" w:hAnsi="宋体"/>
                <w:bCs/>
                <w:sz w:val="18"/>
                <w:szCs w:val="18"/>
              </w:rPr>
            </w:pPr>
          </w:p>
        </w:tc>
        <w:tc>
          <w:tcPr>
            <w:tcW w:w="814" w:type="dxa"/>
            <w:vAlign w:val="center"/>
          </w:tcPr>
          <w:p>
            <w:pPr>
              <w:jc w:val="center"/>
              <w:rPr>
                <w:rFonts w:ascii="宋体" w:hAnsi="宋体"/>
                <w:bCs/>
                <w:sz w:val="18"/>
                <w:szCs w:val="18"/>
              </w:rPr>
            </w:pPr>
            <w:r>
              <w:rPr>
                <w:rFonts w:hint="eastAsia" w:ascii="宋体" w:hAnsi="宋体"/>
                <w:bCs/>
                <w:sz w:val="18"/>
                <w:szCs w:val="18"/>
              </w:rPr>
              <w:t>A类</w:t>
            </w:r>
          </w:p>
        </w:tc>
        <w:tc>
          <w:tcPr>
            <w:tcW w:w="850" w:type="dxa"/>
            <w:vAlign w:val="center"/>
          </w:tcPr>
          <w:p>
            <w:pPr>
              <w:jc w:val="center"/>
              <w:rPr>
                <w:rFonts w:ascii="宋体" w:hAnsi="宋体"/>
                <w:bCs/>
                <w:sz w:val="18"/>
                <w:szCs w:val="18"/>
              </w:rPr>
            </w:pPr>
            <w:r>
              <w:rPr>
                <w:rFonts w:hint="eastAsia" w:ascii="宋体" w:hAnsi="宋体"/>
                <w:bCs/>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blHeader/>
          <w:jc w:val="center"/>
        </w:trPr>
        <w:tc>
          <w:tcPr>
            <w:tcW w:w="541" w:type="dxa"/>
            <w:vAlign w:val="center"/>
          </w:tcPr>
          <w:p>
            <w:pPr>
              <w:jc w:val="center"/>
              <w:rPr>
                <w:rFonts w:ascii="宋体" w:hAnsi="宋体"/>
                <w:bCs/>
                <w:sz w:val="18"/>
                <w:szCs w:val="18"/>
              </w:rPr>
            </w:pPr>
            <w:r>
              <w:rPr>
                <w:rFonts w:hint="eastAsia" w:ascii="宋体" w:hAnsi="宋体"/>
                <w:bCs/>
                <w:sz w:val="18"/>
                <w:szCs w:val="18"/>
              </w:rPr>
              <w:t>1</w:t>
            </w:r>
          </w:p>
        </w:tc>
        <w:tc>
          <w:tcPr>
            <w:tcW w:w="1920" w:type="dxa"/>
            <w:vAlign w:val="center"/>
          </w:tcPr>
          <w:p>
            <w:pPr>
              <w:jc w:val="center"/>
              <w:rPr>
                <w:rFonts w:ascii="宋体" w:hAnsi="宋体"/>
                <w:bCs/>
                <w:sz w:val="18"/>
                <w:szCs w:val="18"/>
              </w:rPr>
            </w:pPr>
            <w:r>
              <w:rPr>
                <w:rFonts w:hint="eastAsia" w:ascii="宋体" w:hAnsi="宋体"/>
                <w:bCs/>
                <w:sz w:val="18"/>
                <w:szCs w:val="18"/>
              </w:rPr>
              <w:t>摩擦性能</w:t>
            </w:r>
          </w:p>
        </w:tc>
        <w:tc>
          <w:tcPr>
            <w:tcW w:w="2268" w:type="dxa"/>
            <w:vAlign w:val="center"/>
          </w:tcPr>
          <w:p>
            <w:pPr>
              <w:jc w:val="center"/>
              <w:rPr>
                <w:rFonts w:ascii="宋体" w:hAnsi="宋体"/>
                <w:bCs/>
                <w:sz w:val="18"/>
                <w:szCs w:val="18"/>
              </w:rPr>
            </w:pPr>
            <w:r>
              <w:rPr>
                <w:rFonts w:ascii="宋体" w:hAnsi="宋体"/>
                <w:bCs/>
                <w:sz w:val="18"/>
                <w:szCs w:val="18"/>
              </w:rPr>
              <w:t>QC/T 226-2014</w:t>
            </w:r>
            <w:r>
              <w:rPr>
                <w:rFonts w:hint="eastAsia" w:ascii="宋体" w:hAnsi="宋体"/>
                <w:bCs/>
                <w:sz w:val="18"/>
                <w:szCs w:val="18"/>
              </w:rPr>
              <w:t>中4.4</w:t>
            </w:r>
          </w:p>
        </w:tc>
        <w:tc>
          <w:tcPr>
            <w:tcW w:w="992" w:type="dxa"/>
            <w:vAlign w:val="center"/>
          </w:tcPr>
          <w:p>
            <w:pPr>
              <w:jc w:val="center"/>
              <w:rPr>
                <w:rFonts w:ascii="宋体" w:hAnsi="宋体"/>
                <w:bCs/>
                <w:sz w:val="18"/>
                <w:szCs w:val="18"/>
              </w:rPr>
            </w:pPr>
            <w:r>
              <w:rPr>
                <w:rFonts w:hint="eastAsia" w:ascii="宋体" w:hAnsi="宋体"/>
                <w:bCs/>
                <w:sz w:val="18"/>
                <w:szCs w:val="18"/>
              </w:rPr>
              <w:t>推荐性</w:t>
            </w:r>
          </w:p>
        </w:tc>
        <w:tc>
          <w:tcPr>
            <w:tcW w:w="1843" w:type="dxa"/>
            <w:vAlign w:val="center"/>
          </w:tcPr>
          <w:p>
            <w:pPr>
              <w:jc w:val="center"/>
              <w:rPr>
                <w:rFonts w:ascii="宋体" w:hAnsi="宋体"/>
                <w:bCs/>
                <w:sz w:val="18"/>
                <w:szCs w:val="18"/>
              </w:rPr>
            </w:pPr>
            <w:r>
              <w:rPr>
                <w:rFonts w:ascii="宋体" w:hAnsi="宋体"/>
                <w:bCs/>
                <w:sz w:val="18"/>
                <w:szCs w:val="18"/>
              </w:rPr>
              <w:t>QC/T 227.1-2009</w:t>
            </w:r>
          </w:p>
        </w:tc>
        <w:tc>
          <w:tcPr>
            <w:tcW w:w="814" w:type="dxa"/>
            <w:vAlign w:val="center"/>
          </w:tcPr>
          <w:p>
            <w:pPr>
              <w:jc w:val="center"/>
              <w:rPr>
                <w:rFonts w:ascii="宋体" w:hAnsi="宋体"/>
                <w:bCs/>
                <w:sz w:val="18"/>
                <w:szCs w:val="18"/>
              </w:rPr>
            </w:pPr>
          </w:p>
        </w:tc>
        <w:tc>
          <w:tcPr>
            <w:tcW w:w="850" w:type="dxa"/>
            <w:vAlign w:val="center"/>
          </w:tcPr>
          <w:p>
            <w:pPr>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41" w:type="dxa"/>
            <w:vAlign w:val="center"/>
          </w:tcPr>
          <w:p>
            <w:pPr>
              <w:jc w:val="center"/>
              <w:rPr>
                <w:rFonts w:ascii="宋体" w:hAnsi="宋体"/>
                <w:bCs/>
                <w:sz w:val="18"/>
                <w:szCs w:val="18"/>
              </w:rPr>
            </w:pPr>
            <w:r>
              <w:rPr>
                <w:rFonts w:hint="eastAsia" w:ascii="宋体" w:hAnsi="宋体"/>
                <w:bCs/>
                <w:sz w:val="18"/>
                <w:szCs w:val="18"/>
              </w:rPr>
              <w:t>2</w:t>
            </w:r>
          </w:p>
        </w:tc>
        <w:tc>
          <w:tcPr>
            <w:tcW w:w="1920" w:type="dxa"/>
            <w:vAlign w:val="center"/>
          </w:tcPr>
          <w:p>
            <w:pPr>
              <w:spacing w:line="360" w:lineRule="auto"/>
              <w:jc w:val="center"/>
              <w:rPr>
                <w:rFonts w:ascii="宋体" w:hAnsi="宋体"/>
                <w:bCs/>
              </w:rPr>
            </w:pPr>
            <w:r>
              <w:rPr>
                <w:rFonts w:hint="eastAsia" w:ascii="宋体" w:hAnsi="宋体"/>
                <w:bCs/>
              </w:rPr>
              <w:t>黏接剪切强度</w:t>
            </w:r>
          </w:p>
        </w:tc>
        <w:tc>
          <w:tcPr>
            <w:tcW w:w="2268" w:type="dxa"/>
            <w:vAlign w:val="center"/>
          </w:tcPr>
          <w:p>
            <w:pPr>
              <w:jc w:val="center"/>
              <w:rPr>
                <w:rFonts w:ascii="宋体" w:hAnsi="宋体"/>
                <w:bCs/>
                <w:sz w:val="18"/>
                <w:szCs w:val="18"/>
              </w:rPr>
            </w:pPr>
            <w:r>
              <w:rPr>
                <w:rFonts w:ascii="宋体" w:hAnsi="宋体"/>
                <w:bCs/>
                <w:sz w:val="18"/>
                <w:szCs w:val="18"/>
              </w:rPr>
              <w:t>QC/T 226-2014</w:t>
            </w:r>
            <w:r>
              <w:rPr>
                <w:rFonts w:hint="eastAsia" w:ascii="宋体" w:hAnsi="宋体"/>
                <w:bCs/>
                <w:sz w:val="18"/>
                <w:szCs w:val="18"/>
              </w:rPr>
              <w:t>中4.6.1（4.6.2）</w:t>
            </w:r>
          </w:p>
        </w:tc>
        <w:tc>
          <w:tcPr>
            <w:tcW w:w="992" w:type="dxa"/>
            <w:vAlign w:val="center"/>
          </w:tcPr>
          <w:p>
            <w:pPr>
              <w:jc w:val="center"/>
              <w:rPr>
                <w:rFonts w:ascii="宋体" w:hAnsi="宋体"/>
                <w:bCs/>
                <w:sz w:val="18"/>
                <w:szCs w:val="18"/>
              </w:rPr>
            </w:pPr>
            <w:r>
              <w:rPr>
                <w:rFonts w:hint="eastAsia" w:ascii="宋体" w:hAnsi="宋体"/>
                <w:bCs/>
                <w:sz w:val="18"/>
                <w:szCs w:val="18"/>
              </w:rPr>
              <w:t>推荐性</w:t>
            </w:r>
          </w:p>
        </w:tc>
        <w:tc>
          <w:tcPr>
            <w:tcW w:w="1843" w:type="dxa"/>
            <w:vAlign w:val="center"/>
          </w:tcPr>
          <w:p>
            <w:pPr>
              <w:jc w:val="center"/>
              <w:rPr>
                <w:rFonts w:ascii="宋体" w:hAnsi="宋体"/>
                <w:bCs/>
                <w:sz w:val="18"/>
                <w:szCs w:val="18"/>
              </w:rPr>
            </w:pPr>
            <w:r>
              <w:rPr>
                <w:rFonts w:ascii="宋体" w:hAnsi="宋体"/>
                <w:bCs/>
                <w:sz w:val="18"/>
                <w:szCs w:val="18"/>
              </w:rPr>
              <w:t>QC/T 227.2-2009</w:t>
            </w:r>
          </w:p>
        </w:tc>
        <w:tc>
          <w:tcPr>
            <w:tcW w:w="814" w:type="dxa"/>
            <w:vAlign w:val="center"/>
          </w:tcPr>
          <w:p>
            <w:pPr>
              <w:jc w:val="center"/>
              <w:rPr>
                <w:rFonts w:ascii="宋体" w:hAnsi="宋体"/>
                <w:bCs/>
                <w:sz w:val="18"/>
                <w:szCs w:val="18"/>
              </w:rPr>
            </w:pPr>
          </w:p>
        </w:tc>
        <w:tc>
          <w:tcPr>
            <w:tcW w:w="850" w:type="dxa"/>
            <w:vAlign w:val="center"/>
          </w:tcPr>
          <w:p>
            <w:pPr>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41" w:type="dxa"/>
            <w:vAlign w:val="center"/>
          </w:tcPr>
          <w:p>
            <w:pPr>
              <w:jc w:val="center"/>
              <w:rPr>
                <w:rFonts w:ascii="宋体" w:hAnsi="宋体"/>
                <w:bCs/>
                <w:sz w:val="18"/>
                <w:szCs w:val="18"/>
              </w:rPr>
            </w:pPr>
            <w:r>
              <w:rPr>
                <w:rFonts w:hint="eastAsia" w:ascii="宋体" w:hAnsi="宋体"/>
                <w:bCs/>
                <w:sz w:val="18"/>
                <w:szCs w:val="18"/>
              </w:rPr>
              <w:t>3</w:t>
            </w:r>
          </w:p>
        </w:tc>
        <w:tc>
          <w:tcPr>
            <w:tcW w:w="1920" w:type="dxa"/>
            <w:vAlign w:val="center"/>
          </w:tcPr>
          <w:p>
            <w:pPr>
              <w:spacing w:line="360" w:lineRule="auto"/>
              <w:jc w:val="center"/>
              <w:rPr>
                <w:rFonts w:ascii="宋体" w:hAnsi="宋体"/>
                <w:bCs/>
              </w:rPr>
            </w:pPr>
            <w:r>
              <w:rPr>
                <w:rFonts w:hint="eastAsia" w:ascii="宋体" w:hAnsi="宋体"/>
                <w:bCs/>
              </w:rPr>
              <w:t>径向压溃压力</w:t>
            </w:r>
          </w:p>
        </w:tc>
        <w:tc>
          <w:tcPr>
            <w:tcW w:w="2268" w:type="dxa"/>
            <w:vAlign w:val="center"/>
          </w:tcPr>
          <w:p>
            <w:pPr>
              <w:jc w:val="center"/>
              <w:rPr>
                <w:rFonts w:ascii="宋体" w:hAnsi="宋体"/>
                <w:bCs/>
                <w:sz w:val="18"/>
                <w:szCs w:val="18"/>
              </w:rPr>
            </w:pPr>
            <w:r>
              <w:rPr>
                <w:rFonts w:ascii="宋体" w:hAnsi="宋体"/>
                <w:bCs/>
                <w:sz w:val="18"/>
                <w:szCs w:val="18"/>
              </w:rPr>
              <w:t>QC/T 226-2014</w:t>
            </w:r>
            <w:r>
              <w:rPr>
                <w:rFonts w:hint="eastAsia" w:ascii="宋体" w:hAnsi="宋体"/>
                <w:bCs/>
                <w:sz w:val="18"/>
                <w:szCs w:val="18"/>
              </w:rPr>
              <w:t>中4.6.3</w:t>
            </w:r>
          </w:p>
        </w:tc>
        <w:tc>
          <w:tcPr>
            <w:tcW w:w="992" w:type="dxa"/>
            <w:vAlign w:val="center"/>
          </w:tcPr>
          <w:p>
            <w:pPr>
              <w:jc w:val="center"/>
              <w:rPr>
                <w:rFonts w:ascii="宋体" w:hAnsi="宋体"/>
                <w:bCs/>
                <w:sz w:val="18"/>
                <w:szCs w:val="18"/>
              </w:rPr>
            </w:pPr>
            <w:r>
              <w:rPr>
                <w:rFonts w:hint="eastAsia" w:ascii="宋体" w:hAnsi="宋体"/>
                <w:bCs/>
                <w:sz w:val="18"/>
                <w:szCs w:val="18"/>
              </w:rPr>
              <w:t>推荐性</w:t>
            </w:r>
          </w:p>
        </w:tc>
        <w:tc>
          <w:tcPr>
            <w:tcW w:w="1843" w:type="dxa"/>
            <w:vAlign w:val="center"/>
          </w:tcPr>
          <w:p>
            <w:pPr>
              <w:jc w:val="center"/>
              <w:rPr>
                <w:rFonts w:ascii="宋体" w:hAnsi="宋体"/>
                <w:bCs/>
                <w:sz w:val="18"/>
                <w:szCs w:val="18"/>
              </w:rPr>
            </w:pPr>
            <w:r>
              <w:rPr>
                <w:rFonts w:ascii="宋体" w:hAnsi="宋体"/>
                <w:bCs/>
                <w:sz w:val="18"/>
                <w:szCs w:val="18"/>
              </w:rPr>
              <w:t>QC/T 226-2014</w:t>
            </w:r>
          </w:p>
        </w:tc>
        <w:tc>
          <w:tcPr>
            <w:tcW w:w="814" w:type="dxa"/>
            <w:vAlign w:val="center"/>
          </w:tcPr>
          <w:p>
            <w:pPr>
              <w:jc w:val="center"/>
              <w:rPr>
                <w:rFonts w:ascii="宋体" w:hAnsi="宋体"/>
                <w:bCs/>
                <w:sz w:val="18"/>
                <w:szCs w:val="18"/>
              </w:rPr>
            </w:pPr>
          </w:p>
        </w:tc>
        <w:tc>
          <w:tcPr>
            <w:tcW w:w="850" w:type="dxa"/>
            <w:vAlign w:val="center"/>
          </w:tcPr>
          <w:p>
            <w:pPr>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jc w:val="center"/>
        </w:trPr>
        <w:tc>
          <w:tcPr>
            <w:tcW w:w="9228" w:type="dxa"/>
            <w:gridSpan w:val="7"/>
            <w:vAlign w:val="center"/>
          </w:tcPr>
          <w:p>
            <w:pPr>
              <w:widowControl/>
              <w:rPr>
                <w:rFonts w:ascii="宋体" w:hAnsi="宋体"/>
                <w:bCs/>
                <w:sz w:val="18"/>
                <w:szCs w:val="18"/>
              </w:rPr>
            </w:pPr>
            <w:r>
              <w:rPr>
                <w:rFonts w:hint="eastAsia" w:ascii="宋体" w:hAnsi="宋体"/>
                <w:bCs/>
                <w:sz w:val="18"/>
                <w:szCs w:val="18"/>
              </w:rPr>
              <w:t>注： A类——极重要质量项目，B类——重要质量项目。</w:t>
            </w:r>
          </w:p>
        </w:tc>
      </w:tr>
    </w:tbl>
    <w:p>
      <w:pPr>
        <w:snapToGrid w:val="0"/>
        <w:spacing w:line="360" w:lineRule="auto"/>
        <w:rPr>
          <w:rFonts w:ascii="宋体" w:hAnsi="宋体" w:cs="Sim Sun"/>
          <w:kern w:val="0"/>
        </w:rPr>
      </w:pPr>
      <w:r>
        <w:rPr>
          <w:rFonts w:hint="eastAsia" w:ascii="宋体" w:hAnsi="宋体"/>
          <w:bCs/>
          <w:sz w:val="18"/>
          <w:szCs w:val="18"/>
        </w:rPr>
        <w:t>注：</w:t>
      </w:r>
      <w:r>
        <w:rPr>
          <w:rFonts w:hint="eastAsia" w:ascii="宋体" w:hAnsi="宋体"/>
          <w:sz w:val="18"/>
          <w:szCs w:val="18"/>
        </w:rPr>
        <w:t>极重要质量项目是指直接涉及人体健康、使用安全的指标；</w:t>
      </w:r>
      <w:r>
        <w:rPr>
          <w:rFonts w:hint="eastAsia" w:ascii="宋体" w:hAnsi="宋体" w:cs="宋体"/>
          <w:kern w:val="0"/>
          <w:sz w:val="18"/>
          <w:szCs w:val="18"/>
        </w:rPr>
        <w:t>重要质量项目是指产品涉及环保、能效、关键性能或特征值的指标。</w:t>
      </w:r>
    </w:p>
    <w:p>
      <w:pPr>
        <w:snapToGrid w:val="0"/>
        <w:spacing w:beforeLines="50" w:line="360" w:lineRule="auto"/>
        <w:rPr>
          <w:rFonts w:ascii="宋体" w:hAnsi="宋体" w:cs="Sim Sun"/>
          <w:b/>
          <w:kern w:val="0"/>
        </w:rPr>
      </w:pPr>
      <w:r>
        <w:rPr>
          <w:rFonts w:hint="eastAsia" w:ascii="宋体" w:hAnsi="宋体" w:cs="Sim Sun"/>
          <w:b/>
          <w:kern w:val="0"/>
        </w:rPr>
        <w:t>7.2 检验应注意的问题</w:t>
      </w:r>
    </w:p>
    <w:p>
      <w:pPr>
        <w:snapToGrid w:val="0"/>
        <w:spacing w:line="360" w:lineRule="auto"/>
        <w:rPr>
          <w:rFonts w:ascii="宋体" w:hAnsi="宋体"/>
        </w:rPr>
      </w:pPr>
      <w:r>
        <w:rPr>
          <w:rFonts w:hint="eastAsia" w:ascii="宋体" w:hAnsi="宋体"/>
          <w:b/>
        </w:rPr>
        <w:t>7.2.1</w:t>
      </w:r>
      <w:r>
        <w:rPr>
          <w:rFonts w:hint="eastAsia" w:ascii="宋体" w:hAnsi="宋体"/>
        </w:rPr>
        <w:t xml:space="preserve">  若被检产品明示的质量要求高于本细则中检验项目依据的标准要求时，应按被检产品明示的质量要求判定。</w:t>
      </w:r>
    </w:p>
    <w:p>
      <w:pPr>
        <w:snapToGrid w:val="0"/>
        <w:spacing w:line="360" w:lineRule="auto"/>
        <w:ind w:firstLine="420" w:firstLineChars="200"/>
        <w:rPr>
          <w:rFonts w:ascii="宋体" w:hAnsi="宋体"/>
        </w:rPr>
      </w:pPr>
      <w:r>
        <w:rPr>
          <w:rFonts w:hint="eastAsia" w:ascii="宋体" w:hAnsi="宋体"/>
        </w:rPr>
        <w:t>若被检产品明示的质量要求低于或包含本细则中的检验项目依据的推荐性标准要求时，应以被检产品明示的质量要求判定。</w:t>
      </w:r>
    </w:p>
    <w:p>
      <w:pPr>
        <w:snapToGrid w:val="0"/>
        <w:spacing w:line="360" w:lineRule="auto"/>
        <w:ind w:firstLine="420" w:firstLineChars="200"/>
        <w:rPr>
          <w:rFonts w:ascii="宋体" w:hAnsi="宋体"/>
        </w:rPr>
      </w:pPr>
      <w:r>
        <w:rPr>
          <w:rFonts w:hint="eastAsia" w:ascii="宋体" w:hAnsi="宋体"/>
        </w:rPr>
        <w:t>若被检产品明示的质量要求缺少本细则中检验项目依据的推荐性标准要求时，该项目不参与判定，但应在检验报告备注中进行说明。</w:t>
      </w:r>
    </w:p>
    <w:p>
      <w:pPr>
        <w:snapToGrid w:val="0"/>
        <w:spacing w:line="360" w:lineRule="auto"/>
        <w:rPr>
          <w:rFonts w:ascii="宋体" w:hAnsi="宋体"/>
        </w:rPr>
      </w:pPr>
      <w:r>
        <w:rPr>
          <w:rFonts w:hint="eastAsia" w:ascii="宋体" w:hAnsi="宋体"/>
          <w:b/>
        </w:rPr>
        <w:t>7.2.2</w:t>
      </w:r>
      <w:r>
        <w:rPr>
          <w:rFonts w:hint="eastAsia" w:ascii="宋体" w:hAnsi="宋体"/>
        </w:rPr>
        <w:t xml:space="preserve">  检验设备和检验程序应符合试验方法规定的要求。</w:t>
      </w:r>
    </w:p>
    <w:p>
      <w:pPr>
        <w:snapToGrid w:val="0"/>
        <w:spacing w:line="360" w:lineRule="auto"/>
        <w:rPr>
          <w:rFonts w:ascii="宋体" w:hAnsi="宋体"/>
        </w:rPr>
      </w:pPr>
      <w:r>
        <w:rPr>
          <w:rFonts w:hint="eastAsia" w:ascii="宋体" w:hAnsi="宋体" w:cs="Sim Sun"/>
          <w:b/>
          <w:kern w:val="0"/>
        </w:rPr>
        <w:t>8 判定原则</w:t>
      </w:r>
    </w:p>
    <w:p>
      <w:pPr>
        <w:snapToGrid w:val="0"/>
        <w:spacing w:line="360" w:lineRule="auto"/>
        <w:ind w:firstLine="420" w:firstLineChars="200"/>
        <w:rPr>
          <w:rFonts w:ascii="宋体" w:hAnsi="宋体"/>
        </w:rPr>
      </w:pPr>
      <w:r>
        <w:rPr>
          <w:rFonts w:hint="eastAsia" w:ascii="宋体" w:hAnsi="宋体"/>
        </w:rPr>
        <w:t>经检验，检验项目全部合格，判定为被抽查产品合格；检验项目中任一项或一项以上不合格，判定为被抽查产品不合格。</w:t>
      </w:r>
    </w:p>
    <w:p>
      <w:pPr>
        <w:snapToGrid w:val="0"/>
        <w:spacing w:line="360" w:lineRule="auto"/>
        <w:rPr>
          <w:rFonts w:ascii="宋体" w:hAnsi="宋体"/>
        </w:rPr>
      </w:pPr>
      <w:r>
        <w:rPr>
          <w:rFonts w:hint="eastAsia" w:ascii="宋体" w:hAnsi="宋体" w:cs="Sim Sun"/>
          <w:b/>
          <w:kern w:val="0"/>
        </w:rPr>
        <w:t>9 异议处理复检</w:t>
      </w:r>
    </w:p>
    <w:p>
      <w:pPr>
        <w:adjustRightInd w:val="0"/>
        <w:snapToGrid w:val="0"/>
        <w:spacing w:beforeLines="25" w:line="360" w:lineRule="auto"/>
        <w:ind w:firstLine="420"/>
        <w:rPr>
          <w:rFonts w:ascii="宋体" w:hAnsi="宋体" w:cs="Sim Sun"/>
          <w:kern w:val="0"/>
        </w:rPr>
      </w:pPr>
      <w:r>
        <w:rPr>
          <w:rFonts w:hint="eastAsia" w:ascii="宋体" w:hAnsi="宋体" w:cs="Sim Sun"/>
          <w:kern w:val="0"/>
        </w:rPr>
        <w:t>对判定不合格产品进行复检时，按以下方式进行：</w:t>
      </w:r>
    </w:p>
    <w:p>
      <w:pPr>
        <w:adjustRightInd w:val="0"/>
        <w:snapToGrid w:val="0"/>
        <w:spacing w:beforeLines="25" w:line="360" w:lineRule="auto"/>
        <w:rPr>
          <w:rFonts w:ascii="宋体" w:hAnsi="宋体" w:cs="Sim Sun"/>
          <w:kern w:val="0"/>
        </w:rPr>
      </w:pPr>
      <w:r>
        <w:rPr>
          <w:rFonts w:hint="eastAsia" w:ascii="宋体" w:hAnsi="宋体" w:cs="Sim Sun"/>
          <w:b/>
          <w:kern w:val="0"/>
        </w:rPr>
        <w:t>9.1</w:t>
      </w:r>
      <w:r>
        <w:rPr>
          <w:rFonts w:hint="eastAsia" w:ascii="宋体" w:hAnsi="宋体" w:cs="Sim Sun"/>
          <w:kern w:val="0"/>
        </w:rPr>
        <w:t xml:space="preserve"> 核查不合格项目相关证据，能够以记录（纸质记录或电子记录或影像记录）或与不合格</w:t>
      </w:r>
      <w:r>
        <w:rPr>
          <w:rFonts w:hint="eastAsia" w:ascii="宋体" w:hAnsi="宋体"/>
        </w:rPr>
        <w:t>项目相关联的其他质量数据等检验证据证明。</w:t>
      </w:r>
    </w:p>
    <w:p>
      <w:pPr>
        <w:tabs>
          <w:tab w:val="left" w:pos="5370"/>
        </w:tabs>
        <w:spacing w:line="360" w:lineRule="auto"/>
        <w:rPr>
          <w:rFonts w:ascii="宋体" w:hAnsi="宋体" w:cs="宋体"/>
        </w:rPr>
      </w:pPr>
      <w:r>
        <w:rPr>
          <w:rFonts w:hint="eastAsia" w:ascii="宋体" w:hAnsi="宋体"/>
          <w:b/>
        </w:rPr>
        <w:t>9.2</w:t>
      </w:r>
      <w:r>
        <w:rPr>
          <w:rFonts w:hint="eastAsia" w:ascii="宋体" w:hAnsi="宋体"/>
        </w:rPr>
        <w:t>对需要复检并具备检验条件的，处理企业异议的</w:t>
      </w:r>
      <w:r>
        <w:rPr>
          <w:rFonts w:hint="eastAsia" w:ascii="宋体" w:hAnsi="宋体"/>
          <w:lang w:eastAsia="zh-CN"/>
        </w:rPr>
        <w:t>市场监督管理</w:t>
      </w:r>
      <w:bookmarkStart w:id="0" w:name="_GoBack"/>
      <w:bookmarkEnd w:id="0"/>
      <w:r>
        <w:rPr>
          <w:rFonts w:hint="eastAsia" w:ascii="宋体" w:hAnsi="宋体"/>
        </w:rPr>
        <w:t>部门或者指定检测机构应当按原监督抽查方案对</w:t>
      </w:r>
      <w:r>
        <w:rPr>
          <w:rFonts w:hint="eastAsia" w:ascii="宋体" w:hAnsi="宋体" w:cs="Sim Sun"/>
          <w:kern w:val="0"/>
          <w:szCs w:val="21"/>
          <w:lang w:eastAsia="zh-CN"/>
        </w:rPr>
        <w:t>留存的样品或</w:t>
      </w:r>
      <w:r>
        <w:rPr>
          <w:rFonts w:hint="eastAsia" w:ascii="宋体" w:hAnsi="宋体" w:cs="Sim Sun"/>
          <w:kern w:val="0"/>
          <w:szCs w:val="21"/>
        </w:rPr>
        <w:t>抽取的备用样品</w:t>
      </w:r>
      <w:r>
        <w:rPr>
          <w:rFonts w:hint="eastAsia" w:ascii="宋体" w:hAnsi="宋体"/>
        </w:rPr>
        <w:t>组织复检，并出具检验报告。复检结论为最终结论。</w:t>
      </w:r>
    </w:p>
    <w:p>
      <w:pPr>
        <w:tabs>
          <w:tab w:val="left" w:pos="5370"/>
        </w:tabs>
        <w:spacing w:line="360" w:lineRule="auto"/>
        <w:rPr>
          <w:rFonts w:ascii="宋体"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im Sun">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5774"/>
    <w:rsid w:val="002A7826"/>
    <w:rsid w:val="003359B6"/>
    <w:rsid w:val="004F5774"/>
    <w:rsid w:val="007258E5"/>
    <w:rsid w:val="00B84859"/>
    <w:rsid w:val="00E5254F"/>
    <w:rsid w:val="108C2A82"/>
    <w:rsid w:val="13656362"/>
    <w:rsid w:val="43574B74"/>
    <w:rsid w:val="51D20647"/>
    <w:rsid w:val="53E6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0"/>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278</Words>
  <Characters>1589</Characters>
  <Lines>13</Lines>
  <Paragraphs>3</Paragraphs>
  <TotalTime>0</TotalTime>
  <ScaleCrop>false</ScaleCrop>
  <LinksUpToDate>false</LinksUpToDate>
  <CharactersWithSpaces>1864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2018-10-26T02:37:00Z</dcterms:created>
  <dc:creator>袁艳华</dc:creator>
  <cp:lastModifiedBy>曾永</cp:lastModifiedBy>
  <dcterms:modified xsi:type="dcterms:W3CDTF">2018-10-29T08:37:06Z</dcterms:modified>
  <dc:title>广东省摩托车制动蹄（衬）产品质量监督抽查实施细则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