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不合格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检验项目的说明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ascii="Times New Roman" w:hAnsi="Times New Roman"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  <w:lang w:eastAsia="zh-CN"/>
        </w:rPr>
        <w:t>过氧化值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过氧化值主要反映油脂是否氧化变质。随着油脂氧化，过氧化值会逐步升高，一般不会影响人体健康，但过高时可能会引发肠胃不适、腹泻等症状。Q/HDHSX0002S-2015《苏籽油》中规定，过氧化值要求小于等于6.0mmol/kg</w:t>
      </w:r>
      <w:r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菌落总数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  <w:t>菌落总数是指食品检样经过处理，在一定条件下（如培养基、培养温度和培养时间等）培养后，所得每g(mL)检样中形成的微生物菌落总数，本项目是用来判定食品被细菌污染的程度及卫生质量，反映食品在生产过程中是否符合卫生要求，是对被检样品进行卫生学评价的指标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  <w:t>菌落总数检测不合格的原因包括但不限于以下几种情况：（1）食品加工生产场所卫生条件不合格；（2）食品加工过程中，灭菌环节出现问题；（3）食品包材卫生条件不合格；（4）食品运输、储存条件不适宜等。</w:t>
      </w:r>
    </w:p>
    <w:p>
      <w:pPr>
        <w:numPr>
          <w:ilvl w:val="0"/>
          <w:numId w:val="0"/>
        </w:numPr>
        <w:ind w:firstLine="560"/>
        <w:jc w:val="both"/>
        <w:rPr>
          <w:rFonts w:hint="eastAsia"/>
          <w:lang w:val="en-US"/>
        </w:rPr>
      </w:pPr>
      <w:r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  <w:t>食品菌落总数超标可能破坏食品的营养成分，并影响食品的保质期。食用菌落总数超标的食品，易引起呕吐、腹泻等症状，会对人体健康造成一定影响。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三、脱氢乙酸及其钠盐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PingFang SC"/>
          <w:kern w:val="2"/>
          <w:sz w:val="32"/>
          <w:szCs w:val="32"/>
          <w:lang w:val="en-US" w:eastAsia="zh-CN" w:bidi="ar"/>
        </w:rPr>
        <w:t>脱氢乙酸及其钠盐（以脱氢乙酸计）作为一种广谱食品防腐剂，毒性较低，对霉菌、酵母菌、细菌具有很好的抑制作用。目前广泛用于肉类、鱼类、蔬菜、水果、饮料类、糕点类等的防腐保鲜，按标准规定的范围和使用量使用是安全可靠的。GB 2760-2014《食品安全国家标准 食品添加剂使用标准》中规定，生湿面制品中脱氢乙酸及其钠盐（以脱氢乙酸乙酸计）为不得使用。脱氢乙酸超标的原因可能是个别企业为防止食品腐败变质，超范围或超限量使用了该添加剂，或者可能是在添加过程中未计量或计量不准确。长期大量食用脱氢乙酸及其钠盐超标产品，可能对人体健康产生一定影响。</w:t>
      </w:r>
    </w:p>
    <w:p>
      <w:pPr>
        <w:numPr>
          <w:ilvl w:val="0"/>
          <w:numId w:val="0"/>
        </w:numPr>
        <w:spacing w:line="640" w:lineRule="exact"/>
        <w:ind w:left="640" w:leftChars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四、毒死蜱 </w:t>
      </w:r>
    </w:p>
    <w:p>
      <w:pPr>
        <w:spacing w:line="600" w:lineRule="exact"/>
        <w:ind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毒死蜱属于中低毒、有机磷类农药，主要用于粮食、果树、蔬菜和其他经济作物的杀虫。</w:t>
      </w:r>
      <w:bookmarkStart w:id="0" w:name="OLE_LINK1"/>
      <w:r>
        <w:rPr>
          <w:rFonts w:hint="eastAsia" w:ascii="仿宋_GB2312" w:eastAsia="仿宋_GB2312"/>
          <w:sz w:val="32"/>
          <w:szCs w:val="32"/>
          <w:lang w:val="en-US" w:eastAsia="zh-CN"/>
        </w:rPr>
        <w:t>《食品安全国家标准 食品中农药最大残留限量》（GB 2763-2016）规定普通白菜（包括小油菜）中毒死蜱的最大残留限量为0.1mg/kg。</w:t>
      </w:r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少量的农药残留不会导致急性中毒，但长期食用农药残留超标的蔬菜，可能对人体健康产生一定的不良影响。农药使用者可能对施用农药的方式和时间无明确认识，对国家的限量要求也知之甚少，盲目追求除草、防虫等效果违规滥用农药，从而导致蔬菜中的农药残留超标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4EFC"/>
    <w:rsid w:val="055F092C"/>
    <w:rsid w:val="05B77019"/>
    <w:rsid w:val="09AA0280"/>
    <w:rsid w:val="0F615AEB"/>
    <w:rsid w:val="10C8728E"/>
    <w:rsid w:val="23921B40"/>
    <w:rsid w:val="247352E0"/>
    <w:rsid w:val="24C85C25"/>
    <w:rsid w:val="291931BD"/>
    <w:rsid w:val="2D006C3A"/>
    <w:rsid w:val="2D310ADA"/>
    <w:rsid w:val="30BA5AAF"/>
    <w:rsid w:val="33FC0891"/>
    <w:rsid w:val="34047129"/>
    <w:rsid w:val="39C66D6D"/>
    <w:rsid w:val="3AF774B6"/>
    <w:rsid w:val="3D2D19BD"/>
    <w:rsid w:val="3D686C25"/>
    <w:rsid w:val="425952C2"/>
    <w:rsid w:val="441C59C6"/>
    <w:rsid w:val="47607C54"/>
    <w:rsid w:val="4D390E49"/>
    <w:rsid w:val="4F9A3C7D"/>
    <w:rsid w:val="51AE7AE0"/>
    <w:rsid w:val="53791738"/>
    <w:rsid w:val="53E76EEA"/>
    <w:rsid w:val="55DA6F3F"/>
    <w:rsid w:val="59B573DC"/>
    <w:rsid w:val="6BDF4AC3"/>
    <w:rsid w:val="70545421"/>
    <w:rsid w:val="70E5696D"/>
    <w:rsid w:val="76856093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PingFang SC" w:hAnsi="PingFang SC" w:eastAsia="PingFang SC" w:cs="PingFang SC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2018-11-01T06:03:10Z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