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ADC" w:rsidRDefault="006D0ADC" w:rsidP="002C26AD">
      <w:pPr>
        <w:tabs>
          <w:tab w:val="center" w:pos="4252"/>
        </w:tabs>
        <w:spacing w:beforeLines="50" w:line="320" w:lineRule="exact"/>
        <w:jc w:val="center"/>
        <w:rPr>
          <w:rFonts w:ascii="宋体" w:hAnsi="宋体" w:cs="宋体" w:hint="eastAsia"/>
          <w:b/>
          <w:color w:val="000000"/>
          <w:kern w:val="0"/>
          <w:sz w:val="28"/>
          <w:szCs w:val="28"/>
        </w:rPr>
      </w:pPr>
      <w:r>
        <w:rPr>
          <w:rFonts w:ascii="宋体" w:hAnsi="宋体" w:cs="宋体" w:hint="eastAsia"/>
          <w:b/>
          <w:color w:val="000000"/>
          <w:kern w:val="0"/>
          <w:sz w:val="28"/>
          <w:szCs w:val="28"/>
        </w:rPr>
        <w:t>广东省眼镜镜片（光学树脂镜片）产品质量监督抽查实施细则</w:t>
      </w:r>
    </w:p>
    <w:p w:rsidR="002C26AD" w:rsidRDefault="002C26AD" w:rsidP="002C26AD">
      <w:pPr>
        <w:tabs>
          <w:tab w:val="center" w:pos="4252"/>
        </w:tabs>
        <w:spacing w:beforeLines="50" w:line="320" w:lineRule="exact"/>
        <w:jc w:val="center"/>
        <w:rPr>
          <w:rFonts w:ascii="宋体" w:hAnsi="宋体" w:cs="宋体"/>
          <w:b/>
          <w:color w:val="000000"/>
          <w:kern w:val="0"/>
          <w:sz w:val="28"/>
          <w:szCs w:val="28"/>
        </w:rPr>
      </w:pPr>
    </w:p>
    <w:p w:rsidR="006D0ADC" w:rsidRDefault="006D0ADC" w:rsidP="00EC574A">
      <w:pPr>
        <w:spacing w:beforeLines="50" w:afterLines="50" w:line="360" w:lineRule="auto"/>
        <w:rPr>
          <w:rFonts w:ascii="宋体" w:hAnsi="宋体" w:cs="宋体"/>
          <w:b/>
          <w:kern w:val="0"/>
          <w:szCs w:val="21"/>
        </w:rPr>
      </w:pPr>
      <w:r>
        <w:rPr>
          <w:rFonts w:ascii="宋体" w:hAnsi="宋体" w:cs="宋体" w:hint="eastAsia"/>
          <w:b/>
          <w:kern w:val="0"/>
          <w:szCs w:val="21"/>
        </w:rPr>
        <w:t>1  适用范围</w:t>
      </w:r>
    </w:p>
    <w:p w:rsidR="006D0ADC" w:rsidRDefault="006D0ADC" w:rsidP="006D0ADC">
      <w:pPr>
        <w:snapToGrid w:val="0"/>
        <w:spacing w:line="360" w:lineRule="auto"/>
        <w:ind w:firstLineChars="200" w:firstLine="420"/>
        <w:rPr>
          <w:rFonts w:ascii="宋体" w:hAnsi="宋体" w:cs="Sim Sun"/>
          <w:kern w:val="0"/>
          <w:szCs w:val="21"/>
        </w:rPr>
      </w:pPr>
      <w:r>
        <w:rPr>
          <w:rFonts w:ascii="宋体" w:hAnsi="宋体" w:cs="Sim Sun" w:hint="eastAsia"/>
          <w:kern w:val="0"/>
          <w:szCs w:val="21"/>
        </w:rPr>
        <w:t>本细则适用于</w:t>
      </w:r>
      <w:r>
        <w:rPr>
          <w:rFonts w:ascii="宋体" w:hAnsi="宋体" w:cs="宋体" w:hint="eastAsia"/>
          <w:bCs/>
          <w:kern w:val="0"/>
          <w:szCs w:val="21"/>
        </w:rPr>
        <w:t>广东省</w:t>
      </w:r>
      <w:r>
        <w:rPr>
          <w:rFonts w:ascii="宋体" w:hAnsi="宋体" w:cs="Sim Sun" w:hint="eastAsia"/>
          <w:kern w:val="0"/>
          <w:szCs w:val="21"/>
        </w:rPr>
        <w:t>光学树脂镜片产品质量监督抽查</w:t>
      </w:r>
      <w:r w:rsidR="002C26AD">
        <w:rPr>
          <w:rFonts w:ascii="宋体" w:hAnsi="宋体" w:cs="Sim Sun" w:hint="eastAsia"/>
          <w:kern w:val="0"/>
          <w:szCs w:val="21"/>
        </w:rPr>
        <w:t>，</w:t>
      </w:r>
      <w:r>
        <w:rPr>
          <w:rFonts w:ascii="宋体" w:hAnsi="宋体" w:cs="Sim Sun" w:hint="eastAsia"/>
          <w:kern w:val="0"/>
          <w:szCs w:val="21"/>
        </w:rPr>
        <w:t>监督抽查产品范围为各类材料的</w:t>
      </w:r>
      <w:proofErr w:type="gramStart"/>
      <w:r>
        <w:rPr>
          <w:rFonts w:ascii="宋体" w:hAnsi="宋体" w:cs="Sim Sun" w:hint="eastAsia"/>
          <w:kern w:val="0"/>
          <w:szCs w:val="21"/>
        </w:rPr>
        <w:t>的</w:t>
      </w:r>
      <w:proofErr w:type="gramEnd"/>
      <w:r>
        <w:rPr>
          <w:rFonts w:ascii="宋体" w:hAnsi="宋体" w:cs="Sim Sun" w:hint="eastAsia"/>
          <w:kern w:val="0"/>
          <w:szCs w:val="21"/>
        </w:rPr>
        <w:t>单光和多焦点</w:t>
      </w:r>
      <w:r>
        <w:rPr>
          <w:rFonts w:ascii="宋体" w:hAnsi="宋体" w:cs="Sim Sun"/>
          <w:kern w:val="0"/>
          <w:szCs w:val="21"/>
        </w:rPr>
        <w:t>眼镜</w:t>
      </w:r>
      <w:r>
        <w:rPr>
          <w:rFonts w:ascii="宋体" w:hAnsi="宋体" w:cs="Sim Sun" w:hint="eastAsia"/>
          <w:kern w:val="0"/>
          <w:szCs w:val="21"/>
        </w:rPr>
        <w:t>镜片、渐变焦镜片</w:t>
      </w:r>
      <w:proofErr w:type="gramStart"/>
      <w:r>
        <w:rPr>
          <w:rFonts w:ascii="宋体" w:hAnsi="宋体" w:cs="Sim Sun" w:hint="eastAsia"/>
          <w:kern w:val="0"/>
          <w:szCs w:val="21"/>
        </w:rPr>
        <w:t>以及着</w:t>
      </w:r>
      <w:proofErr w:type="gramEnd"/>
      <w:r>
        <w:rPr>
          <w:rFonts w:ascii="宋体" w:hAnsi="宋体" w:cs="Sim Sun" w:hint="eastAsia"/>
          <w:kern w:val="0"/>
          <w:szCs w:val="21"/>
        </w:rPr>
        <w:t>（染）色眼镜镜片。</w:t>
      </w:r>
    </w:p>
    <w:p w:rsidR="006D0ADC" w:rsidRDefault="006D0ADC" w:rsidP="006D0ADC">
      <w:pPr>
        <w:snapToGrid w:val="0"/>
        <w:spacing w:line="360" w:lineRule="auto"/>
        <w:ind w:firstLineChars="200" w:firstLine="420"/>
        <w:rPr>
          <w:rFonts w:ascii="宋体" w:hAnsi="宋体" w:cs="Sim Sun"/>
          <w:kern w:val="0"/>
          <w:szCs w:val="21"/>
        </w:rPr>
      </w:pPr>
      <w:r>
        <w:rPr>
          <w:rFonts w:ascii="宋体" w:hAnsi="宋体" w:cs="Sim Sun" w:hint="eastAsia"/>
          <w:kern w:val="0"/>
          <w:szCs w:val="21"/>
        </w:rPr>
        <w:t>本细则内容主要包括产品分类、术语和定义、企业规模划分、检验依据、抽样、检验要求、判定原则、异议处理。</w:t>
      </w:r>
    </w:p>
    <w:p w:rsidR="006D0ADC" w:rsidRDefault="006D0ADC" w:rsidP="00EC574A">
      <w:pPr>
        <w:spacing w:beforeLines="50" w:afterLines="50" w:line="360" w:lineRule="auto"/>
        <w:rPr>
          <w:rFonts w:ascii="宋体" w:hAnsi="宋体" w:cs="宋体"/>
          <w:b/>
          <w:kern w:val="0"/>
          <w:szCs w:val="21"/>
        </w:rPr>
      </w:pPr>
      <w:r>
        <w:rPr>
          <w:rFonts w:ascii="宋体" w:hAnsi="宋体" w:cs="宋体" w:hint="eastAsia"/>
          <w:b/>
          <w:kern w:val="0"/>
          <w:szCs w:val="21"/>
        </w:rPr>
        <w:t>2  产品分类</w:t>
      </w:r>
    </w:p>
    <w:p w:rsidR="006D0ADC" w:rsidRDefault="006D0ADC" w:rsidP="00EC574A">
      <w:pPr>
        <w:spacing w:beforeLines="50" w:afterLines="50"/>
        <w:rPr>
          <w:rFonts w:ascii="宋体" w:hAnsi="宋体" w:cs="宋体"/>
          <w:b/>
          <w:kern w:val="0"/>
          <w:szCs w:val="21"/>
        </w:rPr>
      </w:pPr>
      <w:r>
        <w:rPr>
          <w:rFonts w:ascii="宋体" w:hAnsi="宋体" w:cs="宋体" w:hint="eastAsia"/>
          <w:b/>
          <w:kern w:val="0"/>
          <w:szCs w:val="21"/>
        </w:rPr>
        <w:t>2.1产品分类及代码</w:t>
      </w:r>
    </w:p>
    <w:p w:rsidR="006D0ADC" w:rsidRDefault="006D0ADC" w:rsidP="00EC574A">
      <w:pPr>
        <w:spacing w:beforeLines="50" w:afterLines="50"/>
        <w:ind w:firstLineChars="200" w:firstLine="420"/>
        <w:rPr>
          <w:rFonts w:ascii="宋体" w:hAnsi="宋体"/>
          <w:bCs/>
          <w:szCs w:val="21"/>
        </w:rPr>
      </w:pPr>
      <w:r>
        <w:rPr>
          <w:rFonts w:ascii="宋体" w:hAnsi="宋体" w:hint="eastAsia"/>
          <w:bCs/>
          <w:szCs w:val="21"/>
        </w:rPr>
        <w:t>产品分类及代码见表1。</w:t>
      </w:r>
    </w:p>
    <w:p w:rsidR="006D0ADC" w:rsidRDefault="006D0ADC" w:rsidP="006D0ADC">
      <w:pPr>
        <w:spacing w:line="360" w:lineRule="auto"/>
        <w:jc w:val="center"/>
        <w:rPr>
          <w:rFonts w:ascii="宋体" w:hAnsi="宋体" w:cs="宋体"/>
          <w:b/>
          <w:kern w:val="0"/>
          <w:szCs w:val="21"/>
        </w:rPr>
      </w:pPr>
      <w:r>
        <w:rPr>
          <w:rFonts w:ascii="宋体" w:hAnsi="宋体" w:cs="宋体" w:hint="eastAsia"/>
          <w:b/>
          <w:kern w:val="0"/>
          <w:szCs w:val="21"/>
        </w:rPr>
        <w:t>表1　产品分类及代码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2268"/>
        <w:gridCol w:w="2835"/>
        <w:gridCol w:w="1628"/>
      </w:tblGrid>
      <w:tr w:rsidR="006D0ADC" w:rsidTr="00D90343">
        <w:trPr>
          <w:cantSplit/>
        </w:trPr>
        <w:tc>
          <w:tcPr>
            <w:tcW w:w="1809"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产品分类</w:t>
            </w:r>
          </w:p>
        </w:tc>
        <w:tc>
          <w:tcPr>
            <w:tcW w:w="2268"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一级分类</w:t>
            </w:r>
          </w:p>
        </w:tc>
        <w:tc>
          <w:tcPr>
            <w:tcW w:w="2835"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二级分类</w:t>
            </w:r>
          </w:p>
        </w:tc>
        <w:tc>
          <w:tcPr>
            <w:tcW w:w="1628"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三级分类</w:t>
            </w:r>
          </w:p>
        </w:tc>
      </w:tr>
      <w:tr w:rsidR="006D0ADC" w:rsidTr="00D90343">
        <w:trPr>
          <w:cantSplit/>
        </w:trPr>
        <w:tc>
          <w:tcPr>
            <w:tcW w:w="1809"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分类代码</w:t>
            </w:r>
          </w:p>
        </w:tc>
        <w:tc>
          <w:tcPr>
            <w:tcW w:w="2268"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483</w:t>
            </w:r>
          </w:p>
        </w:tc>
        <w:tc>
          <w:tcPr>
            <w:tcW w:w="2835"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48312</w:t>
            </w:r>
          </w:p>
        </w:tc>
        <w:tc>
          <w:tcPr>
            <w:tcW w:w="1628"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48312.200</w:t>
            </w:r>
          </w:p>
        </w:tc>
      </w:tr>
      <w:tr w:rsidR="006D0ADC" w:rsidTr="00D90343">
        <w:trPr>
          <w:cantSplit/>
        </w:trPr>
        <w:tc>
          <w:tcPr>
            <w:tcW w:w="1809"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分类名称</w:t>
            </w:r>
          </w:p>
        </w:tc>
        <w:tc>
          <w:tcPr>
            <w:tcW w:w="2268"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光学仪器和摄影设备及其专用零件和附件</w:t>
            </w:r>
          </w:p>
        </w:tc>
        <w:tc>
          <w:tcPr>
            <w:tcW w:w="2835" w:type="dxa"/>
            <w:vAlign w:val="center"/>
          </w:tcPr>
          <w:p w:rsidR="006D0ADC" w:rsidRDefault="006D0ADC" w:rsidP="00D90343">
            <w:pPr>
              <w:jc w:val="center"/>
              <w:rPr>
                <w:rFonts w:ascii="宋体" w:hAnsi="宋体" w:cs="宋体"/>
                <w:bCs/>
                <w:sz w:val="18"/>
                <w:szCs w:val="18"/>
              </w:rPr>
            </w:pPr>
            <w:r>
              <w:rPr>
                <w:rFonts w:ascii="宋体" w:hAnsi="宋体" w:cs="宋体" w:hint="eastAsia"/>
                <w:sz w:val="18"/>
                <w:szCs w:val="18"/>
              </w:rPr>
              <w:t>矫正视力、保护眼睛或其他用途的眼镜、挡风镜和类似品；眼镜片</w:t>
            </w:r>
          </w:p>
        </w:tc>
        <w:tc>
          <w:tcPr>
            <w:tcW w:w="1628" w:type="dxa"/>
            <w:vAlign w:val="center"/>
          </w:tcPr>
          <w:p w:rsidR="006D0ADC" w:rsidRDefault="006D0ADC" w:rsidP="00D90343">
            <w:pPr>
              <w:jc w:val="center"/>
              <w:rPr>
                <w:rFonts w:ascii="宋体" w:hAnsi="宋体" w:cs="宋体"/>
                <w:sz w:val="18"/>
                <w:szCs w:val="18"/>
              </w:rPr>
            </w:pPr>
            <w:r>
              <w:rPr>
                <w:rFonts w:ascii="宋体" w:hAnsi="宋体" w:cs="宋体" w:hint="eastAsia"/>
                <w:sz w:val="18"/>
                <w:szCs w:val="18"/>
              </w:rPr>
              <w:t>眼镜片</w:t>
            </w:r>
          </w:p>
        </w:tc>
      </w:tr>
      <w:tr w:rsidR="006D0ADC" w:rsidTr="00D90343">
        <w:trPr>
          <w:cantSplit/>
        </w:trPr>
        <w:tc>
          <w:tcPr>
            <w:tcW w:w="8540" w:type="dxa"/>
            <w:gridSpan w:val="4"/>
            <w:vAlign w:val="center"/>
          </w:tcPr>
          <w:p w:rsidR="006D0ADC" w:rsidRDefault="006D0ADC" w:rsidP="00D90343">
            <w:pPr>
              <w:rPr>
                <w:rFonts w:ascii="宋体" w:hAnsi="宋体" w:cs="宋体"/>
                <w:sz w:val="18"/>
                <w:szCs w:val="18"/>
              </w:rPr>
            </w:pPr>
            <w:r>
              <w:rPr>
                <w:rFonts w:ascii="宋体" w:hAnsi="宋体" w:cs="宋体" w:hint="eastAsia"/>
                <w:sz w:val="18"/>
                <w:szCs w:val="18"/>
              </w:rPr>
              <w:t>备注：依据GB/T 7635.1-2002《全国主要产品分类与代码 第1部分:可运输产品(上)》分类</w:t>
            </w:r>
          </w:p>
        </w:tc>
      </w:tr>
    </w:tbl>
    <w:p w:rsidR="006D0ADC" w:rsidRDefault="006D0ADC" w:rsidP="00EC574A">
      <w:pPr>
        <w:spacing w:beforeLines="50" w:afterLines="50"/>
        <w:rPr>
          <w:rFonts w:ascii="宋体" w:hAnsi="宋体" w:cs="宋体"/>
          <w:b/>
          <w:kern w:val="0"/>
          <w:szCs w:val="21"/>
        </w:rPr>
      </w:pPr>
      <w:r>
        <w:rPr>
          <w:rFonts w:ascii="宋体" w:hAnsi="宋体" w:cs="宋体" w:hint="eastAsia"/>
          <w:b/>
          <w:kern w:val="0"/>
          <w:szCs w:val="21"/>
        </w:rPr>
        <w:t>2.2产品种类</w:t>
      </w:r>
    </w:p>
    <w:p w:rsidR="006D0ADC" w:rsidRDefault="006D0ADC" w:rsidP="006D0ADC">
      <w:pPr>
        <w:spacing w:line="360" w:lineRule="auto"/>
        <w:rPr>
          <w:rFonts w:ascii="宋体" w:hAnsi="宋体" w:cs="宋体"/>
          <w:bCs/>
          <w:szCs w:val="21"/>
        </w:rPr>
      </w:pPr>
      <w:r>
        <w:rPr>
          <w:rFonts w:ascii="宋体" w:hAnsi="宋体" w:cs="宋体" w:hint="eastAsia"/>
          <w:b/>
          <w:szCs w:val="21"/>
        </w:rPr>
        <w:t>2.2.1</w:t>
      </w:r>
      <w:r>
        <w:rPr>
          <w:rFonts w:ascii="宋体" w:hAnsi="宋体" w:cs="宋体" w:hint="eastAsia"/>
          <w:bCs/>
          <w:szCs w:val="21"/>
        </w:rPr>
        <w:t xml:space="preserve"> 按视距类别可分为单光眼镜片、双光眼镜片、渐变焦眼镜片。</w:t>
      </w:r>
    </w:p>
    <w:p w:rsidR="006D0ADC" w:rsidRDefault="006D0ADC" w:rsidP="006D0ADC">
      <w:pPr>
        <w:spacing w:line="360" w:lineRule="auto"/>
        <w:rPr>
          <w:rFonts w:ascii="宋体" w:hAnsi="宋体" w:cs="宋体"/>
          <w:bCs/>
          <w:szCs w:val="21"/>
        </w:rPr>
      </w:pPr>
      <w:r>
        <w:rPr>
          <w:rFonts w:ascii="宋体" w:hAnsi="宋体" w:cs="宋体" w:hint="eastAsia"/>
          <w:b/>
          <w:szCs w:val="21"/>
        </w:rPr>
        <w:t xml:space="preserve">2.2.2 </w:t>
      </w:r>
      <w:r>
        <w:rPr>
          <w:rFonts w:ascii="宋体" w:hAnsi="宋体" w:cs="宋体" w:hint="eastAsia"/>
          <w:bCs/>
          <w:szCs w:val="21"/>
        </w:rPr>
        <w:t>按生产方式不同可分为批量生产眼镜片、车房眼镜片。</w:t>
      </w:r>
    </w:p>
    <w:p w:rsidR="006D0ADC" w:rsidRDefault="006D0ADC" w:rsidP="006D0ADC">
      <w:pPr>
        <w:spacing w:line="360" w:lineRule="auto"/>
        <w:rPr>
          <w:rFonts w:ascii="宋体" w:hAnsi="宋体" w:cs="宋体"/>
          <w:bCs/>
          <w:szCs w:val="21"/>
        </w:rPr>
      </w:pPr>
      <w:r>
        <w:rPr>
          <w:rFonts w:ascii="宋体" w:hAnsi="宋体" w:cs="宋体" w:hint="eastAsia"/>
          <w:b/>
          <w:szCs w:val="21"/>
        </w:rPr>
        <w:t>2.2.3</w:t>
      </w:r>
      <w:r>
        <w:rPr>
          <w:rFonts w:ascii="宋体" w:hAnsi="宋体" w:cs="宋体" w:hint="eastAsia"/>
          <w:bCs/>
          <w:szCs w:val="21"/>
        </w:rPr>
        <w:t xml:space="preserve"> 按镀膜情况不同可分为无镀膜眼镜片、加硬加膜眼镜片。</w:t>
      </w:r>
    </w:p>
    <w:p w:rsidR="006D0ADC" w:rsidRDefault="006D0ADC" w:rsidP="00EC574A">
      <w:pPr>
        <w:spacing w:beforeLines="50" w:afterLines="50" w:line="360" w:lineRule="auto"/>
        <w:rPr>
          <w:rFonts w:ascii="宋体" w:hAnsi="宋体" w:cs="宋体"/>
          <w:b/>
          <w:szCs w:val="21"/>
        </w:rPr>
      </w:pPr>
      <w:r>
        <w:rPr>
          <w:rFonts w:ascii="宋体" w:hAnsi="宋体" w:cs="宋体" w:hint="eastAsia"/>
          <w:b/>
          <w:szCs w:val="21"/>
        </w:rPr>
        <w:t>3  术语和定义</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下列术语和定义适用于本细则。本细则中未列出的术语和定义同相关引用标准。</w:t>
      </w:r>
    </w:p>
    <w:p w:rsidR="006D0ADC" w:rsidRDefault="006D0ADC" w:rsidP="006D0ADC">
      <w:pPr>
        <w:spacing w:line="360" w:lineRule="auto"/>
        <w:rPr>
          <w:rFonts w:ascii="宋体" w:hAnsi="宋体" w:cs="宋体"/>
          <w:b/>
          <w:szCs w:val="21"/>
        </w:rPr>
      </w:pPr>
      <w:r>
        <w:rPr>
          <w:rFonts w:ascii="宋体" w:hAnsi="宋体" w:cs="宋体" w:hint="eastAsia"/>
          <w:b/>
          <w:szCs w:val="21"/>
        </w:rPr>
        <w:t>3.1 单光眼镜镜片</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具有单视距功能的镜片（如球镜，球-柱镜，</w:t>
      </w:r>
      <w:proofErr w:type="gramStart"/>
      <w:r>
        <w:rPr>
          <w:rFonts w:ascii="宋体" w:hAnsi="宋体" w:cs="宋体" w:hint="eastAsia"/>
          <w:bCs/>
          <w:szCs w:val="21"/>
        </w:rPr>
        <w:t>柱镜等</w:t>
      </w:r>
      <w:proofErr w:type="gramEnd"/>
      <w:r>
        <w:rPr>
          <w:rFonts w:ascii="宋体" w:hAnsi="宋体" w:cs="宋体" w:hint="eastAsia"/>
          <w:bCs/>
          <w:szCs w:val="21"/>
        </w:rPr>
        <w:t>）。</w:t>
      </w:r>
    </w:p>
    <w:p w:rsidR="006D0ADC" w:rsidRDefault="006D0ADC" w:rsidP="006D0ADC">
      <w:pPr>
        <w:spacing w:line="360" w:lineRule="auto"/>
        <w:rPr>
          <w:rFonts w:ascii="宋体" w:hAnsi="宋体" w:cs="宋体"/>
          <w:b/>
          <w:szCs w:val="21"/>
        </w:rPr>
      </w:pPr>
      <w:r>
        <w:rPr>
          <w:rFonts w:ascii="宋体" w:hAnsi="宋体" w:cs="宋体" w:hint="eastAsia"/>
          <w:b/>
          <w:szCs w:val="21"/>
        </w:rPr>
        <w:t>3.2 多焦点镜片</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在主镜片上附有一个或几个子镜片，从而具有双视距或多视距功能的镜片（不包括渐变焦镜片）。</w:t>
      </w:r>
    </w:p>
    <w:p w:rsidR="006D0ADC" w:rsidRDefault="006D0ADC" w:rsidP="006D0ADC">
      <w:pPr>
        <w:spacing w:line="360" w:lineRule="auto"/>
        <w:rPr>
          <w:rFonts w:ascii="宋体" w:hAnsi="宋体" w:cs="宋体"/>
          <w:b/>
          <w:szCs w:val="21"/>
        </w:rPr>
      </w:pPr>
      <w:r>
        <w:rPr>
          <w:rFonts w:ascii="宋体" w:hAnsi="宋体" w:cs="宋体" w:hint="eastAsia"/>
          <w:b/>
          <w:szCs w:val="21"/>
        </w:rPr>
        <w:t>3.3 渐变焦眼镜镜片</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镜片的一个表面不是旋转对称的，在镜片某一部分或整个镜片上，其顶焦度是连续变化。</w:t>
      </w:r>
    </w:p>
    <w:p w:rsidR="006D0ADC" w:rsidRDefault="006D0ADC" w:rsidP="00EC574A">
      <w:pPr>
        <w:spacing w:beforeLines="50" w:afterLines="50" w:line="360" w:lineRule="auto"/>
        <w:rPr>
          <w:rFonts w:ascii="宋体" w:hAnsi="宋体" w:cs="宋体"/>
          <w:b/>
          <w:szCs w:val="21"/>
        </w:rPr>
      </w:pPr>
      <w:r>
        <w:rPr>
          <w:rFonts w:ascii="宋体" w:hAnsi="宋体" w:cs="宋体" w:hint="eastAsia"/>
          <w:b/>
          <w:szCs w:val="21"/>
        </w:rPr>
        <w:lastRenderedPageBreak/>
        <w:t>4  企业规模划分</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根据眼镜行业的实际情况，生产企业规模以眼镜镜片产品年销售额为标准划分为大、中、小型企业，见表2。</w:t>
      </w:r>
    </w:p>
    <w:p w:rsidR="006D0ADC" w:rsidRDefault="006D0ADC" w:rsidP="006D0ADC">
      <w:pPr>
        <w:spacing w:line="360" w:lineRule="auto"/>
        <w:jc w:val="center"/>
        <w:rPr>
          <w:rFonts w:ascii="宋体" w:hAnsi="宋体" w:cs="宋体"/>
          <w:b/>
          <w:kern w:val="0"/>
          <w:szCs w:val="21"/>
        </w:rPr>
      </w:pPr>
      <w:r>
        <w:rPr>
          <w:rFonts w:ascii="宋体" w:hAnsi="宋体" w:cs="宋体" w:hint="eastAsia"/>
          <w:b/>
          <w:kern w:val="0"/>
          <w:szCs w:val="21"/>
        </w:rPr>
        <w:t>表2　企业产品生产规模划分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8"/>
        <w:gridCol w:w="1943"/>
        <w:gridCol w:w="2522"/>
        <w:gridCol w:w="1955"/>
      </w:tblGrid>
      <w:tr w:rsidR="006D0ADC" w:rsidTr="00D90343">
        <w:trPr>
          <w:trHeight w:val="425"/>
          <w:jc w:val="center"/>
        </w:trPr>
        <w:tc>
          <w:tcPr>
            <w:tcW w:w="2028" w:type="dxa"/>
            <w:vAlign w:val="center"/>
          </w:tcPr>
          <w:p w:rsidR="006D0ADC" w:rsidRDefault="006D0ADC" w:rsidP="00D90343">
            <w:pPr>
              <w:jc w:val="center"/>
              <w:rPr>
                <w:rFonts w:ascii="宋体" w:hAnsi="宋体" w:cs="宋体"/>
                <w:color w:val="000000"/>
                <w:sz w:val="18"/>
                <w:szCs w:val="18"/>
              </w:rPr>
            </w:pPr>
            <w:r>
              <w:rPr>
                <w:rFonts w:ascii="宋体" w:hAnsi="宋体" w:cs="宋体" w:hint="eastAsia"/>
                <w:color w:val="000000"/>
                <w:sz w:val="18"/>
                <w:szCs w:val="18"/>
              </w:rPr>
              <w:t>企业产品生产规模</w:t>
            </w:r>
          </w:p>
        </w:tc>
        <w:tc>
          <w:tcPr>
            <w:tcW w:w="1943"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sz w:val="18"/>
                <w:szCs w:val="18"/>
              </w:rPr>
              <w:t>大型企业</w:t>
            </w:r>
          </w:p>
        </w:tc>
        <w:tc>
          <w:tcPr>
            <w:tcW w:w="2522"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sz w:val="18"/>
                <w:szCs w:val="18"/>
              </w:rPr>
              <w:t>中型企业</w:t>
            </w:r>
          </w:p>
        </w:tc>
        <w:tc>
          <w:tcPr>
            <w:tcW w:w="1955"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sz w:val="18"/>
                <w:szCs w:val="18"/>
              </w:rPr>
              <w:t>小型企业</w:t>
            </w:r>
          </w:p>
        </w:tc>
      </w:tr>
      <w:tr w:rsidR="006D0ADC" w:rsidTr="00D90343">
        <w:trPr>
          <w:trHeight w:val="425"/>
          <w:jc w:val="center"/>
        </w:trPr>
        <w:tc>
          <w:tcPr>
            <w:tcW w:w="2028"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sz w:val="18"/>
                <w:szCs w:val="18"/>
              </w:rPr>
              <w:t>销售额/万元</w:t>
            </w:r>
          </w:p>
        </w:tc>
        <w:tc>
          <w:tcPr>
            <w:tcW w:w="1943"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bCs/>
                <w:kern w:val="0"/>
                <w:sz w:val="18"/>
                <w:szCs w:val="18"/>
              </w:rPr>
              <w:t>≥3000万</w:t>
            </w:r>
          </w:p>
        </w:tc>
        <w:tc>
          <w:tcPr>
            <w:tcW w:w="2522"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bCs/>
                <w:kern w:val="0"/>
                <w:sz w:val="18"/>
                <w:szCs w:val="18"/>
              </w:rPr>
              <w:t>≥500万，且&lt;3000万</w:t>
            </w:r>
          </w:p>
        </w:tc>
        <w:tc>
          <w:tcPr>
            <w:tcW w:w="1955" w:type="dxa"/>
            <w:vAlign w:val="center"/>
          </w:tcPr>
          <w:p w:rsidR="006D0ADC" w:rsidRDefault="006D0ADC" w:rsidP="00D90343">
            <w:pPr>
              <w:tabs>
                <w:tab w:val="center" w:pos="4153"/>
                <w:tab w:val="right" w:pos="8306"/>
              </w:tabs>
              <w:snapToGrid w:val="0"/>
              <w:jc w:val="center"/>
              <w:rPr>
                <w:rFonts w:ascii="宋体" w:hAnsi="宋体"/>
                <w:sz w:val="18"/>
                <w:szCs w:val="18"/>
              </w:rPr>
            </w:pPr>
            <w:r>
              <w:rPr>
                <w:rFonts w:ascii="宋体" w:hAnsi="宋体" w:hint="eastAsia"/>
                <w:bCs/>
                <w:kern w:val="0"/>
                <w:sz w:val="18"/>
                <w:szCs w:val="18"/>
              </w:rPr>
              <w:t>&lt;500万</w:t>
            </w:r>
          </w:p>
        </w:tc>
      </w:tr>
    </w:tbl>
    <w:p w:rsidR="006D0ADC" w:rsidRDefault="006D0ADC" w:rsidP="006D0ADC">
      <w:pPr>
        <w:spacing w:line="360" w:lineRule="auto"/>
        <w:rPr>
          <w:rFonts w:ascii="宋体" w:hAnsi="宋体"/>
          <w:bCs/>
          <w:sz w:val="18"/>
          <w:szCs w:val="18"/>
        </w:rPr>
      </w:pPr>
      <w:r>
        <w:rPr>
          <w:rFonts w:ascii="宋体" w:hAnsi="宋体" w:hint="eastAsia"/>
          <w:bCs/>
          <w:sz w:val="18"/>
          <w:szCs w:val="18"/>
        </w:rPr>
        <w:t>注：年销售额包括产品的内销和外销总额。</w:t>
      </w:r>
    </w:p>
    <w:p w:rsidR="006D0ADC" w:rsidRDefault="006D0ADC" w:rsidP="00EC574A">
      <w:pPr>
        <w:spacing w:beforeLines="50" w:afterLines="50" w:line="360" w:lineRule="auto"/>
        <w:rPr>
          <w:rFonts w:ascii="宋体" w:hAnsi="宋体" w:cs="宋体"/>
          <w:b/>
          <w:szCs w:val="21"/>
        </w:rPr>
      </w:pPr>
      <w:r>
        <w:rPr>
          <w:rFonts w:ascii="宋体" w:hAnsi="宋体" w:cs="宋体" w:hint="eastAsia"/>
          <w:b/>
          <w:szCs w:val="21"/>
        </w:rPr>
        <w:t>5  检验依据</w:t>
      </w:r>
    </w:p>
    <w:p w:rsidR="006D0ADC" w:rsidRDefault="006D0ADC" w:rsidP="006D0ADC">
      <w:pPr>
        <w:spacing w:line="360" w:lineRule="auto"/>
        <w:ind w:rightChars="-148" w:right="-311" w:firstLineChars="257" w:firstLine="540"/>
        <w:rPr>
          <w:rFonts w:ascii="宋体" w:hAnsi="宋体" w:cs="宋体"/>
          <w:bCs/>
          <w:szCs w:val="21"/>
        </w:rPr>
      </w:pPr>
      <w:r>
        <w:rPr>
          <w:rFonts w:ascii="宋体" w:hAnsi="宋体" w:cs="宋体" w:hint="eastAsia"/>
          <w:bCs/>
          <w:szCs w:val="21"/>
        </w:rPr>
        <w:t>凡是注日期的文件，其随后所有的修改单（不包括勘误的内容）或修订版不适用于本细则，凡是不注日期的引用文件，其最新版本适用于本细则。</w:t>
      </w:r>
    </w:p>
    <w:p w:rsidR="006D0ADC" w:rsidRDefault="006D0ADC" w:rsidP="006D0ADC">
      <w:pPr>
        <w:spacing w:line="440" w:lineRule="exact"/>
        <w:ind w:rightChars="-148" w:right="-311" w:firstLineChars="257" w:firstLine="540"/>
        <w:rPr>
          <w:rFonts w:ascii="宋体" w:hAnsi="宋体" w:cs="宋体"/>
          <w:bCs/>
          <w:szCs w:val="21"/>
        </w:rPr>
      </w:pPr>
      <w:r>
        <w:rPr>
          <w:rFonts w:ascii="宋体" w:hAnsi="宋体" w:cs="宋体" w:hint="eastAsia"/>
          <w:bCs/>
          <w:szCs w:val="21"/>
        </w:rPr>
        <w:t>GB 10810.1-2005  眼镜镜片 第1部分：单光和多焦点镜片</w:t>
      </w:r>
    </w:p>
    <w:p w:rsidR="006D0ADC" w:rsidRDefault="006D0ADC" w:rsidP="006D0ADC">
      <w:pPr>
        <w:spacing w:line="440" w:lineRule="exact"/>
        <w:ind w:rightChars="-148" w:right="-311" w:firstLineChars="257" w:firstLine="540"/>
        <w:rPr>
          <w:rFonts w:ascii="宋体" w:hAnsi="宋体" w:cs="宋体"/>
          <w:bCs/>
          <w:szCs w:val="21"/>
        </w:rPr>
      </w:pPr>
      <w:r>
        <w:rPr>
          <w:rFonts w:ascii="宋体" w:hAnsi="宋体" w:cs="宋体" w:hint="eastAsia"/>
          <w:bCs/>
          <w:szCs w:val="21"/>
        </w:rPr>
        <w:t>GB 10810.3-2006  眼镜镜片及相关眼镜产品 第3部分：透射比规范及测量方法</w:t>
      </w:r>
    </w:p>
    <w:p w:rsidR="006D0ADC" w:rsidRDefault="006D0ADC" w:rsidP="006D0ADC">
      <w:pPr>
        <w:spacing w:line="440" w:lineRule="exact"/>
        <w:ind w:rightChars="-148" w:right="-311" w:firstLineChars="257" w:firstLine="540"/>
        <w:rPr>
          <w:rFonts w:ascii="宋体" w:hAnsi="宋体" w:cs="宋体"/>
          <w:bCs/>
          <w:szCs w:val="21"/>
        </w:rPr>
      </w:pPr>
      <w:r>
        <w:rPr>
          <w:rFonts w:ascii="宋体" w:hAnsi="宋体" w:cs="宋体" w:hint="eastAsia"/>
          <w:bCs/>
          <w:szCs w:val="21"/>
        </w:rPr>
        <w:t>QB/T 2506-2017   眼镜镜片 光学树脂镜片</w:t>
      </w:r>
    </w:p>
    <w:p w:rsidR="006D0ADC" w:rsidRDefault="006D0ADC" w:rsidP="006D0ADC">
      <w:pPr>
        <w:spacing w:line="440" w:lineRule="exact"/>
        <w:ind w:rightChars="-148" w:right="-311" w:firstLineChars="257" w:firstLine="540"/>
        <w:rPr>
          <w:rFonts w:ascii="宋体" w:hAnsi="宋体" w:cs="宋体"/>
          <w:szCs w:val="21"/>
        </w:rPr>
      </w:pPr>
      <w:r>
        <w:rPr>
          <w:rFonts w:ascii="宋体" w:hAnsi="宋体" w:cs="宋体" w:hint="eastAsia"/>
          <w:szCs w:val="21"/>
        </w:rPr>
        <w:t>相关的法律法规、部门规章和规范</w:t>
      </w:r>
    </w:p>
    <w:p w:rsidR="006D0ADC" w:rsidRDefault="006D0ADC" w:rsidP="006D0ADC">
      <w:pPr>
        <w:spacing w:line="440" w:lineRule="exact"/>
        <w:ind w:rightChars="-148" w:right="-311" w:firstLineChars="257" w:firstLine="540"/>
        <w:rPr>
          <w:rFonts w:ascii="宋体" w:hAnsi="宋体" w:cs="宋体"/>
          <w:szCs w:val="21"/>
        </w:rPr>
      </w:pPr>
      <w:r>
        <w:rPr>
          <w:rFonts w:ascii="宋体" w:hAnsi="宋体" w:cs="宋体" w:hint="eastAsia"/>
          <w:szCs w:val="21"/>
        </w:rPr>
        <w:t>经备案现行有效的企业标准及产品明示质量指标和要求。</w:t>
      </w:r>
    </w:p>
    <w:p w:rsidR="006D0ADC" w:rsidRDefault="006D0ADC" w:rsidP="00EC574A">
      <w:pPr>
        <w:spacing w:beforeLines="50" w:afterLines="50" w:line="360" w:lineRule="auto"/>
        <w:rPr>
          <w:rFonts w:ascii="宋体" w:hAnsi="宋体" w:cs="宋体"/>
          <w:b/>
          <w:szCs w:val="21"/>
        </w:rPr>
      </w:pPr>
      <w:r>
        <w:rPr>
          <w:rFonts w:ascii="宋体" w:hAnsi="宋体" w:cs="宋体" w:hint="eastAsia"/>
          <w:b/>
          <w:szCs w:val="21"/>
        </w:rPr>
        <w:t>6  抽样</w:t>
      </w:r>
    </w:p>
    <w:p w:rsidR="006D0ADC" w:rsidRDefault="006D0ADC" w:rsidP="006D0ADC">
      <w:pPr>
        <w:spacing w:line="360" w:lineRule="auto"/>
        <w:rPr>
          <w:rFonts w:ascii="宋体" w:hAnsi="宋体" w:cs="宋体"/>
          <w:b/>
          <w:szCs w:val="21"/>
        </w:rPr>
      </w:pPr>
      <w:r>
        <w:rPr>
          <w:rFonts w:ascii="宋体" w:hAnsi="宋体" w:cs="宋体" w:hint="eastAsia"/>
          <w:b/>
          <w:szCs w:val="21"/>
        </w:rPr>
        <w:t>6.1 抽样型号或规格</w:t>
      </w:r>
    </w:p>
    <w:p w:rsidR="006D0ADC" w:rsidRDefault="006D0ADC" w:rsidP="006D0ADC">
      <w:pPr>
        <w:spacing w:line="360" w:lineRule="auto"/>
        <w:ind w:firstLineChars="257" w:firstLine="540"/>
        <w:rPr>
          <w:rFonts w:ascii="宋体" w:hAnsi="宋体" w:cs="宋体"/>
          <w:bCs/>
          <w:szCs w:val="21"/>
        </w:rPr>
      </w:pPr>
      <w:r>
        <w:rPr>
          <w:rFonts w:ascii="宋体" w:hAnsi="宋体" w:cs="宋体" w:hint="eastAsia"/>
          <w:bCs/>
          <w:szCs w:val="21"/>
        </w:rPr>
        <w:t>眼镜镜片样品</w:t>
      </w:r>
      <w:proofErr w:type="gramStart"/>
      <w:r>
        <w:rPr>
          <w:rFonts w:ascii="宋体" w:hAnsi="宋体" w:cs="宋体" w:hint="eastAsia"/>
          <w:bCs/>
          <w:szCs w:val="21"/>
        </w:rPr>
        <w:t>按符合</w:t>
      </w:r>
      <w:proofErr w:type="gramEnd"/>
      <w:r>
        <w:rPr>
          <w:rFonts w:ascii="宋体" w:hAnsi="宋体" w:cs="宋体" w:hint="eastAsia"/>
          <w:bCs/>
          <w:szCs w:val="21"/>
        </w:rPr>
        <w:t>本细则第2.2条的产品种类进行抽取，优先抽取顶焦度大于﹢2.00D且带有</w:t>
      </w:r>
      <w:proofErr w:type="gramStart"/>
      <w:r>
        <w:rPr>
          <w:rFonts w:ascii="宋体" w:hAnsi="宋体" w:cs="宋体" w:hint="eastAsia"/>
          <w:bCs/>
          <w:szCs w:val="21"/>
        </w:rPr>
        <w:t>柱镜度</w:t>
      </w:r>
      <w:proofErr w:type="gramEnd"/>
      <w:r>
        <w:rPr>
          <w:rFonts w:ascii="宋体" w:hAnsi="宋体" w:cs="宋体" w:hint="eastAsia"/>
          <w:bCs/>
          <w:szCs w:val="21"/>
        </w:rPr>
        <w:t>的镜片，同批次样品，顶焦度应该一致。</w:t>
      </w:r>
    </w:p>
    <w:p w:rsidR="006D0ADC" w:rsidRDefault="006D0ADC" w:rsidP="006D0ADC">
      <w:pPr>
        <w:spacing w:line="360" w:lineRule="auto"/>
        <w:rPr>
          <w:rFonts w:ascii="宋体" w:hAnsi="宋体" w:cs="宋体"/>
          <w:b/>
          <w:kern w:val="0"/>
          <w:szCs w:val="21"/>
        </w:rPr>
      </w:pPr>
      <w:r>
        <w:rPr>
          <w:rFonts w:ascii="宋体" w:hAnsi="宋体" w:cs="宋体" w:hint="eastAsia"/>
          <w:b/>
          <w:szCs w:val="21"/>
        </w:rPr>
        <w:t>6.2 抽样方法</w:t>
      </w:r>
      <w:r>
        <w:rPr>
          <w:rFonts w:ascii="宋体" w:hAnsi="宋体" w:cs="宋体" w:hint="eastAsia"/>
          <w:b/>
          <w:kern w:val="0"/>
          <w:szCs w:val="21"/>
        </w:rPr>
        <w:t>、基数及数量</w:t>
      </w:r>
    </w:p>
    <w:p w:rsidR="006D0ADC" w:rsidRDefault="006D0ADC" w:rsidP="006D0ADC">
      <w:pPr>
        <w:spacing w:line="360" w:lineRule="auto"/>
        <w:rPr>
          <w:rFonts w:ascii="宋体" w:hAnsi="宋体" w:cs="宋体"/>
          <w:bCs/>
          <w:szCs w:val="21"/>
        </w:rPr>
      </w:pPr>
      <w:r>
        <w:rPr>
          <w:rFonts w:ascii="宋体" w:hAnsi="宋体" w:cs="宋体" w:hint="eastAsia"/>
          <w:b/>
          <w:szCs w:val="21"/>
        </w:rPr>
        <w:t>6.2.1</w:t>
      </w:r>
      <w:r>
        <w:rPr>
          <w:rFonts w:ascii="宋体" w:hAnsi="宋体" w:cs="宋体" w:hint="eastAsia"/>
          <w:bCs/>
          <w:szCs w:val="21"/>
        </w:rPr>
        <w:t>在生产企业的成品仓库随机抽取经企业检验合格的产品。</w:t>
      </w:r>
    </w:p>
    <w:p w:rsidR="006D0ADC" w:rsidRDefault="006D0ADC" w:rsidP="006D0ADC">
      <w:pPr>
        <w:spacing w:line="360" w:lineRule="auto"/>
        <w:rPr>
          <w:rFonts w:ascii="宋体" w:hAnsi="宋体" w:cs="宋体"/>
          <w:bCs/>
          <w:szCs w:val="21"/>
        </w:rPr>
      </w:pPr>
      <w:r>
        <w:rPr>
          <w:rFonts w:ascii="宋体" w:hAnsi="宋体" w:cs="宋体" w:hint="eastAsia"/>
          <w:b/>
          <w:szCs w:val="21"/>
        </w:rPr>
        <w:t>6.2.2</w:t>
      </w:r>
      <w:r>
        <w:rPr>
          <w:rFonts w:ascii="宋体" w:hAnsi="宋体" w:cs="宋体" w:hint="eastAsia"/>
          <w:bCs/>
          <w:szCs w:val="21"/>
        </w:rPr>
        <w:t>产品抽样基数应不少于50片，当库存基数少于50片或无库存时，应在企业生产线末端上进行抽样。</w:t>
      </w:r>
    </w:p>
    <w:p w:rsidR="006D0ADC" w:rsidRDefault="006D0ADC" w:rsidP="006D0ADC">
      <w:pPr>
        <w:spacing w:line="360" w:lineRule="auto"/>
        <w:rPr>
          <w:rFonts w:ascii="宋体" w:hAnsi="宋体" w:cs="宋体"/>
          <w:bCs/>
          <w:szCs w:val="21"/>
        </w:rPr>
      </w:pPr>
      <w:r>
        <w:rPr>
          <w:rFonts w:ascii="宋体" w:hAnsi="宋体" w:cs="宋体" w:hint="eastAsia"/>
          <w:b/>
          <w:szCs w:val="21"/>
        </w:rPr>
        <w:t>6.2.3</w:t>
      </w:r>
      <w:r>
        <w:rPr>
          <w:rFonts w:ascii="宋体" w:hAnsi="宋体" w:cs="宋体" w:hint="eastAsia"/>
          <w:bCs/>
          <w:szCs w:val="21"/>
        </w:rPr>
        <w:t>每批次随机抽取20片，其中10片样品封样带回承检机构检验（部分项目具有一定的破坏性），另10片</w:t>
      </w:r>
      <w:proofErr w:type="gramStart"/>
      <w:r>
        <w:rPr>
          <w:rFonts w:ascii="宋体" w:hAnsi="宋体" w:cs="宋体" w:hint="eastAsia"/>
          <w:bCs/>
          <w:szCs w:val="21"/>
        </w:rPr>
        <w:t>作为备样带回</w:t>
      </w:r>
      <w:proofErr w:type="gramEnd"/>
      <w:r>
        <w:rPr>
          <w:rFonts w:ascii="宋体" w:hAnsi="宋体" w:cs="宋体" w:hint="eastAsia"/>
          <w:bCs/>
          <w:szCs w:val="21"/>
        </w:rPr>
        <w:t>并封存于承检机构，必要时作复检之用。样品由被抽查单位无偿提供。</w:t>
      </w:r>
    </w:p>
    <w:p w:rsidR="006D0ADC" w:rsidRDefault="006D0ADC" w:rsidP="006D0ADC">
      <w:pPr>
        <w:spacing w:line="360" w:lineRule="auto"/>
        <w:rPr>
          <w:rFonts w:ascii="宋体" w:hAnsi="宋体" w:cs="宋体"/>
          <w:b/>
          <w:szCs w:val="21"/>
        </w:rPr>
      </w:pPr>
      <w:r>
        <w:rPr>
          <w:rFonts w:ascii="宋体" w:hAnsi="宋体" w:cs="宋体" w:hint="eastAsia"/>
          <w:b/>
          <w:szCs w:val="21"/>
        </w:rPr>
        <w:t>6.3 样品处置</w:t>
      </w:r>
    </w:p>
    <w:p w:rsidR="006D0ADC" w:rsidRDefault="006D0ADC" w:rsidP="006D0ADC">
      <w:pPr>
        <w:spacing w:line="360" w:lineRule="auto"/>
        <w:rPr>
          <w:rFonts w:ascii="宋体" w:hAnsi="宋体" w:cs="宋体"/>
          <w:bCs/>
          <w:szCs w:val="21"/>
        </w:rPr>
      </w:pPr>
      <w:r>
        <w:rPr>
          <w:rFonts w:ascii="宋体" w:hAnsi="宋体" w:cs="宋体" w:hint="eastAsia"/>
          <w:b/>
          <w:szCs w:val="21"/>
        </w:rPr>
        <w:t>6.3.1</w:t>
      </w:r>
      <w:r>
        <w:rPr>
          <w:rFonts w:ascii="宋体" w:hAnsi="宋体" w:cs="宋体" w:hint="eastAsia"/>
          <w:bCs/>
          <w:szCs w:val="21"/>
        </w:rPr>
        <w:t xml:space="preserve"> 为确保样品的完好有效，每一副眼镜镜片应有独立包装，并附有完整的出厂标识、标</w:t>
      </w:r>
      <w:r>
        <w:rPr>
          <w:rFonts w:ascii="宋体" w:hAnsi="宋体" w:cs="宋体" w:hint="eastAsia"/>
          <w:bCs/>
          <w:szCs w:val="21"/>
        </w:rPr>
        <w:lastRenderedPageBreak/>
        <w:t>签等，在运输和寄送过程中应适当防护，防止样品变形或破损。</w:t>
      </w:r>
    </w:p>
    <w:p w:rsidR="006D0ADC" w:rsidRDefault="006D0ADC" w:rsidP="006D0ADC">
      <w:pPr>
        <w:spacing w:line="360" w:lineRule="auto"/>
        <w:rPr>
          <w:rFonts w:ascii="宋体" w:hAnsi="宋体" w:cs="宋体"/>
          <w:bCs/>
          <w:szCs w:val="21"/>
        </w:rPr>
      </w:pPr>
      <w:r>
        <w:rPr>
          <w:rFonts w:ascii="宋体" w:hAnsi="宋体" w:cs="宋体" w:hint="eastAsia"/>
          <w:b/>
          <w:szCs w:val="21"/>
        </w:rPr>
        <w:t>6.3.2</w:t>
      </w:r>
      <w:r>
        <w:rPr>
          <w:rFonts w:ascii="宋体" w:hAnsi="宋体" w:cs="宋体" w:hint="eastAsia"/>
          <w:bCs/>
          <w:szCs w:val="21"/>
        </w:rPr>
        <w:t>抽取样品后，由抽样人员签封。封样时，应当有防拆封措施，以保证样品的真实性。抽样人员负责将抽取的样品送达指定的检验机构，在送样过程中不得损坏样品的密封和防拆封状态。使用数码相机对抽样现场和封存的样品拍照留底待查；检验样品和备用样品必须分别封存。</w:t>
      </w:r>
    </w:p>
    <w:p w:rsidR="006D0ADC" w:rsidRDefault="006D0ADC" w:rsidP="006D0ADC">
      <w:pPr>
        <w:spacing w:line="360" w:lineRule="auto"/>
        <w:rPr>
          <w:rFonts w:ascii="宋体" w:hAnsi="宋体" w:cs="宋体"/>
          <w:b/>
          <w:szCs w:val="21"/>
        </w:rPr>
      </w:pPr>
      <w:r>
        <w:rPr>
          <w:rFonts w:ascii="宋体" w:hAnsi="宋体" w:cs="宋体" w:hint="eastAsia"/>
          <w:b/>
          <w:szCs w:val="21"/>
        </w:rPr>
        <w:t>6.4 抽样单</w:t>
      </w:r>
    </w:p>
    <w:p w:rsidR="006D0ADC" w:rsidRDefault="006D0ADC" w:rsidP="006D0ADC">
      <w:pPr>
        <w:spacing w:line="360" w:lineRule="auto"/>
        <w:rPr>
          <w:rFonts w:ascii="宋体" w:hAnsi="宋体" w:cs="宋体"/>
          <w:bCs/>
          <w:szCs w:val="21"/>
        </w:rPr>
      </w:pPr>
      <w:r>
        <w:rPr>
          <w:rFonts w:ascii="宋体" w:hAnsi="宋体" w:cs="宋体" w:hint="eastAsia"/>
          <w:bCs/>
          <w:szCs w:val="21"/>
        </w:rPr>
        <w:t xml:space="preserve">    应按有关规定填写抽样单，并记录被抽查产品及企业相关信息。同时记录被抽查企业上一年度生产的眼镜镜片产品销售总额</w:t>
      </w:r>
      <w:r w:rsidR="002C26AD">
        <w:rPr>
          <w:rFonts w:ascii="宋体" w:hAnsi="宋体" w:cs="宋体" w:hint="eastAsia"/>
          <w:bCs/>
          <w:szCs w:val="21"/>
        </w:rPr>
        <w:t>（</w:t>
      </w:r>
      <w:r>
        <w:rPr>
          <w:rFonts w:ascii="宋体" w:hAnsi="宋体" w:cs="宋体" w:hint="eastAsia"/>
          <w:bCs/>
          <w:szCs w:val="21"/>
        </w:rPr>
        <w:t>以万元计</w:t>
      </w:r>
      <w:r w:rsidR="002C26AD">
        <w:rPr>
          <w:rFonts w:ascii="宋体" w:hAnsi="宋体" w:cs="宋体" w:hint="eastAsia"/>
          <w:bCs/>
          <w:szCs w:val="21"/>
        </w:rPr>
        <w:t>）</w:t>
      </w:r>
      <w:r>
        <w:rPr>
          <w:rFonts w:ascii="宋体" w:hAnsi="宋体" w:cs="宋体" w:hint="eastAsia"/>
          <w:bCs/>
          <w:szCs w:val="21"/>
        </w:rPr>
        <w:t>。若企业上一年度未生产，则记录本年度实际销售额，并加以注明。</w:t>
      </w:r>
    </w:p>
    <w:p w:rsidR="006D0ADC" w:rsidRDefault="006D0ADC" w:rsidP="006D0ADC">
      <w:pPr>
        <w:spacing w:line="360" w:lineRule="auto"/>
        <w:rPr>
          <w:rFonts w:ascii="宋体" w:hAnsi="宋体" w:cs="宋体"/>
          <w:b/>
          <w:szCs w:val="21"/>
        </w:rPr>
      </w:pPr>
      <w:r>
        <w:rPr>
          <w:rFonts w:ascii="宋体" w:hAnsi="宋体" w:cs="宋体" w:hint="eastAsia"/>
          <w:b/>
          <w:szCs w:val="21"/>
        </w:rPr>
        <w:t>6.5其他注意事项</w:t>
      </w:r>
    </w:p>
    <w:p w:rsidR="006D0ADC" w:rsidRDefault="006D0ADC" w:rsidP="006D0ADC">
      <w:pPr>
        <w:spacing w:line="360" w:lineRule="auto"/>
        <w:rPr>
          <w:rFonts w:ascii="宋体" w:hAnsi="宋体" w:cs="宋体"/>
          <w:bCs/>
          <w:szCs w:val="21"/>
        </w:rPr>
      </w:pPr>
      <w:r>
        <w:rPr>
          <w:rFonts w:ascii="宋体" w:hAnsi="宋体" w:cs="宋体" w:hint="eastAsia"/>
          <w:b/>
          <w:szCs w:val="21"/>
        </w:rPr>
        <w:t>6.5.1</w:t>
      </w:r>
      <w:r>
        <w:rPr>
          <w:rFonts w:ascii="宋体" w:hAnsi="宋体" w:cs="宋体" w:hint="eastAsia"/>
          <w:bCs/>
          <w:szCs w:val="21"/>
        </w:rPr>
        <w:t>如果样品标注的信息不全，必须在抽样单上确认该产品的名称及类别、型号规格，并由生产企业盖章或签字确认。</w:t>
      </w:r>
    </w:p>
    <w:p w:rsidR="006D0ADC" w:rsidRDefault="006D0ADC" w:rsidP="006D0ADC">
      <w:pPr>
        <w:spacing w:line="360" w:lineRule="auto"/>
        <w:rPr>
          <w:rFonts w:ascii="宋体" w:hAnsi="宋体" w:cs="宋体"/>
          <w:bCs/>
          <w:kern w:val="0"/>
          <w:szCs w:val="21"/>
        </w:rPr>
      </w:pPr>
      <w:r>
        <w:rPr>
          <w:rFonts w:ascii="宋体" w:hAnsi="宋体" w:cs="宋体" w:hint="eastAsia"/>
          <w:b/>
          <w:szCs w:val="21"/>
        </w:rPr>
        <w:t>6.5.2</w:t>
      </w:r>
      <w:r>
        <w:rPr>
          <w:rFonts w:ascii="宋体" w:hAnsi="宋体" w:cs="宋体" w:hint="eastAsia"/>
          <w:bCs/>
          <w:szCs w:val="21"/>
        </w:rPr>
        <w:t>样品明示的执行标准明显不适用时，应在抽样单中注明适用的标准，并经企业签字确认。</w:t>
      </w:r>
    </w:p>
    <w:p w:rsidR="006D0ADC" w:rsidRDefault="006D0ADC" w:rsidP="00EC574A">
      <w:pPr>
        <w:spacing w:beforeLines="50" w:afterLines="50" w:line="360" w:lineRule="auto"/>
        <w:rPr>
          <w:rFonts w:ascii="宋体" w:hAnsi="宋体" w:cs="宋体"/>
          <w:b/>
          <w:szCs w:val="21"/>
        </w:rPr>
      </w:pPr>
      <w:r>
        <w:rPr>
          <w:rFonts w:ascii="宋体" w:hAnsi="宋体" w:cs="宋体" w:hint="eastAsia"/>
          <w:b/>
          <w:szCs w:val="21"/>
        </w:rPr>
        <w:t>7  检验要求</w:t>
      </w:r>
    </w:p>
    <w:p w:rsidR="006D0ADC" w:rsidRDefault="006D0ADC" w:rsidP="006D0ADC">
      <w:pPr>
        <w:spacing w:line="360" w:lineRule="auto"/>
        <w:rPr>
          <w:rFonts w:ascii="宋体" w:hAnsi="宋体" w:cs="宋体"/>
          <w:b/>
          <w:szCs w:val="21"/>
        </w:rPr>
      </w:pPr>
      <w:r>
        <w:rPr>
          <w:rFonts w:ascii="宋体" w:hAnsi="宋体" w:cs="宋体" w:hint="eastAsia"/>
          <w:b/>
          <w:szCs w:val="21"/>
        </w:rPr>
        <w:t>7.1 检验项目及重要程度分类</w:t>
      </w:r>
    </w:p>
    <w:p w:rsidR="006D0ADC" w:rsidRDefault="006D0ADC" w:rsidP="006D0ADC">
      <w:pPr>
        <w:spacing w:line="360" w:lineRule="auto"/>
        <w:ind w:firstLineChars="200" w:firstLine="420"/>
        <w:rPr>
          <w:rFonts w:ascii="宋体" w:hAnsi="宋体" w:cs="宋体"/>
          <w:bCs/>
          <w:szCs w:val="21"/>
        </w:rPr>
      </w:pPr>
      <w:r>
        <w:rPr>
          <w:rFonts w:ascii="宋体" w:hAnsi="宋体" w:cs="宋体" w:hint="eastAsia"/>
          <w:bCs/>
          <w:szCs w:val="21"/>
        </w:rPr>
        <w:t>检验项目及重要程度分类见表3。</w:t>
      </w:r>
    </w:p>
    <w:p w:rsidR="006D0ADC" w:rsidRDefault="006D0ADC" w:rsidP="006D0ADC">
      <w:pPr>
        <w:spacing w:line="360" w:lineRule="auto"/>
        <w:jc w:val="center"/>
        <w:rPr>
          <w:rFonts w:ascii="宋体" w:hAnsi="宋体" w:cs="宋体"/>
          <w:b/>
        </w:rPr>
      </w:pPr>
      <w:r>
        <w:rPr>
          <w:rFonts w:ascii="宋体" w:hAnsi="宋体" w:cs="宋体" w:hint="eastAsia"/>
          <w:b/>
        </w:rPr>
        <w:t>表3  光学树脂眼镜</w:t>
      </w:r>
      <w:r w:rsidR="002C26AD">
        <w:rPr>
          <w:rFonts w:ascii="宋体" w:hAnsi="宋体" w:cs="宋体" w:hint="eastAsia"/>
          <w:b/>
        </w:rPr>
        <w:t>镜</w:t>
      </w:r>
      <w:r>
        <w:rPr>
          <w:rFonts w:ascii="宋体" w:hAnsi="宋体" w:cs="宋体" w:hint="eastAsia"/>
          <w:b/>
        </w:rPr>
        <w:t>片检验项目及重要程度分类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75"/>
        <w:gridCol w:w="442"/>
        <w:gridCol w:w="200"/>
        <w:gridCol w:w="1010"/>
        <w:gridCol w:w="2209"/>
        <w:gridCol w:w="847"/>
        <w:gridCol w:w="2098"/>
        <w:gridCol w:w="778"/>
        <w:gridCol w:w="785"/>
      </w:tblGrid>
      <w:tr w:rsidR="006D0ADC" w:rsidTr="00D90343">
        <w:trPr>
          <w:tblHeader/>
          <w:jc w:val="center"/>
        </w:trPr>
        <w:tc>
          <w:tcPr>
            <w:tcW w:w="675"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序号</w:t>
            </w:r>
          </w:p>
        </w:tc>
        <w:tc>
          <w:tcPr>
            <w:tcW w:w="1652" w:type="dxa"/>
            <w:gridSpan w:val="3"/>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检 验 项 目</w:t>
            </w:r>
          </w:p>
        </w:tc>
        <w:tc>
          <w:tcPr>
            <w:tcW w:w="2209"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依据法律法规或标准条款</w:t>
            </w:r>
          </w:p>
        </w:tc>
        <w:tc>
          <w:tcPr>
            <w:tcW w:w="847"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强制性/推荐性</w:t>
            </w:r>
          </w:p>
        </w:tc>
        <w:tc>
          <w:tcPr>
            <w:tcW w:w="2098"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检测方法</w:t>
            </w:r>
          </w:p>
        </w:tc>
        <w:tc>
          <w:tcPr>
            <w:tcW w:w="1563" w:type="dxa"/>
            <w:gridSpan w:val="2"/>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重要程度分类</w:t>
            </w:r>
          </w:p>
        </w:tc>
      </w:tr>
      <w:tr w:rsidR="006D0ADC" w:rsidTr="00D90343">
        <w:trPr>
          <w:tblHeader/>
          <w:jc w:val="center"/>
        </w:trPr>
        <w:tc>
          <w:tcPr>
            <w:tcW w:w="675" w:type="dxa"/>
            <w:vMerge/>
            <w:vAlign w:val="center"/>
          </w:tcPr>
          <w:p w:rsidR="006D0ADC" w:rsidRDefault="006D0ADC" w:rsidP="00D90343">
            <w:pPr>
              <w:snapToGrid w:val="0"/>
              <w:jc w:val="center"/>
              <w:rPr>
                <w:rFonts w:ascii="宋体" w:hAnsi="宋体" w:cs="宋体"/>
                <w:bCs/>
                <w:sz w:val="18"/>
                <w:szCs w:val="18"/>
              </w:rPr>
            </w:pPr>
          </w:p>
        </w:tc>
        <w:tc>
          <w:tcPr>
            <w:tcW w:w="1652" w:type="dxa"/>
            <w:gridSpan w:val="3"/>
            <w:vMerge/>
            <w:vAlign w:val="center"/>
          </w:tcPr>
          <w:p w:rsidR="006D0ADC" w:rsidRDefault="006D0ADC" w:rsidP="00D90343">
            <w:pPr>
              <w:snapToGrid w:val="0"/>
              <w:jc w:val="center"/>
              <w:rPr>
                <w:rFonts w:ascii="宋体" w:hAnsi="宋体" w:cs="宋体"/>
                <w:bCs/>
                <w:sz w:val="18"/>
                <w:szCs w:val="18"/>
              </w:rPr>
            </w:pPr>
          </w:p>
        </w:tc>
        <w:tc>
          <w:tcPr>
            <w:tcW w:w="2209" w:type="dxa"/>
            <w:vMerge/>
            <w:vAlign w:val="center"/>
          </w:tcPr>
          <w:p w:rsidR="006D0ADC" w:rsidRDefault="006D0ADC" w:rsidP="00D90343">
            <w:pPr>
              <w:snapToGrid w:val="0"/>
              <w:jc w:val="center"/>
              <w:rPr>
                <w:rFonts w:ascii="宋体" w:hAnsi="宋体" w:cs="宋体"/>
                <w:bCs/>
                <w:sz w:val="18"/>
                <w:szCs w:val="18"/>
              </w:rPr>
            </w:pPr>
          </w:p>
        </w:tc>
        <w:tc>
          <w:tcPr>
            <w:tcW w:w="847" w:type="dxa"/>
            <w:vMerge/>
            <w:vAlign w:val="center"/>
          </w:tcPr>
          <w:p w:rsidR="006D0ADC" w:rsidRDefault="006D0ADC" w:rsidP="00D90343">
            <w:pPr>
              <w:snapToGrid w:val="0"/>
              <w:jc w:val="center"/>
              <w:rPr>
                <w:rFonts w:ascii="宋体" w:hAnsi="宋体" w:cs="宋体"/>
                <w:bCs/>
                <w:sz w:val="18"/>
                <w:szCs w:val="18"/>
              </w:rPr>
            </w:pPr>
          </w:p>
        </w:tc>
        <w:tc>
          <w:tcPr>
            <w:tcW w:w="2098" w:type="dxa"/>
            <w:vMerge/>
            <w:vAlign w:val="center"/>
          </w:tcPr>
          <w:p w:rsidR="006D0ADC" w:rsidRDefault="006D0ADC" w:rsidP="00D90343">
            <w:pPr>
              <w:snapToGrid w:val="0"/>
              <w:jc w:val="center"/>
              <w:rPr>
                <w:rFonts w:ascii="宋体" w:hAnsi="宋体" w:cs="宋体"/>
                <w:bCs/>
                <w:sz w:val="18"/>
                <w:szCs w:val="18"/>
              </w:rPr>
            </w:pPr>
          </w:p>
        </w:tc>
        <w:tc>
          <w:tcPr>
            <w:tcW w:w="778" w:type="dxa"/>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A类</w:t>
            </w:r>
          </w:p>
        </w:tc>
        <w:tc>
          <w:tcPr>
            <w:tcW w:w="785" w:type="dxa"/>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B类</w:t>
            </w:r>
          </w:p>
        </w:tc>
      </w:tr>
      <w:tr w:rsidR="006D0ADC" w:rsidTr="00D90343">
        <w:trPr>
          <w:cantSplit/>
          <w:trHeight w:val="618"/>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w:t>
            </w:r>
          </w:p>
        </w:tc>
        <w:tc>
          <w:tcPr>
            <w:tcW w:w="1652" w:type="dxa"/>
            <w:gridSpan w:val="3"/>
            <w:vAlign w:val="center"/>
          </w:tcPr>
          <w:p w:rsidR="006D0ADC" w:rsidRDefault="006D0ADC" w:rsidP="00D90343">
            <w:pPr>
              <w:snapToGrid w:val="0"/>
              <w:rPr>
                <w:rFonts w:ascii="宋体" w:hAnsi="宋体" w:cs="宋体"/>
                <w:bCs/>
                <w:sz w:val="18"/>
                <w:szCs w:val="18"/>
              </w:rPr>
            </w:pPr>
            <w:r>
              <w:rPr>
                <w:rFonts w:ascii="宋体" w:hAnsi="宋体" w:hint="eastAsia"/>
                <w:color w:val="000000"/>
                <w:sz w:val="18"/>
                <w:szCs w:val="18"/>
              </w:rPr>
              <w:t>球镜顶焦度（主子午面一）</w:t>
            </w:r>
          </w:p>
        </w:tc>
        <w:tc>
          <w:tcPr>
            <w:tcW w:w="2209" w:type="dxa"/>
            <w:vAlign w:val="center"/>
          </w:tcPr>
          <w:p w:rsidR="006D0ADC" w:rsidRDefault="006D0ADC" w:rsidP="00D90343">
            <w:pPr>
              <w:pStyle w:val="a5"/>
              <w:snapToGrid w:val="0"/>
              <w:rPr>
                <w:rFonts w:ascii="宋体" w:hAnsi="宋体" w:cs="宋体"/>
                <w:bCs/>
              </w:rPr>
            </w:pPr>
            <w:r>
              <w:rPr>
                <w:rFonts w:ascii="宋体" w:hAnsi="宋体" w:cs="宋体" w:hint="eastAsia"/>
                <w:bCs/>
              </w:rPr>
              <w:t>QB/T 2506-2017 5.1.1</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c>
          <w:tcPr>
            <w:tcW w:w="785" w:type="dxa"/>
            <w:vAlign w:val="center"/>
          </w:tcPr>
          <w:p w:rsidR="006D0ADC" w:rsidRDefault="006D0ADC" w:rsidP="00D90343">
            <w:pPr>
              <w:snapToGrid w:val="0"/>
              <w:jc w:val="center"/>
              <w:rPr>
                <w:rFonts w:ascii="宋体" w:hAnsi="宋体" w:cs="宋体"/>
                <w:bCs/>
                <w:sz w:val="18"/>
                <w:szCs w:val="18"/>
              </w:rPr>
            </w:pPr>
          </w:p>
        </w:tc>
      </w:tr>
      <w:tr w:rsidR="006D0ADC" w:rsidTr="00D90343">
        <w:trPr>
          <w:cantSplit/>
          <w:trHeight w:val="618"/>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2</w:t>
            </w:r>
          </w:p>
        </w:tc>
        <w:tc>
          <w:tcPr>
            <w:tcW w:w="1652" w:type="dxa"/>
            <w:gridSpan w:val="3"/>
            <w:vAlign w:val="center"/>
          </w:tcPr>
          <w:p w:rsidR="006D0ADC" w:rsidRDefault="006D0ADC" w:rsidP="00D90343">
            <w:pPr>
              <w:snapToGrid w:val="0"/>
              <w:rPr>
                <w:rFonts w:ascii="宋体" w:hAnsi="宋体" w:cs="宋体"/>
                <w:bCs/>
                <w:sz w:val="18"/>
                <w:szCs w:val="18"/>
              </w:rPr>
            </w:pPr>
            <w:r>
              <w:rPr>
                <w:rFonts w:ascii="宋体" w:hAnsi="宋体" w:hint="eastAsia"/>
                <w:color w:val="000000"/>
                <w:sz w:val="18"/>
                <w:szCs w:val="18"/>
              </w:rPr>
              <w:t>球镜顶焦度（主子午面二）</w:t>
            </w:r>
          </w:p>
        </w:tc>
        <w:tc>
          <w:tcPr>
            <w:tcW w:w="2209" w:type="dxa"/>
            <w:vAlign w:val="center"/>
          </w:tcPr>
          <w:p w:rsidR="006D0ADC" w:rsidRDefault="006D0ADC" w:rsidP="00D90343">
            <w:pPr>
              <w:pStyle w:val="a5"/>
              <w:snapToGrid w:val="0"/>
              <w:rPr>
                <w:rFonts w:ascii="宋体" w:hAnsi="宋体" w:cs="宋体"/>
                <w:bCs/>
              </w:rPr>
            </w:pPr>
            <w:r>
              <w:rPr>
                <w:rFonts w:ascii="宋体" w:hAnsi="宋体" w:cs="宋体" w:hint="eastAsia"/>
                <w:bCs/>
              </w:rPr>
              <w:t>QB/T 2506-2017 5.1.1</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c>
          <w:tcPr>
            <w:tcW w:w="785" w:type="dxa"/>
            <w:vAlign w:val="center"/>
          </w:tcPr>
          <w:p w:rsidR="006D0ADC" w:rsidRDefault="006D0ADC" w:rsidP="00D90343">
            <w:pPr>
              <w:snapToGrid w:val="0"/>
              <w:jc w:val="center"/>
              <w:rPr>
                <w:rFonts w:ascii="宋体" w:hAnsi="宋体" w:cs="宋体"/>
                <w:bCs/>
                <w:sz w:val="18"/>
                <w:szCs w:val="18"/>
              </w:rPr>
            </w:pPr>
          </w:p>
        </w:tc>
      </w:tr>
      <w:tr w:rsidR="006D0ADC" w:rsidTr="00D90343">
        <w:trPr>
          <w:cantSplit/>
          <w:trHeight w:val="375"/>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3</w:t>
            </w:r>
          </w:p>
        </w:tc>
        <w:tc>
          <w:tcPr>
            <w:tcW w:w="1652" w:type="dxa"/>
            <w:gridSpan w:val="3"/>
            <w:vAlign w:val="center"/>
          </w:tcPr>
          <w:p w:rsidR="006D0ADC" w:rsidRDefault="006D0ADC" w:rsidP="00D90343">
            <w:pPr>
              <w:snapToGrid w:val="0"/>
              <w:rPr>
                <w:rFonts w:ascii="宋体" w:hAnsi="宋体" w:cs="宋体"/>
                <w:bCs/>
                <w:sz w:val="18"/>
                <w:szCs w:val="18"/>
              </w:rPr>
            </w:pPr>
            <w:proofErr w:type="gramStart"/>
            <w:r>
              <w:rPr>
                <w:rFonts w:ascii="宋体" w:hAnsi="宋体" w:hint="eastAsia"/>
                <w:color w:val="000000"/>
                <w:sz w:val="18"/>
                <w:szCs w:val="18"/>
              </w:rPr>
              <w:t>柱镜顶</w:t>
            </w:r>
            <w:proofErr w:type="gramEnd"/>
            <w:r>
              <w:rPr>
                <w:rFonts w:ascii="宋体" w:hAnsi="宋体" w:hint="eastAsia"/>
                <w:color w:val="000000"/>
                <w:sz w:val="18"/>
                <w:szCs w:val="18"/>
              </w:rPr>
              <w:t>焦度</w:t>
            </w:r>
          </w:p>
        </w:tc>
        <w:tc>
          <w:tcPr>
            <w:tcW w:w="2209" w:type="dxa"/>
            <w:vAlign w:val="center"/>
          </w:tcPr>
          <w:p w:rsidR="006D0ADC" w:rsidRDefault="006D0ADC" w:rsidP="00D90343">
            <w:pPr>
              <w:tabs>
                <w:tab w:val="right" w:pos="2058"/>
              </w:tabs>
              <w:snapToGrid w:val="0"/>
              <w:rPr>
                <w:rFonts w:ascii="宋体" w:hAnsi="宋体" w:cs="宋体"/>
                <w:bCs/>
                <w:sz w:val="18"/>
                <w:szCs w:val="18"/>
              </w:rPr>
            </w:pPr>
            <w:r>
              <w:rPr>
                <w:rFonts w:ascii="宋体" w:hAnsi="宋体" w:cs="宋体" w:hint="eastAsia"/>
                <w:bCs/>
                <w:sz w:val="18"/>
                <w:szCs w:val="18"/>
              </w:rPr>
              <w:t>QB/T 2506-2017 5.1.1</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c>
          <w:tcPr>
            <w:tcW w:w="785" w:type="dxa"/>
            <w:vAlign w:val="center"/>
          </w:tcPr>
          <w:p w:rsidR="006D0ADC" w:rsidRDefault="006D0ADC" w:rsidP="00D90343">
            <w:pPr>
              <w:snapToGrid w:val="0"/>
              <w:jc w:val="center"/>
              <w:rPr>
                <w:rFonts w:ascii="宋体" w:hAnsi="宋体" w:cs="宋体"/>
                <w:bCs/>
                <w:sz w:val="18"/>
                <w:szCs w:val="18"/>
              </w:rPr>
            </w:pPr>
          </w:p>
        </w:tc>
      </w:tr>
      <w:tr w:rsidR="006D0ADC" w:rsidTr="00D90343">
        <w:trPr>
          <w:cantSplit/>
          <w:trHeight w:val="90"/>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4</w:t>
            </w:r>
          </w:p>
        </w:tc>
        <w:tc>
          <w:tcPr>
            <w:tcW w:w="1652" w:type="dxa"/>
            <w:gridSpan w:val="3"/>
            <w:vAlign w:val="center"/>
          </w:tcPr>
          <w:p w:rsidR="006D0ADC" w:rsidRDefault="006D0ADC" w:rsidP="00D90343">
            <w:pPr>
              <w:rPr>
                <w:rFonts w:ascii="宋体" w:hAnsi="宋体" w:cs="宋体"/>
                <w:bCs/>
                <w:sz w:val="18"/>
                <w:szCs w:val="18"/>
              </w:rPr>
            </w:pPr>
            <w:r>
              <w:rPr>
                <w:rFonts w:ascii="宋体" w:hAnsi="宋体" w:cs="宋体" w:hint="eastAsia"/>
                <w:sz w:val="18"/>
                <w:szCs w:val="18"/>
              </w:rPr>
              <w:t>附加顶焦度</w:t>
            </w:r>
          </w:p>
        </w:tc>
        <w:tc>
          <w:tcPr>
            <w:tcW w:w="2209"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2506-2017 5.1.1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jc w:val="center"/>
              <w:rPr>
                <w:rFonts w:ascii="宋体" w:hAnsi="宋体" w:cs="宋体"/>
                <w:bCs/>
                <w:sz w:val="18"/>
                <w:szCs w:val="18"/>
              </w:rPr>
            </w:pPr>
          </w:p>
        </w:tc>
        <w:tc>
          <w:tcPr>
            <w:tcW w:w="78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r>
      <w:tr w:rsidR="006D0ADC" w:rsidTr="00D90343">
        <w:trPr>
          <w:cantSplit/>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5</w:t>
            </w:r>
          </w:p>
        </w:tc>
        <w:tc>
          <w:tcPr>
            <w:tcW w:w="1652" w:type="dxa"/>
            <w:gridSpan w:val="3"/>
            <w:vAlign w:val="center"/>
          </w:tcPr>
          <w:p w:rsidR="006D0ADC" w:rsidRDefault="006D0ADC" w:rsidP="00D90343">
            <w:pPr>
              <w:rPr>
                <w:rFonts w:ascii="宋体" w:hAnsi="宋体" w:cs="宋体"/>
                <w:bCs/>
                <w:sz w:val="18"/>
                <w:szCs w:val="18"/>
              </w:rPr>
            </w:pPr>
            <w:proofErr w:type="gramStart"/>
            <w:r>
              <w:rPr>
                <w:rFonts w:ascii="宋体" w:hAnsi="宋体" w:cs="宋体" w:hint="eastAsia"/>
                <w:bCs/>
                <w:sz w:val="18"/>
                <w:szCs w:val="18"/>
              </w:rPr>
              <w:t>柱镜轴位</w:t>
            </w:r>
            <w:proofErr w:type="gramEnd"/>
            <w:r>
              <w:rPr>
                <w:rFonts w:ascii="宋体" w:hAnsi="宋体" w:cs="宋体" w:hint="eastAsia"/>
                <w:bCs/>
                <w:sz w:val="18"/>
                <w:szCs w:val="18"/>
              </w:rPr>
              <w:t>方向</w:t>
            </w:r>
          </w:p>
        </w:tc>
        <w:tc>
          <w:tcPr>
            <w:tcW w:w="2209" w:type="dxa"/>
            <w:vAlign w:val="center"/>
          </w:tcPr>
          <w:p w:rsidR="006D0ADC" w:rsidRDefault="006D0ADC" w:rsidP="00D90343">
            <w:pPr>
              <w:tabs>
                <w:tab w:val="center" w:pos="1029"/>
              </w:tabs>
              <w:snapToGrid w:val="0"/>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w:t>
            </w:r>
          </w:p>
        </w:tc>
        <w:tc>
          <w:tcPr>
            <w:tcW w:w="785" w:type="dxa"/>
            <w:vAlign w:val="center"/>
          </w:tcPr>
          <w:p w:rsidR="006D0ADC" w:rsidRDefault="006D0ADC" w:rsidP="00D90343">
            <w:pPr>
              <w:snapToGrid w:val="0"/>
              <w:jc w:val="center"/>
              <w:rPr>
                <w:rFonts w:ascii="宋体" w:hAnsi="宋体" w:cs="宋体"/>
                <w:bCs/>
                <w:sz w:val="18"/>
                <w:szCs w:val="18"/>
              </w:rPr>
            </w:pPr>
          </w:p>
        </w:tc>
      </w:tr>
      <w:tr w:rsidR="006D0ADC" w:rsidTr="00D90343">
        <w:trPr>
          <w:cantSplit/>
          <w:trHeight w:val="407"/>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6</w:t>
            </w:r>
          </w:p>
        </w:tc>
        <w:tc>
          <w:tcPr>
            <w:tcW w:w="1652" w:type="dxa"/>
            <w:gridSpan w:val="3"/>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光学中心和棱镜度</w:t>
            </w:r>
          </w:p>
        </w:tc>
        <w:tc>
          <w:tcPr>
            <w:tcW w:w="2209"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right="57"/>
              <w:rPr>
                <w:rFonts w:ascii="宋体" w:hAnsi="宋体" w:cs="宋体"/>
                <w:bCs/>
                <w:sz w:val="18"/>
                <w:szCs w:val="18"/>
              </w:rPr>
            </w:pPr>
            <w:r>
              <w:rPr>
                <w:rFonts w:ascii="宋体" w:hAnsi="宋体" w:cs="宋体" w:hint="eastAsia"/>
                <w:bCs/>
                <w:sz w:val="18"/>
                <w:szCs w:val="18"/>
              </w:rPr>
              <w:t>GB 10810.1</w:t>
            </w:r>
          </w:p>
        </w:tc>
        <w:tc>
          <w:tcPr>
            <w:tcW w:w="778" w:type="dxa"/>
            <w:vAlign w:val="center"/>
          </w:tcPr>
          <w:p w:rsidR="006D0ADC" w:rsidRDefault="006D0ADC" w:rsidP="00D90343">
            <w:pPr>
              <w:snapToGrid w:val="0"/>
              <w:jc w:val="center"/>
              <w:rPr>
                <w:rFonts w:ascii="宋体" w:hAnsi="宋体" w:cs="宋体"/>
                <w:bCs/>
                <w:sz w:val="18"/>
                <w:szCs w:val="18"/>
              </w:rPr>
            </w:pPr>
          </w:p>
        </w:tc>
        <w:tc>
          <w:tcPr>
            <w:tcW w:w="78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414"/>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7</w:t>
            </w:r>
          </w:p>
        </w:tc>
        <w:tc>
          <w:tcPr>
            <w:tcW w:w="1652" w:type="dxa"/>
            <w:gridSpan w:val="3"/>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棱镜度的基底取向</w:t>
            </w:r>
          </w:p>
        </w:tc>
        <w:tc>
          <w:tcPr>
            <w:tcW w:w="2209" w:type="dxa"/>
            <w:vAlign w:val="center"/>
          </w:tcPr>
          <w:p w:rsidR="006D0ADC" w:rsidRDefault="006D0ADC" w:rsidP="00D90343">
            <w:pPr>
              <w:pStyle w:val="a3"/>
              <w:pBdr>
                <w:bottom w:val="none" w:sz="0" w:space="0" w:color="auto"/>
              </w:pBdr>
              <w:tabs>
                <w:tab w:val="clear" w:pos="4153"/>
                <w:tab w:val="clear" w:pos="8306"/>
              </w:tabs>
              <w:snapToGrid/>
              <w:jc w:val="both"/>
              <w:rPr>
                <w:rFonts w:ascii="宋体" w:hAnsi="宋体" w:cs="宋体"/>
                <w:bCs/>
              </w:rPr>
            </w:pPr>
            <w:r>
              <w:rPr>
                <w:rFonts w:ascii="宋体" w:hAnsi="宋体" w:cs="宋体" w:hint="eastAsia"/>
                <w:bCs/>
              </w:rPr>
              <w:t>QB/T 2506-2017 5.1</w:t>
            </w:r>
            <w:r>
              <w:rPr>
                <w:rFonts w:ascii="宋体" w:hAnsi="宋体" w:cs="宋体"/>
                <w:bCs/>
              </w:rPr>
              <w:t>.1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left="57"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snapToGrid w:val="0"/>
              <w:jc w:val="center"/>
              <w:rPr>
                <w:rFonts w:ascii="宋体" w:hAnsi="宋体" w:cs="宋体"/>
                <w:bCs/>
                <w:sz w:val="18"/>
                <w:szCs w:val="18"/>
              </w:rPr>
            </w:pPr>
          </w:p>
        </w:tc>
        <w:tc>
          <w:tcPr>
            <w:tcW w:w="78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r>
      <w:tr w:rsidR="006D0ADC" w:rsidTr="00D90343">
        <w:trPr>
          <w:cantSplit/>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8</w:t>
            </w:r>
          </w:p>
        </w:tc>
        <w:tc>
          <w:tcPr>
            <w:tcW w:w="1652" w:type="dxa"/>
            <w:gridSpan w:val="3"/>
            <w:vAlign w:val="center"/>
          </w:tcPr>
          <w:p w:rsidR="006D0ADC" w:rsidRDefault="006D0ADC" w:rsidP="00D90343">
            <w:pPr>
              <w:pStyle w:val="a5"/>
              <w:snapToGrid w:val="0"/>
              <w:rPr>
                <w:rFonts w:ascii="宋体" w:hAnsi="宋体" w:cs="宋体"/>
                <w:bCs/>
              </w:rPr>
            </w:pPr>
            <w:r>
              <w:rPr>
                <w:rFonts w:ascii="宋体" w:hAnsi="宋体" w:cs="宋体" w:hint="eastAsia"/>
                <w:bCs/>
              </w:rPr>
              <w:t>材料和表面质量</w:t>
            </w:r>
          </w:p>
        </w:tc>
        <w:tc>
          <w:tcPr>
            <w:tcW w:w="2209" w:type="dxa"/>
            <w:vAlign w:val="center"/>
          </w:tcPr>
          <w:p w:rsidR="006D0ADC" w:rsidRDefault="006D0ADC" w:rsidP="00D90343">
            <w:pPr>
              <w:tabs>
                <w:tab w:val="center" w:pos="1029"/>
              </w:tabs>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left="57" w:right="57"/>
              <w:rPr>
                <w:rFonts w:ascii="宋体" w:hAnsi="宋体" w:cs="宋体"/>
                <w:bCs/>
                <w:sz w:val="18"/>
                <w:szCs w:val="18"/>
              </w:rPr>
            </w:pPr>
            <w:r>
              <w:rPr>
                <w:rFonts w:ascii="宋体" w:hAnsi="宋体" w:cs="宋体" w:hint="eastAsia"/>
                <w:bCs/>
                <w:sz w:val="18"/>
                <w:szCs w:val="18"/>
              </w:rPr>
              <w:t xml:space="preserve">GB 10810.1 </w:t>
            </w:r>
          </w:p>
        </w:tc>
        <w:tc>
          <w:tcPr>
            <w:tcW w:w="778" w:type="dxa"/>
            <w:vAlign w:val="center"/>
          </w:tcPr>
          <w:p w:rsidR="006D0ADC" w:rsidRDefault="006D0ADC" w:rsidP="00D90343">
            <w:pPr>
              <w:snapToGrid w:val="0"/>
              <w:jc w:val="center"/>
              <w:rPr>
                <w:rFonts w:ascii="宋体" w:hAnsi="宋体" w:cs="宋体"/>
                <w:bCs/>
                <w:sz w:val="18"/>
                <w:szCs w:val="18"/>
              </w:rPr>
            </w:pPr>
          </w:p>
        </w:tc>
        <w:tc>
          <w:tcPr>
            <w:tcW w:w="78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r>
      <w:tr w:rsidR="006D0ADC" w:rsidTr="00D90343">
        <w:trPr>
          <w:cantSplit/>
          <w:jc w:val="center"/>
        </w:trPr>
        <w:tc>
          <w:tcPr>
            <w:tcW w:w="675"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9</w:t>
            </w:r>
          </w:p>
        </w:tc>
        <w:tc>
          <w:tcPr>
            <w:tcW w:w="642" w:type="dxa"/>
            <w:gridSpan w:val="2"/>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几何</w:t>
            </w:r>
          </w:p>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尺寸</w:t>
            </w:r>
          </w:p>
        </w:tc>
        <w:tc>
          <w:tcPr>
            <w:tcW w:w="1010"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镜片尺寸</w:t>
            </w:r>
          </w:p>
        </w:tc>
        <w:tc>
          <w:tcPr>
            <w:tcW w:w="2209" w:type="dxa"/>
            <w:vAlign w:val="center"/>
          </w:tcPr>
          <w:p w:rsidR="006D0ADC" w:rsidRDefault="006D0ADC" w:rsidP="00D90343">
            <w:pPr>
              <w:tabs>
                <w:tab w:val="center" w:pos="1029"/>
              </w:tabs>
              <w:snapToGrid w:val="0"/>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left="57" w:right="57"/>
              <w:rPr>
                <w:rFonts w:ascii="宋体" w:hAnsi="宋体" w:cs="宋体"/>
                <w:bCs/>
                <w:sz w:val="18"/>
                <w:szCs w:val="18"/>
              </w:rPr>
            </w:pPr>
            <w:r>
              <w:rPr>
                <w:rFonts w:ascii="宋体" w:hAnsi="宋体" w:cs="宋体" w:hint="eastAsia"/>
                <w:bCs/>
                <w:sz w:val="18"/>
                <w:szCs w:val="18"/>
              </w:rPr>
              <w:t xml:space="preserve">GB 10810.1 </w:t>
            </w:r>
          </w:p>
        </w:tc>
        <w:tc>
          <w:tcPr>
            <w:tcW w:w="778" w:type="dxa"/>
            <w:vMerge w:val="restart"/>
            <w:vAlign w:val="center"/>
          </w:tcPr>
          <w:p w:rsidR="006D0ADC" w:rsidRDefault="006D0ADC" w:rsidP="00D90343">
            <w:pPr>
              <w:snapToGrid w:val="0"/>
              <w:jc w:val="center"/>
              <w:rPr>
                <w:rFonts w:ascii="宋体" w:hAnsi="宋体" w:cs="宋体"/>
                <w:bCs/>
                <w:sz w:val="18"/>
                <w:szCs w:val="18"/>
              </w:rPr>
            </w:pPr>
          </w:p>
        </w:tc>
        <w:tc>
          <w:tcPr>
            <w:tcW w:w="785"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475"/>
          <w:jc w:val="center"/>
        </w:trPr>
        <w:tc>
          <w:tcPr>
            <w:tcW w:w="675" w:type="dxa"/>
            <w:vMerge/>
            <w:vAlign w:val="center"/>
          </w:tcPr>
          <w:p w:rsidR="006D0ADC" w:rsidRDefault="006D0ADC" w:rsidP="00D90343">
            <w:pPr>
              <w:snapToGrid w:val="0"/>
              <w:jc w:val="center"/>
              <w:rPr>
                <w:rFonts w:ascii="宋体" w:hAnsi="宋体" w:cs="宋体"/>
                <w:bCs/>
                <w:sz w:val="18"/>
                <w:szCs w:val="18"/>
              </w:rPr>
            </w:pPr>
          </w:p>
        </w:tc>
        <w:tc>
          <w:tcPr>
            <w:tcW w:w="642" w:type="dxa"/>
            <w:gridSpan w:val="2"/>
            <w:vMerge/>
            <w:vAlign w:val="center"/>
          </w:tcPr>
          <w:p w:rsidR="006D0ADC" w:rsidRDefault="006D0ADC" w:rsidP="00D90343">
            <w:pPr>
              <w:snapToGrid w:val="0"/>
              <w:jc w:val="center"/>
              <w:rPr>
                <w:rFonts w:ascii="宋体" w:hAnsi="宋体" w:cs="宋体"/>
                <w:bCs/>
                <w:sz w:val="18"/>
                <w:szCs w:val="18"/>
              </w:rPr>
            </w:pPr>
          </w:p>
        </w:tc>
        <w:tc>
          <w:tcPr>
            <w:tcW w:w="1010"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厚度</w:t>
            </w:r>
          </w:p>
        </w:tc>
        <w:tc>
          <w:tcPr>
            <w:tcW w:w="2209" w:type="dxa"/>
            <w:vAlign w:val="center"/>
          </w:tcPr>
          <w:p w:rsidR="006D0ADC" w:rsidRDefault="006D0ADC" w:rsidP="00D90343">
            <w:pPr>
              <w:tabs>
                <w:tab w:val="center" w:pos="1029"/>
              </w:tabs>
              <w:snapToGrid w:val="0"/>
              <w:ind w:right="-28"/>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left="57" w:right="57"/>
              <w:rPr>
                <w:rFonts w:ascii="宋体" w:hAnsi="宋体" w:cs="宋体"/>
                <w:bCs/>
                <w:sz w:val="18"/>
                <w:szCs w:val="18"/>
              </w:rPr>
            </w:pPr>
            <w:r>
              <w:rPr>
                <w:rFonts w:ascii="宋体" w:hAnsi="宋体" w:cs="宋体" w:hint="eastAsia"/>
                <w:bCs/>
                <w:sz w:val="18"/>
                <w:szCs w:val="18"/>
              </w:rPr>
              <w:t xml:space="preserve">GB 10810.1 </w:t>
            </w:r>
          </w:p>
        </w:tc>
        <w:tc>
          <w:tcPr>
            <w:tcW w:w="778" w:type="dxa"/>
            <w:vMerge/>
            <w:vAlign w:val="center"/>
          </w:tcPr>
          <w:p w:rsidR="006D0ADC" w:rsidRDefault="006D0ADC" w:rsidP="00D90343">
            <w:pPr>
              <w:snapToGrid w:val="0"/>
              <w:ind w:right="-28"/>
              <w:jc w:val="center"/>
              <w:rPr>
                <w:rFonts w:ascii="宋体" w:hAnsi="宋体" w:cs="宋体"/>
                <w:bCs/>
                <w:sz w:val="18"/>
                <w:szCs w:val="18"/>
              </w:rPr>
            </w:pPr>
          </w:p>
        </w:tc>
        <w:tc>
          <w:tcPr>
            <w:tcW w:w="785" w:type="dxa"/>
            <w:vMerge/>
          </w:tcPr>
          <w:p w:rsidR="006D0ADC" w:rsidRDefault="006D0ADC" w:rsidP="00D90343">
            <w:pPr>
              <w:snapToGrid w:val="0"/>
              <w:ind w:right="-28"/>
              <w:jc w:val="center"/>
              <w:rPr>
                <w:rFonts w:ascii="宋体" w:hAnsi="宋体" w:cs="宋体"/>
                <w:bCs/>
                <w:sz w:val="18"/>
                <w:szCs w:val="18"/>
              </w:rPr>
            </w:pPr>
          </w:p>
        </w:tc>
      </w:tr>
      <w:tr w:rsidR="006D0ADC" w:rsidTr="00D90343">
        <w:trPr>
          <w:cantSplit/>
          <w:trHeight w:val="539"/>
          <w:jc w:val="center"/>
        </w:trPr>
        <w:tc>
          <w:tcPr>
            <w:tcW w:w="675" w:type="dxa"/>
            <w:vMerge/>
            <w:vAlign w:val="center"/>
          </w:tcPr>
          <w:p w:rsidR="006D0ADC" w:rsidRDefault="006D0ADC" w:rsidP="00D90343">
            <w:pPr>
              <w:snapToGrid w:val="0"/>
              <w:jc w:val="center"/>
              <w:rPr>
                <w:rFonts w:ascii="宋体" w:hAnsi="宋体" w:cs="宋体"/>
                <w:bCs/>
                <w:sz w:val="18"/>
                <w:szCs w:val="18"/>
              </w:rPr>
            </w:pPr>
          </w:p>
        </w:tc>
        <w:tc>
          <w:tcPr>
            <w:tcW w:w="642" w:type="dxa"/>
            <w:gridSpan w:val="2"/>
            <w:vMerge/>
            <w:vAlign w:val="center"/>
          </w:tcPr>
          <w:p w:rsidR="006D0ADC" w:rsidRDefault="006D0ADC" w:rsidP="00D90343">
            <w:pPr>
              <w:snapToGrid w:val="0"/>
              <w:jc w:val="center"/>
              <w:rPr>
                <w:rFonts w:ascii="宋体" w:hAnsi="宋体" w:cs="宋体"/>
                <w:bCs/>
                <w:sz w:val="18"/>
                <w:szCs w:val="18"/>
              </w:rPr>
            </w:pPr>
          </w:p>
        </w:tc>
        <w:tc>
          <w:tcPr>
            <w:tcW w:w="1010"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多焦点镜片的子镜片尺寸</w:t>
            </w:r>
          </w:p>
        </w:tc>
        <w:tc>
          <w:tcPr>
            <w:tcW w:w="2209" w:type="dxa"/>
            <w:vAlign w:val="center"/>
          </w:tcPr>
          <w:p w:rsidR="006D0ADC" w:rsidRDefault="006D0ADC" w:rsidP="00D90343">
            <w:pPr>
              <w:tabs>
                <w:tab w:val="center" w:pos="1029"/>
              </w:tabs>
              <w:snapToGrid w:val="0"/>
              <w:ind w:right="-28"/>
              <w:rPr>
                <w:rFonts w:ascii="宋体" w:hAnsi="宋体" w:cs="宋体"/>
                <w:bCs/>
                <w:sz w:val="18"/>
                <w:szCs w:val="18"/>
              </w:rPr>
            </w:pPr>
            <w:r>
              <w:rPr>
                <w:rFonts w:ascii="宋体" w:hAnsi="宋体" w:cs="宋体" w:hint="eastAsia"/>
                <w:bCs/>
                <w:sz w:val="18"/>
                <w:szCs w:val="18"/>
              </w:rPr>
              <w:t>QB/T 2506-2017 5.1.</w:t>
            </w:r>
            <w:r>
              <w:rPr>
                <w:rFonts w:ascii="宋体" w:hAnsi="宋体" w:cs="宋体"/>
                <w:bCs/>
                <w:sz w:val="18"/>
                <w:szCs w:val="18"/>
              </w:rPr>
              <w:t>1</w:t>
            </w:r>
          </w:p>
        </w:tc>
        <w:tc>
          <w:tcPr>
            <w:tcW w:w="847"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ind w:left="57" w:right="57"/>
              <w:rPr>
                <w:rFonts w:ascii="宋体" w:hAnsi="宋体" w:cs="宋体"/>
                <w:bCs/>
                <w:sz w:val="18"/>
                <w:szCs w:val="18"/>
              </w:rPr>
            </w:pPr>
            <w:r>
              <w:rPr>
                <w:rFonts w:ascii="宋体" w:hAnsi="宋体" w:cs="宋体" w:hint="eastAsia"/>
                <w:bCs/>
                <w:sz w:val="18"/>
                <w:szCs w:val="18"/>
              </w:rPr>
              <w:t xml:space="preserve">GB 10810.1 </w:t>
            </w:r>
          </w:p>
        </w:tc>
        <w:tc>
          <w:tcPr>
            <w:tcW w:w="778" w:type="dxa"/>
            <w:vMerge/>
            <w:vAlign w:val="center"/>
          </w:tcPr>
          <w:p w:rsidR="006D0ADC" w:rsidRDefault="006D0ADC" w:rsidP="00D90343">
            <w:pPr>
              <w:snapToGrid w:val="0"/>
              <w:ind w:right="-28"/>
              <w:jc w:val="center"/>
              <w:rPr>
                <w:rFonts w:ascii="宋体" w:hAnsi="宋体" w:cs="宋体"/>
                <w:bCs/>
                <w:sz w:val="18"/>
                <w:szCs w:val="18"/>
              </w:rPr>
            </w:pPr>
          </w:p>
        </w:tc>
        <w:tc>
          <w:tcPr>
            <w:tcW w:w="785" w:type="dxa"/>
            <w:vMerge/>
          </w:tcPr>
          <w:p w:rsidR="006D0ADC" w:rsidRDefault="006D0ADC" w:rsidP="00D90343">
            <w:pPr>
              <w:snapToGrid w:val="0"/>
              <w:ind w:right="-28"/>
              <w:jc w:val="center"/>
              <w:rPr>
                <w:rFonts w:ascii="宋体" w:hAnsi="宋体" w:cs="宋体"/>
                <w:bCs/>
                <w:sz w:val="18"/>
                <w:szCs w:val="18"/>
              </w:rPr>
            </w:pPr>
          </w:p>
        </w:tc>
      </w:tr>
      <w:tr w:rsidR="006D0ADC" w:rsidTr="00D90343">
        <w:trPr>
          <w:cantSplit/>
          <w:trHeight w:val="1376"/>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10</w:t>
            </w:r>
          </w:p>
        </w:tc>
        <w:tc>
          <w:tcPr>
            <w:tcW w:w="1652" w:type="dxa"/>
            <w:gridSpan w:val="3"/>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基准点厚度</w:t>
            </w:r>
          </w:p>
        </w:tc>
        <w:tc>
          <w:tcPr>
            <w:tcW w:w="2209" w:type="dxa"/>
            <w:vAlign w:val="center"/>
          </w:tcPr>
          <w:p w:rsidR="006D0ADC" w:rsidRDefault="006D0ADC" w:rsidP="00D90343">
            <w:pPr>
              <w:pStyle w:val="a5"/>
              <w:tabs>
                <w:tab w:val="center" w:pos="1029"/>
              </w:tabs>
              <w:rPr>
                <w:rFonts w:ascii="宋体" w:hAnsi="宋体" w:cs="宋体"/>
                <w:bCs/>
              </w:rPr>
            </w:pPr>
            <w:r>
              <w:rPr>
                <w:rFonts w:ascii="宋体" w:hAnsi="宋体" w:cs="宋体" w:hint="eastAsia"/>
                <w:bCs/>
              </w:rPr>
              <w:t>QB/T 2506-2017 5.1.</w:t>
            </w:r>
            <w:r>
              <w:rPr>
                <w:rFonts w:ascii="宋体" w:hAnsi="宋体" w:cs="宋体"/>
                <w:bCs/>
              </w:rPr>
              <w:t>3</w:t>
            </w:r>
          </w:p>
        </w:tc>
        <w:tc>
          <w:tcPr>
            <w:tcW w:w="847" w:type="dxa"/>
            <w:vAlign w:val="center"/>
          </w:tcPr>
          <w:p w:rsidR="006D0ADC" w:rsidRDefault="006D0ADC" w:rsidP="00D90343">
            <w:pPr>
              <w:snapToGrid w:val="0"/>
              <w:ind w:firstLineChars="50" w:firstLine="90"/>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 xml:space="preserve">GB 10810.1 </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492"/>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11</w:t>
            </w:r>
          </w:p>
        </w:tc>
        <w:tc>
          <w:tcPr>
            <w:tcW w:w="1652" w:type="dxa"/>
            <w:gridSpan w:val="3"/>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折射率</w:t>
            </w:r>
          </w:p>
        </w:tc>
        <w:tc>
          <w:tcPr>
            <w:tcW w:w="2209" w:type="dxa"/>
            <w:vAlign w:val="center"/>
          </w:tcPr>
          <w:p w:rsidR="006D0ADC" w:rsidRDefault="006D0ADC" w:rsidP="00D90343">
            <w:pPr>
              <w:pStyle w:val="a5"/>
              <w:tabs>
                <w:tab w:val="center" w:pos="1029"/>
              </w:tabs>
              <w:rPr>
                <w:rFonts w:ascii="宋体" w:hAnsi="宋体" w:cs="宋体"/>
                <w:bCs/>
              </w:rPr>
            </w:pPr>
            <w:r>
              <w:rPr>
                <w:rFonts w:ascii="宋体" w:hAnsi="宋体" w:cs="宋体" w:hint="eastAsia"/>
                <w:bCs/>
              </w:rPr>
              <w:t>QB/T</w:t>
            </w:r>
            <w:r>
              <w:rPr>
                <w:rFonts w:ascii="宋体" w:hAnsi="宋体" w:hint="eastAsia"/>
              </w:rPr>
              <w:t xml:space="preserve"> 2506</w:t>
            </w:r>
            <w:r>
              <w:rPr>
                <w:rFonts w:ascii="宋体" w:hAnsi="宋体" w:cs="宋体" w:hint="eastAsia"/>
                <w:bCs/>
              </w:rPr>
              <w:t>-2017</w:t>
            </w:r>
            <w:r>
              <w:rPr>
                <w:rFonts w:ascii="宋体" w:hAnsi="宋体" w:hint="eastAsia"/>
              </w:rPr>
              <w:t xml:space="preserve"> 5.5</w:t>
            </w:r>
          </w:p>
        </w:tc>
        <w:tc>
          <w:tcPr>
            <w:tcW w:w="847" w:type="dxa"/>
            <w:vAlign w:val="center"/>
          </w:tcPr>
          <w:p w:rsidR="006D0ADC" w:rsidRDefault="006D0ADC" w:rsidP="00D90343">
            <w:pPr>
              <w:snapToGrid w:val="0"/>
              <w:ind w:firstLineChars="50" w:firstLine="90"/>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556"/>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12</w:t>
            </w:r>
          </w:p>
        </w:tc>
        <w:tc>
          <w:tcPr>
            <w:tcW w:w="1652" w:type="dxa"/>
            <w:gridSpan w:val="3"/>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阿贝数（色散系数）</w:t>
            </w:r>
          </w:p>
        </w:tc>
        <w:tc>
          <w:tcPr>
            <w:tcW w:w="2209" w:type="dxa"/>
            <w:vAlign w:val="center"/>
          </w:tcPr>
          <w:p w:rsidR="006D0ADC" w:rsidRDefault="006D0ADC" w:rsidP="00D90343">
            <w:pPr>
              <w:pStyle w:val="a5"/>
              <w:tabs>
                <w:tab w:val="center" w:pos="1029"/>
              </w:tabs>
              <w:rPr>
                <w:rFonts w:ascii="宋体" w:hAnsi="宋体" w:cs="宋体"/>
                <w:bCs/>
              </w:rPr>
            </w:pPr>
            <w:r>
              <w:rPr>
                <w:rFonts w:ascii="宋体" w:hAnsi="宋体" w:cs="宋体" w:hint="eastAsia"/>
                <w:bCs/>
              </w:rPr>
              <w:t>QB/T</w:t>
            </w:r>
            <w:r>
              <w:rPr>
                <w:rFonts w:ascii="宋体" w:hAnsi="宋体" w:hint="eastAsia"/>
              </w:rPr>
              <w:t xml:space="preserve"> 2506</w:t>
            </w:r>
            <w:r>
              <w:rPr>
                <w:rFonts w:ascii="宋体" w:hAnsi="宋体" w:cs="宋体" w:hint="eastAsia"/>
                <w:bCs/>
              </w:rPr>
              <w:t>-2017</w:t>
            </w:r>
            <w:r>
              <w:rPr>
                <w:rFonts w:ascii="宋体" w:hAnsi="宋体" w:hint="eastAsia"/>
              </w:rPr>
              <w:t xml:space="preserve"> 5.6</w:t>
            </w:r>
          </w:p>
        </w:tc>
        <w:tc>
          <w:tcPr>
            <w:tcW w:w="847" w:type="dxa"/>
            <w:vAlign w:val="center"/>
          </w:tcPr>
          <w:p w:rsidR="006D0ADC" w:rsidRDefault="006D0ADC" w:rsidP="00D90343">
            <w:pPr>
              <w:snapToGrid w:val="0"/>
              <w:ind w:firstLineChars="50" w:firstLine="90"/>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563"/>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13</w:t>
            </w:r>
          </w:p>
        </w:tc>
        <w:tc>
          <w:tcPr>
            <w:tcW w:w="1652" w:type="dxa"/>
            <w:gridSpan w:val="3"/>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耐光辐照</w:t>
            </w:r>
          </w:p>
        </w:tc>
        <w:tc>
          <w:tcPr>
            <w:tcW w:w="2209" w:type="dxa"/>
            <w:vAlign w:val="center"/>
          </w:tcPr>
          <w:p w:rsidR="006D0ADC" w:rsidRDefault="006D0ADC" w:rsidP="00D90343">
            <w:pPr>
              <w:pStyle w:val="a5"/>
              <w:tabs>
                <w:tab w:val="center" w:pos="1029"/>
              </w:tabs>
              <w:rPr>
                <w:rFonts w:ascii="宋体" w:hAnsi="宋体" w:cs="宋体"/>
                <w:bCs/>
              </w:rPr>
            </w:pPr>
            <w:r>
              <w:rPr>
                <w:rFonts w:ascii="宋体" w:hAnsi="宋体" w:cs="宋体" w:hint="eastAsia"/>
                <w:bCs/>
              </w:rPr>
              <w:t>QB/T</w:t>
            </w:r>
            <w:r>
              <w:rPr>
                <w:rFonts w:ascii="宋体" w:hAnsi="宋体" w:hint="eastAsia"/>
              </w:rPr>
              <w:t xml:space="preserve"> 2506</w:t>
            </w:r>
            <w:r>
              <w:rPr>
                <w:rFonts w:ascii="宋体" w:hAnsi="宋体" w:cs="宋体" w:hint="eastAsia"/>
                <w:bCs/>
              </w:rPr>
              <w:t>-2017</w:t>
            </w:r>
            <w:r>
              <w:rPr>
                <w:rFonts w:ascii="宋体" w:hAnsi="宋体" w:hint="eastAsia"/>
              </w:rPr>
              <w:t xml:space="preserve"> 5.7</w:t>
            </w:r>
          </w:p>
        </w:tc>
        <w:tc>
          <w:tcPr>
            <w:tcW w:w="847" w:type="dxa"/>
            <w:vAlign w:val="center"/>
          </w:tcPr>
          <w:p w:rsidR="006D0ADC" w:rsidRDefault="006D0ADC" w:rsidP="00D90343">
            <w:pPr>
              <w:snapToGrid w:val="0"/>
              <w:ind w:firstLineChars="50" w:firstLine="90"/>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233"/>
          <w:jc w:val="center"/>
        </w:trPr>
        <w:tc>
          <w:tcPr>
            <w:tcW w:w="675"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14</w:t>
            </w:r>
          </w:p>
        </w:tc>
        <w:tc>
          <w:tcPr>
            <w:tcW w:w="442" w:type="dxa"/>
            <w:vMerge w:val="restart"/>
            <w:vAlign w:val="center"/>
          </w:tcPr>
          <w:p w:rsidR="006D0ADC" w:rsidRDefault="006D0ADC" w:rsidP="00D90343">
            <w:pPr>
              <w:pStyle w:val="a5"/>
              <w:snapToGrid w:val="0"/>
              <w:rPr>
                <w:rFonts w:ascii="宋体" w:hAnsi="宋体" w:cs="宋体"/>
                <w:bCs/>
              </w:rPr>
            </w:pPr>
            <w:r>
              <w:rPr>
                <w:rFonts w:ascii="宋体" w:hAnsi="宋体" w:cs="宋体" w:hint="eastAsia"/>
                <w:bCs/>
              </w:rPr>
              <w:t>透射比</w:t>
            </w:r>
          </w:p>
        </w:tc>
        <w:tc>
          <w:tcPr>
            <w:tcW w:w="1210" w:type="dxa"/>
            <w:gridSpan w:val="2"/>
            <w:vAlign w:val="center"/>
          </w:tcPr>
          <w:p w:rsidR="006D0ADC" w:rsidRDefault="006D0ADC" w:rsidP="00D90343">
            <w:pPr>
              <w:pStyle w:val="a5"/>
              <w:snapToGrid w:val="0"/>
              <w:rPr>
                <w:rFonts w:ascii="宋体" w:hAnsi="宋体" w:cs="宋体"/>
                <w:bCs/>
              </w:rPr>
            </w:pPr>
            <w:r>
              <w:rPr>
                <w:rFonts w:ascii="宋体" w:hAnsi="宋体" w:cs="宋体" w:hint="eastAsia"/>
                <w:bCs/>
              </w:rPr>
              <w:t>可见光谱范围</w:t>
            </w:r>
          </w:p>
        </w:tc>
        <w:tc>
          <w:tcPr>
            <w:tcW w:w="2209" w:type="dxa"/>
            <w:vMerge w:val="restart"/>
            <w:vAlign w:val="center"/>
          </w:tcPr>
          <w:p w:rsidR="006D0ADC" w:rsidRDefault="006D0ADC" w:rsidP="00D90343">
            <w:pPr>
              <w:pStyle w:val="a5"/>
              <w:rPr>
                <w:rFonts w:ascii="宋体" w:hAnsi="宋体" w:cs="宋体"/>
                <w:bCs/>
              </w:rPr>
            </w:pPr>
            <w:r>
              <w:rPr>
                <w:rFonts w:ascii="宋体" w:hAnsi="宋体" w:cs="宋体" w:hint="eastAsia"/>
                <w:bCs/>
              </w:rPr>
              <w:t>QB/T 2506-2017 5.4</w:t>
            </w:r>
          </w:p>
        </w:tc>
        <w:tc>
          <w:tcPr>
            <w:tcW w:w="847" w:type="dxa"/>
            <w:vMerge w:val="restart"/>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Merge w:val="restart"/>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 xml:space="preserve">GB 10810.3 </w:t>
            </w:r>
          </w:p>
        </w:tc>
        <w:tc>
          <w:tcPr>
            <w:tcW w:w="778" w:type="dxa"/>
            <w:vMerge w:val="restart"/>
          </w:tcPr>
          <w:p w:rsidR="006D0ADC" w:rsidRDefault="006D0ADC" w:rsidP="00D90343">
            <w:pPr>
              <w:snapToGrid w:val="0"/>
              <w:ind w:right="-28"/>
              <w:jc w:val="center"/>
              <w:rPr>
                <w:rFonts w:ascii="宋体" w:hAnsi="宋体" w:cs="宋体"/>
                <w:bCs/>
                <w:sz w:val="18"/>
                <w:szCs w:val="18"/>
              </w:rPr>
            </w:pPr>
          </w:p>
        </w:tc>
        <w:tc>
          <w:tcPr>
            <w:tcW w:w="785" w:type="dxa"/>
            <w:vMerge w:val="restart"/>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232"/>
          <w:jc w:val="center"/>
        </w:trPr>
        <w:tc>
          <w:tcPr>
            <w:tcW w:w="675" w:type="dxa"/>
            <w:vMerge/>
            <w:vAlign w:val="center"/>
          </w:tcPr>
          <w:p w:rsidR="006D0ADC" w:rsidRDefault="006D0ADC" w:rsidP="00D90343">
            <w:pPr>
              <w:snapToGrid w:val="0"/>
              <w:jc w:val="center"/>
              <w:rPr>
                <w:rFonts w:ascii="宋体" w:hAnsi="宋体" w:cs="宋体"/>
                <w:bCs/>
                <w:sz w:val="18"/>
                <w:szCs w:val="18"/>
              </w:rPr>
            </w:pPr>
          </w:p>
        </w:tc>
        <w:tc>
          <w:tcPr>
            <w:tcW w:w="442" w:type="dxa"/>
            <w:vMerge/>
            <w:vAlign w:val="center"/>
          </w:tcPr>
          <w:p w:rsidR="006D0ADC" w:rsidRDefault="006D0ADC" w:rsidP="00D90343">
            <w:pPr>
              <w:pStyle w:val="a5"/>
              <w:snapToGrid w:val="0"/>
              <w:rPr>
                <w:rFonts w:ascii="宋体" w:hAnsi="宋体" w:cs="宋体"/>
                <w:bCs/>
              </w:rPr>
            </w:pPr>
          </w:p>
        </w:tc>
        <w:tc>
          <w:tcPr>
            <w:tcW w:w="1210" w:type="dxa"/>
            <w:gridSpan w:val="2"/>
            <w:vAlign w:val="center"/>
          </w:tcPr>
          <w:p w:rsidR="006D0ADC" w:rsidRDefault="006D0ADC" w:rsidP="00D90343">
            <w:pPr>
              <w:pStyle w:val="a5"/>
              <w:snapToGrid w:val="0"/>
              <w:rPr>
                <w:rFonts w:ascii="宋体" w:hAnsi="宋体" w:cs="宋体"/>
                <w:bCs/>
              </w:rPr>
            </w:pPr>
            <w:r>
              <w:rPr>
                <w:rFonts w:ascii="宋体" w:hAnsi="宋体" w:cs="宋体" w:hint="eastAsia"/>
                <w:bCs/>
              </w:rPr>
              <w:t>紫外光</w:t>
            </w:r>
            <w:proofErr w:type="gramStart"/>
            <w:r>
              <w:rPr>
                <w:rFonts w:ascii="宋体" w:hAnsi="宋体" w:cs="宋体" w:hint="eastAsia"/>
                <w:bCs/>
              </w:rPr>
              <w:t>谱范围</w:t>
            </w:r>
            <w:proofErr w:type="gramEnd"/>
          </w:p>
        </w:tc>
        <w:tc>
          <w:tcPr>
            <w:tcW w:w="2209" w:type="dxa"/>
            <w:vMerge/>
            <w:vAlign w:val="center"/>
          </w:tcPr>
          <w:p w:rsidR="006D0ADC" w:rsidRDefault="006D0ADC" w:rsidP="00D90343">
            <w:pPr>
              <w:pStyle w:val="a5"/>
              <w:rPr>
                <w:rFonts w:ascii="宋体" w:hAnsi="宋体" w:cs="宋体"/>
                <w:bCs/>
              </w:rPr>
            </w:pPr>
          </w:p>
        </w:tc>
        <w:tc>
          <w:tcPr>
            <w:tcW w:w="847" w:type="dxa"/>
            <w:vMerge/>
            <w:vAlign w:val="center"/>
          </w:tcPr>
          <w:p w:rsidR="006D0ADC" w:rsidRDefault="006D0ADC" w:rsidP="00D90343">
            <w:pPr>
              <w:snapToGrid w:val="0"/>
              <w:jc w:val="center"/>
              <w:rPr>
                <w:rFonts w:ascii="宋体" w:hAnsi="宋体" w:cs="宋体"/>
                <w:bCs/>
                <w:sz w:val="18"/>
                <w:szCs w:val="18"/>
              </w:rPr>
            </w:pPr>
          </w:p>
        </w:tc>
        <w:tc>
          <w:tcPr>
            <w:tcW w:w="2098" w:type="dxa"/>
            <w:vMerge/>
            <w:vAlign w:val="center"/>
          </w:tcPr>
          <w:p w:rsidR="006D0ADC" w:rsidRDefault="006D0ADC" w:rsidP="00D90343">
            <w:pPr>
              <w:snapToGrid w:val="0"/>
              <w:rPr>
                <w:rFonts w:ascii="宋体" w:hAnsi="宋体" w:cs="宋体"/>
                <w:bCs/>
                <w:sz w:val="18"/>
                <w:szCs w:val="18"/>
              </w:rPr>
            </w:pPr>
          </w:p>
        </w:tc>
        <w:tc>
          <w:tcPr>
            <w:tcW w:w="778" w:type="dxa"/>
            <w:vMerge/>
          </w:tcPr>
          <w:p w:rsidR="006D0ADC" w:rsidRDefault="006D0ADC" w:rsidP="00D90343">
            <w:pPr>
              <w:snapToGrid w:val="0"/>
              <w:ind w:right="-28"/>
              <w:jc w:val="center"/>
              <w:rPr>
                <w:rFonts w:ascii="宋体" w:hAnsi="宋体" w:cs="宋体"/>
                <w:bCs/>
                <w:sz w:val="18"/>
                <w:szCs w:val="18"/>
              </w:rPr>
            </w:pPr>
          </w:p>
        </w:tc>
        <w:tc>
          <w:tcPr>
            <w:tcW w:w="785" w:type="dxa"/>
            <w:vMerge/>
          </w:tcPr>
          <w:p w:rsidR="006D0ADC" w:rsidRDefault="006D0ADC" w:rsidP="00D90343">
            <w:pPr>
              <w:snapToGrid w:val="0"/>
              <w:ind w:right="-28"/>
              <w:jc w:val="center"/>
              <w:rPr>
                <w:rFonts w:ascii="宋体" w:hAnsi="宋体" w:cs="宋体"/>
                <w:bCs/>
                <w:sz w:val="18"/>
                <w:szCs w:val="18"/>
              </w:rPr>
            </w:pPr>
          </w:p>
        </w:tc>
      </w:tr>
      <w:tr w:rsidR="006D0ADC" w:rsidTr="00D90343">
        <w:trPr>
          <w:cantSplit/>
          <w:trHeight w:val="447"/>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15</w:t>
            </w:r>
          </w:p>
        </w:tc>
        <w:tc>
          <w:tcPr>
            <w:tcW w:w="1652" w:type="dxa"/>
            <w:gridSpan w:val="3"/>
            <w:vAlign w:val="center"/>
          </w:tcPr>
          <w:p w:rsidR="006D0ADC" w:rsidRDefault="006D0ADC" w:rsidP="00D90343">
            <w:pPr>
              <w:pStyle w:val="a5"/>
              <w:snapToGrid w:val="0"/>
              <w:rPr>
                <w:rFonts w:ascii="宋体" w:hAnsi="宋体" w:cs="宋体"/>
                <w:bCs/>
              </w:rPr>
            </w:pPr>
            <w:r>
              <w:rPr>
                <w:rFonts w:hint="eastAsia"/>
                <w:color w:val="000000"/>
              </w:rPr>
              <w:t>紫外性能（明示指标）</w:t>
            </w:r>
          </w:p>
        </w:tc>
        <w:tc>
          <w:tcPr>
            <w:tcW w:w="2209" w:type="dxa"/>
            <w:vAlign w:val="center"/>
          </w:tcPr>
          <w:p w:rsidR="006D0ADC" w:rsidRDefault="006D0ADC" w:rsidP="00D90343">
            <w:pPr>
              <w:pStyle w:val="a5"/>
              <w:rPr>
                <w:rFonts w:ascii="宋体" w:hAnsi="宋体" w:cs="宋体"/>
                <w:bCs/>
              </w:rPr>
            </w:pPr>
            <w:r>
              <w:rPr>
                <w:rFonts w:ascii="宋体" w:hAnsi="宋体" w:cs="宋体" w:hint="eastAsia"/>
                <w:bCs/>
              </w:rPr>
              <w:t>QB/T 2506-2017 5.4.2.4</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GB 10810.3</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413"/>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16</w:t>
            </w:r>
          </w:p>
        </w:tc>
        <w:tc>
          <w:tcPr>
            <w:tcW w:w="1652" w:type="dxa"/>
            <w:gridSpan w:val="3"/>
            <w:vAlign w:val="center"/>
          </w:tcPr>
          <w:p w:rsidR="006D0ADC" w:rsidRDefault="006D0ADC" w:rsidP="00D90343">
            <w:pPr>
              <w:pStyle w:val="a5"/>
              <w:snapToGrid w:val="0"/>
              <w:rPr>
                <w:rFonts w:ascii="宋体" w:hAnsi="宋体" w:cs="宋体"/>
                <w:bCs/>
              </w:rPr>
            </w:pPr>
            <w:r>
              <w:rPr>
                <w:rFonts w:ascii="宋体" w:hAnsi="宋体" w:cs="宋体" w:hint="eastAsia"/>
                <w:bCs/>
              </w:rPr>
              <w:t>阻燃性</w:t>
            </w:r>
          </w:p>
        </w:tc>
        <w:tc>
          <w:tcPr>
            <w:tcW w:w="2209" w:type="dxa"/>
            <w:vAlign w:val="center"/>
          </w:tcPr>
          <w:p w:rsidR="006D0ADC" w:rsidRDefault="006D0ADC" w:rsidP="00D90343">
            <w:pPr>
              <w:pStyle w:val="a5"/>
              <w:rPr>
                <w:rFonts w:ascii="宋体" w:hAnsi="宋体" w:cs="宋体"/>
                <w:bCs/>
              </w:rPr>
            </w:pPr>
            <w:r>
              <w:rPr>
                <w:rFonts w:ascii="宋体" w:hAnsi="宋体" w:cs="宋体" w:hint="eastAsia"/>
                <w:bCs/>
              </w:rPr>
              <w:t>QB/T 2506-2017 5.8</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trHeight w:val="413"/>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17</w:t>
            </w:r>
          </w:p>
        </w:tc>
        <w:tc>
          <w:tcPr>
            <w:tcW w:w="1652" w:type="dxa"/>
            <w:gridSpan w:val="3"/>
            <w:vAlign w:val="center"/>
          </w:tcPr>
          <w:p w:rsidR="006D0ADC" w:rsidRDefault="006D0ADC" w:rsidP="00D90343">
            <w:pPr>
              <w:pStyle w:val="a5"/>
              <w:snapToGrid w:val="0"/>
              <w:rPr>
                <w:rFonts w:ascii="宋体" w:hAnsi="宋体" w:cs="宋体"/>
                <w:bCs/>
              </w:rPr>
            </w:pPr>
            <w:r>
              <w:rPr>
                <w:rFonts w:ascii="宋体" w:hAnsi="宋体" w:cs="宋体" w:hint="eastAsia"/>
                <w:bCs/>
              </w:rPr>
              <w:t>抗冲击性能（明示指标）</w:t>
            </w:r>
          </w:p>
        </w:tc>
        <w:tc>
          <w:tcPr>
            <w:tcW w:w="2209" w:type="dxa"/>
            <w:vAlign w:val="center"/>
          </w:tcPr>
          <w:p w:rsidR="006D0ADC" w:rsidRDefault="006D0ADC" w:rsidP="00D90343">
            <w:pPr>
              <w:pStyle w:val="a5"/>
              <w:rPr>
                <w:rFonts w:ascii="宋体" w:hAnsi="宋体" w:cs="宋体"/>
                <w:bCs/>
              </w:rPr>
            </w:pPr>
            <w:r>
              <w:rPr>
                <w:rFonts w:ascii="宋体" w:hAnsi="宋体" w:cs="宋体" w:hint="eastAsia"/>
                <w:bCs/>
              </w:rPr>
              <w:t>QB/T 2506-2017 5.9</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jc w:val="center"/>
        </w:trPr>
        <w:tc>
          <w:tcPr>
            <w:tcW w:w="675"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18</w:t>
            </w:r>
          </w:p>
        </w:tc>
        <w:tc>
          <w:tcPr>
            <w:tcW w:w="1652" w:type="dxa"/>
            <w:gridSpan w:val="3"/>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标   志</w:t>
            </w:r>
          </w:p>
        </w:tc>
        <w:tc>
          <w:tcPr>
            <w:tcW w:w="2209"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QB/T 2506-2017 8</w:t>
            </w:r>
          </w:p>
          <w:p w:rsidR="006D0ADC" w:rsidRDefault="006D0ADC" w:rsidP="00D90343">
            <w:pPr>
              <w:snapToGrid w:val="0"/>
              <w:rPr>
                <w:rFonts w:ascii="宋体" w:hAnsi="宋体" w:cs="宋体"/>
                <w:bCs/>
                <w:sz w:val="18"/>
                <w:szCs w:val="18"/>
              </w:rPr>
            </w:pPr>
            <w:r>
              <w:rPr>
                <w:rFonts w:ascii="宋体" w:hAnsi="宋体" w:cs="宋体" w:hint="eastAsia"/>
                <w:bCs/>
                <w:sz w:val="18"/>
                <w:szCs w:val="18"/>
              </w:rPr>
              <w:t>GB 10810.1 7.1</w:t>
            </w:r>
          </w:p>
          <w:p w:rsidR="006D0ADC" w:rsidRDefault="006D0ADC" w:rsidP="00D90343">
            <w:pPr>
              <w:snapToGrid w:val="0"/>
              <w:rPr>
                <w:rFonts w:ascii="宋体" w:hAnsi="宋体" w:cs="宋体"/>
                <w:bCs/>
                <w:sz w:val="18"/>
                <w:szCs w:val="18"/>
              </w:rPr>
            </w:pPr>
            <w:r>
              <w:rPr>
                <w:rFonts w:ascii="宋体" w:hAnsi="宋体" w:cs="宋体" w:hint="eastAsia"/>
                <w:bCs/>
                <w:sz w:val="18"/>
                <w:szCs w:val="18"/>
              </w:rPr>
              <w:t>GB 10810.3 8.1</w:t>
            </w:r>
          </w:p>
        </w:tc>
        <w:tc>
          <w:tcPr>
            <w:tcW w:w="847" w:type="dxa"/>
            <w:vAlign w:val="center"/>
          </w:tcPr>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强制性/</w:t>
            </w:r>
          </w:p>
          <w:p w:rsidR="006D0ADC" w:rsidRDefault="006D0ADC" w:rsidP="00D90343">
            <w:pPr>
              <w:snapToGrid w:val="0"/>
              <w:jc w:val="center"/>
              <w:rPr>
                <w:rFonts w:ascii="宋体" w:hAnsi="宋体" w:cs="宋体"/>
                <w:bCs/>
                <w:sz w:val="18"/>
                <w:szCs w:val="18"/>
              </w:rPr>
            </w:pPr>
            <w:r>
              <w:rPr>
                <w:rFonts w:ascii="宋体" w:hAnsi="宋体" w:cs="宋体" w:hint="eastAsia"/>
                <w:bCs/>
                <w:sz w:val="18"/>
                <w:szCs w:val="18"/>
              </w:rPr>
              <w:t>推荐性</w:t>
            </w:r>
          </w:p>
        </w:tc>
        <w:tc>
          <w:tcPr>
            <w:tcW w:w="2098" w:type="dxa"/>
            <w:vAlign w:val="center"/>
          </w:tcPr>
          <w:p w:rsidR="006D0ADC" w:rsidRDefault="006D0ADC" w:rsidP="00D90343">
            <w:pPr>
              <w:snapToGrid w:val="0"/>
              <w:rPr>
                <w:rFonts w:ascii="宋体" w:hAnsi="宋体" w:cs="宋体"/>
                <w:bCs/>
                <w:sz w:val="18"/>
                <w:szCs w:val="18"/>
              </w:rPr>
            </w:pPr>
            <w:r>
              <w:rPr>
                <w:rFonts w:ascii="宋体" w:hAnsi="宋体" w:cs="宋体" w:hint="eastAsia"/>
                <w:bCs/>
                <w:sz w:val="18"/>
                <w:szCs w:val="18"/>
              </w:rPr>
              <w:t>目测</w:t>
            </w:r>
          </w:p>
        </w:tc>
        <w:tc>
          <w:tcPr>
            <w:tcW w:w="778" w:type="dxa"/>
          </w:tcPr>
          <w:p w:rsidR="006D0ADC" w:rsidRDefault="006D0ADC" w:rsidP="00D90343">
            <w:pPr>
              <w:snapToGrid w:val="0"/>
              <w:ind w:right="-28"/>
              <w:jc w:val="center"/>
              <w:rPr>
                <w:rFonts w:ascii="宋体" w:hAnsi="宋体" w:cs="宋体"/>
                <w:bCs/>
                <w:sz w:val="18"/>
                <w:szCs w:val="18"/>
              </w:rPr>
            </w:pPr>
          </w:p>
        </w:tc>
        <w:tc>
          <w:tcPr>
            <w:tcW w:w="785" w:type="dxa"/>
            <w:vAlign w:val="center"/>
          </w:tcPr>
          <w:p w:rsidR="006D0ADC" w:rsidRDefault="006D0ADC" w:rsidP="00D90343">
            <w:pPr>
              <w:snapToGrid w:val="0"/>
              <w:ind w:right="-28"/>
              <w:jc w:val="center"/>
              <w:rPr>
                <w:rFonts w:ascii="宋体" w:hAnsi="宋体" w:cs="宋体"/>
                <w:bCs/>
                <w:sz w:val="18"/>
                <w:szCs w:val="18"/>
              </w:rPr>
            </w:pPr>
            <w:r>
              <w:rPr>
                <w:rFonts w:ascii="宋体" w:hAnsi="宋体" w:cs="宋体" w:hint="eastAsia"/>
                <w:bCs/>
                <w:sz w:val="18"/>
                <w:szCs w:val="18"/>
              </w:rPr>
              <w:t>●</w:t>
            </w:r>
          </w:p>
        </w:tc>
      </w:tr>
      <w:tr w:rsidR="006D0ADC" w:rsidTr="00D90343">
        <w:trPr>
          <w:cantSplit/>
          <w:jc w:val="center"/>
        </w:trPr>
        <w:tc>
          <w:tcPr>
            <w:tcW w:w="9044" w:type="dxa"/>
            <w:gridSpan w:val="9"/>
            <w:vAlign w:val="center"/>
          </w:tcPr>
          <w:p w:rsidR="006D0ADC" w:rsidRDefault="006D0ADC" w:rsidP="00D90343">
            <w:pPr>
              <w:snapToGrid w:val="0"/>
              <w:spacing w:line="320" w:lineRule="exact"/>
              <w:ind w:left="450" w:right="-28" w:hangingChars="250" w:hanging="450"/>
              <w:rPr>
                <w:rFonts w:ascii="宋体" w:cs="Sim Sun"/>
                <w:kern w:val="0"/>
                <w:sz w:val="18"/>
                <w:szCs w:val="18"/>
              </w:rPr>
            </w:pPr>
            <w:r>
              <w:rPr>
                <w:rFonts w:ascii="宋体" w:hAnsi="宋体" w:cs="宋体" w:hint="eastAsia"/>
                <w:bCs/>
                <w:sz w:val="18"/>
                <w:szCs w:val="18"/>
              </w:rPr>
              <w:t>备注：</w:t>
            </w:r>
            <w:r>
              <w:rPr>
                <w:rFonts w:ascii="宋体" w:hAnsi="宋体" w:hint="eastAsia"/>
                <w:sz w:val="18"/>
                <w:szCs w:val="18"/>
              </w:rPr>
              <w:t>1.标志</w:t>
            </w:r>
            <w:r>
              <w:rPr>
                <w:rFonts w:ascii="宋体" w:cs="Sim Sun" w:hint="eastAsia"/>
                <w:kern w:val="0"/>
                <w:sz w:val="18"/>
                <w:szCs w:val="18"/>
              </w:rPr>
              <w:t>项目包括:产品名称、商标、制造商名称和地址、执行标准号、顶焦度、镜片尺寸、基准点厚度、色泽、镀层情况、用途分类、光透射比分类、材料折射率和基准波长、阿贝数（色散系数）和基准波长、子镜片顶焦度（适用时）、子镜片的规格尺寸（适用时）、子镜片的棱镜度（适用时）、附加顶焦度值或佩戴位置的校正值（适用时）；</w:t>
            </w:r>
          </w:p>
          <w:p w:rsidR="006D0ADC" w:rsidRDefault="006D0ADC" w:rsidP="00D90343">
            <w:pPr>
              <w:ind w:leftChars="255" w:left="715" w:hangingChars="100" w:hanging="180"/>
              <w:rPr>
                <w:rFonts w:ascii="宋体" w:hAnsi="宋体" w:cs="宋体"/>
                <w:bCs/>
                <w:sz w:val="18"/>
                <w:szCs w:val="18"/>
              </w:rPr>
            </w:pPr>
            <w:r>
              <w:rPr>
                <w:rFonts w:ascii="宋体" w:hAnsi="宋体" w:cs="宋体" w:hint="eastAsia"/>
                <w:bCs/>
                <w:sz w:val="18"/>
                <w:szCs w:val="18"/>
              </w:rPr>
              <w:t>2.A类——极重要质量项目，B类——重要质量项目。极重要质量项目是指直接涉及人体健康、使用安全的</w:t>
            </w:r>
          </w:p>
          <w:p w:rsidR="006D0ADC" w:rsidRDefault="006D0ADC" w:rsidP="00D90343">
            <w:pPr>
              <w:ind w:leftChars="340" w:left="714"/>
              <w:rPr>
                <w:rFonts w:ascii="宋体" w:hAnsi="宋体" w:cs="宋体"/>
                <w:bCs/>
                <w:sz w:val="18"/>
                <w:szCs w:val="18"/>
              </w:rPr>
            </w:pPr>
            <w:r>
              <w:rPr>
                <w:rFonts w:ascii="宋体" w:hAnsi="宋体" w:cs="宋体" w:hint="eastAsia"/>
                <w:bCs/>
                <w:sz w:val="18"/>
                <w:szCs w:val="18"/>
              </w:rPr>
              <w:t>指标；重要质量项目是指产品涉及环保、能效、关键性能或特征值的指标；</w:t>
            </w:r>
          </w:p>
        </w:tc>
      </w:tr>
    </w:tbl>
    <w:p w:rsidR="006D0ADC" w:rsidRDefault="006D0ADC" w:rsidP="006D0ADC">
      <w:pPr>
        <w:spacing w:line="360" w:lineRule="auto"/>
        <w:rPr>
          <w:rFonts w:ascii="宋体" w:hAnsi="宋体" w:cs="宋体"/>
          <w:b/>
        </w:rPr>
      </w:pPr>
      <w:r>
        <w:rPr>
          <w:rFonts w:ascii="宋体" w:hAnsi="宋体" w:cs="宋体" w:hint="eastAsia"/>
          <w:b/>
        </w:rPr>
        <w:t>7.2 检验应注意的问题</w:t>
      </w:r>
    </w:p>
    <w:p w:rsidR="006D0ADC" w:rsidRDefault="006D0ADC" w:rsidP="006D0ADC">
      <w:pPr>
        <w:spacing w:line="360" w:lineRule="auto"/>
        <w:rPr>
          <w:rFonts w:ascii="宋体" w:hAnsi="宋体" w:cs="宋体"/>
          <w:b/>
        </w:rPr>
      </w:pPr>
      <w:r>
        <w:rPr>
          <w:rFonts w:ascii="宋体" w:hAnsi="宋体" w:cs="宋体" w:hint="eastAsia"/>
          <w:b/>
        </w:rPr>
        <w:t>7.2.1</w:t>
      </w:r>
      <w:r>
        <w:rPr>
          <w:rFonts w:ascii="宋体" w:hAnsi="宋体" w:cs="宋体" w:hint="eastAsia"/>
          <w:bCs/>
        </w:rPr>
        <w:t>若被检产品明示的质量要求高于本细则中检验项目依据的标准要求时，应按被检产品明示的质量要求判定。</w:t>
      </w:r>
    </w:p>
    <w:p w:rsidR="006D0ADC" w:rsidRDefault="006D0ADC" w:rsidP="006D0ADC">
      <w:pPr>
        <w:spacing w:line="360" w:lineRule="auto"/>
        <w:ind w:firstLineChars="200" w:firstLine="420"/>
        <w:rPr>
          <w:rFonts w:ascii="宋体" w:hAnsi="宋体" w:cs="宋体"/>
          <w:bCs/>
        </w:rPr>
      </w:pPr>
      <w:r>
        <w:rPr>
          <w:rFonts w:ascii="宋体" w:hAnsi="宋体" w:cs="宋体" w:hint="eastAsia"/>
          <w:bCs/>
        </w:rPr>
        <w:t>若被检产品明示的质量要求低于本细则中检验项目依据的强制性标准要求时，应按强制性标准要求判定。</w:t>
      </w:r>
    </w:p>
    <w:p w:rsidR="006D0ADC" w:rsidRDefault="006D0ADC" w:rsidP="006D0ADC">
      <w:pPr>
        <w:spacing w:line="360" w:lineRule="auto"/>
        <w:ind w:firstLineChars="200" w:firstLine="420"/>
        <w:rPr>
          <w:rFonts w:ascii="宋体" w:hAnsi="宋体" w:cs="宋体"/>
          <w:bCs/>
        </w:rPr>
      </w:pPr>
      <w:r>
        <w:rPr>
          <w:rFonts w:ascii="宋体" w:hAnsi="宋体" w:cs="宋体" w:hint="eastAsia"/>
          <w:bCs/>
        </w:rPr>
        <w:t>若被检产品明示的质量要求缺少本细则中检验项目依据的强制性标准要求时，应按照强制性标准要求判定。</w:t>
      </w:r>
    </w:p>
    <w:p w:rsidR="006D0ADC" w:rsidRDefault="006D0ADC" w:rsidP="006D0ADC">
      <w:pPr>
        <w:spacing w:line="360" w:lineRule="auto"/>
        <w:ind w:firstLineChars="200" w:firstLine="420"/>
        <w:rPr>
          <w:rFonts w:ascii="宋体" w:hAnsi="宋体" w:cs="宋体"/>
          <w:bCs/>
        </w:rPr>
      </w:pPr>
      <w:r>
        <w:rPr>
          <w:rFonts w:ascii="宋体" w:hAnsi="宋体" w:cs="宋体" w:hint="eastAsia"/>
          <w:bCs/>
        </w:rPr>
        <w:t>若被检产品明示的质量要求低于或包含</w:t>
      </w:r>
      <w:r w:rsidR="002C26AD">
        <w:rPr>
          <w:rFonts w:ascii="宋体" w:hAnsi="宋体" w:cs="宋体" w:hint="eastAsia"/>
          <w:bCs/>
        </w:rPr>
        <w:t>本</w:t>
      </w:r>
      <w:r>
        <w:rPr>
          <w:rFonts w:ascii="宋体" w:hAnsi="宋体" w:cs="宋体" w:hint="eastAsia"/>
          <w:bCs/>
        </w:rPr>
        <w:t>细则中检验项目依据的推荐性标准要求时，应以被检产品明示的质量要求判定。</w:t>
      </w:r>
    </w:p>
    <w:p w:rsidR="006D0ADC" w:rsidRDefault="006D0ADC" w:rsidP="006D0ADC">
      <w:pPr>
        <w:spacing w:line="360" w:lineRule="auto"/>
        <w:ind w:firstLineChars="200" w:firstLine="420"/>
        <w:rPr>
          <w:rFonts w:ascii="宋体" w:hAnsi="宋体" w:cs="宋体"/>
          <w:bCs/>
        </w:rPr>
      </w:pPr>
      <w:r>
        <w:rPr>
          <w:rFonts w:ascii="宋体" w:hAnsi="宋体" w:cs="宋体" w:hint="eastAsia"/>
          <w:bCs/>
        </w:rPr>
        <w:t>若被检产品明示的质量要求缺少本细则中检验项目依据的推荐性标准要求时，该项目不参与判定，但应在检验报告备注中进行说明。</w:t>
      </w:r>
    </w:p>
    <w:p w:rsidR="006D0ADC" w:rsidRDefault="006D0ADC" w:rsidP="006D0ADC">
      <w:pPr>
        <w:spacing w:line="360" w:lineRule="auto"/>
        <w:rPr>
          <w:rFonts w:ascii="宋体" w:hAnsi="宋体" w:cs="宋体"/>
          <w:bCs/>
        </w:rPr>
      </w:pPr>
      <w:r>
        <w:rPr>
          <w:rFonts w:ascii="宋体" w:hAnsi="宋体" w:cs="宋体" w:hint="eastAsia"/>
          <w:b/>
        </w:rPr>
        <w:lastRenderedPageBreak/>
        <w:t>7.2.2</w:t>
      </w:r>
      <w:r>
        <w:rPr>
          <w:rFonts w:ascii="宋体" w:hAnsi="宋体" w:cs="宋体" w:hint="eastAsia"/>
          <w:bCs/>
        </w:rPr>
        <w:t xml:space="preserve"> 检验机构接收样品应当有专人负责检查、记录样品的外观、状态、封条有无破损及其他可能对检测结果或者综合判定产生影响的情况，并确认样品与抽样单的记录是否相符，对检测样品加贴相应标识后入库。</w:t>
      </w:r>
    </w:p>
    <w:p w:rsidR="006D0ADC" w:rsidRDefault="006D0ADC" w:rsidP="00EC574A">
      <w:pPr>
        <w:spacing w:beforeLines="50" w:afterLines="50" w:line="360" w:lineRule="auto"/>
        <w:rPr>
          <w:rFonts w:ascii="宋体" w:hAnsi="宋体" w:cs="宋体"/>
          <w:b/>
        </w:rPr>
      </w:pPr>
      <w:r>
        <w:rPr>
          <w:rFonts w:ascii="宋体" w:hAnsi="宋体" w:cs="宋体" w:hint="eastAsia"/>
          <w:b/>
        </w:rPr>
        <w:t>8  判定原则</w:t>
      </w:r>
    </w:p>
    <w:p w:rsidR="006D0ADC" w:rsidRDefault="006D0ADC" w:rsidP="006D0ADC">
      <w:pPr>
        <w:snapToGrid w:val="0"/>
        <w:spacing w:line="360" w:lineRule="auto"/>
        <w:rPr>
          <w:rFonts w:ascii="宋体" w:hAnsi="宋体" w:cs="宋体"/>
          <w:b/>
        </w:rPr>
      </w:pPr>
      <w:r>
        <w:rPr>
          <w:rFonts w:ascii="宋体" w:hAnsi="宋体" w:cs="宋体" w:hint="eastAsia"/>
          <w:b/>
        </w:rPr>
        <w:t>8.1 单项判定原则</w:t>
      </w:r>
    </w:p>
    <w:p w:rsidR="006D0ADC" w:rsidRDefault="006D0ADC" w:rsidP="006D0ADC">
      <w:pPr>
        <w:snapToGrid w:val="0"/>
        <w:spacing w:line="360" w:lineRule="auto"/>
        <w:rPr>
          <w:rFonts w:ascii="宋体" w:hAnsi="宋体" w:cs="宋体"/>
          <w:bCs/>
        </w:rPr>
      </w:pPr>
      <w:r>
        <w:rPr>
          <w:rFonts w:ascii="宋体" w:hAnsi="宋体" w:cs="宋体" w:hint="eastAsia"/>
          <w:b/>
        </w:rPr>
        <w:t>8.1.1</w:t>
      </w:r>
      <w:r>
        <w:rPr>
          <w:rFonts w:ascii="宋体" w:hAnsi="宋体" w:cs="宋体" w:hint="eastAsia"/>
          <w:bCs/>
        </w:rPr>
        <w:t>检验项目中出现一个检查单元（片）不符合，则判定该项不合格。</w:t>
      </w:r>
    </w:p>
    <w:p w:rsidR="006D0ADC" w:rsidRDefault="006D0ADC" w:rsidP="006D0ADC">
      <w:pPr>
        <w:snapToGrid w:val="0"/>
        <w:spacing w:line="360" w:lineRule="auto"/>
        <w:rPr>
          <w:rFonts w:ascii="宋体" w:hAnsi="宋体" w:cs="宋体"/>
          <w:bCs/>
        </w:rPr>
      </w:pPr>
      <w:r>
        <w:rPr>
          <w:rFonts w:ascii="宋体" w:hAnsi="宋体" w:cs="宋体" w:hint="eastAsia"/>
          <w:b/>
        </w:rPr>
        <w:t>8.1.2</w:t>
      </w:r>
      <w:r>
        <w:rPr>
          <w:rFonts w:ascii="宋体" w:hAnsi="宋体" w:cs="宋体" w:hint="eastAsia"/>
          <w:bCs/>
        </w:rPr>
        <w:t>未标注标志中的参数，判定该批产品标志项目不合格；未标注对应的项目判定为“未标注”。</w:t>
      </w:r>
    </w:p>
    <w:p w:rsidR="006D0ADC" w:rsidRDefault="006D0ADC" w:rsidP="006D0ADC">
      <w:pPr>
        <w:snapToGrid w:val="0"/>
        <w:spacing w:line="360" w:lineRule="auto"/>
        <w:rPr>
          <w:rFonts w:ascii="宋体" w:hAnsi="宋体" w:cs="宋体"/>
          <w:b/>
        </w:rPr>
      </w:pPr>
      <w:r>
        <w:rPr>
          <w:rFonts w:ascii="宋体" w:hAnsi="宋体" w:cs="宋体" w:hint="eastAsia"/>
          <w:b/>
        </w:rPr>
        <w:t>8.2 产品标识判定原则</w:t>
      </w:r>
    </w:p>
    <w:p w:rsidR="006D0ADC" w:rsidRDefault="006D0ADC" w:rsidP="006D0ADC">
      <w:pPr>
        <w:snapToGrid w:val="0"/>
        <w:spacing w:line="360" w:lineRule="auto"/>
        <w:ind w:firstLineChars="200" w:firstLine="420"/>
        <w:rPr>
          <w:rFonts w:ascii="宋体" w:hAnsi="宋体" w:cs="宋体"/>
          <w:bCs/>
        </w:rPr>
      </w:pPr>
      <w:r>
        <w:rPr>
          <w:rFonts w:ascii="宋体" w:hAnsi="宋体" w:cs="宋体" w:hint="eastAsia"/>
          <w:bCs/>
        </w:rPr>
        <w:t>所检样品标识存在顶焦度值、直径、基准点厚度等标准中要求有标称值的参数出现一项或一项以上未标注，判定标识项目不合格，产品标识不合格。</w:t>
      </w:r>
    </w:p>
    <w:p w:rsidR="006D0ADC" w:rsidRDefault="006D0ADC" w:rsidP="006D0ADC">
      <w:pPr>
        <w:tabs>
          <w:tab w:val="left" w:pos="142"/>
        </w:tabs>
        <w:spacing w:line="360" w:lineRule="auto"/>
        <w:rPr>
          <w:rFonts w:ascii="宋体" w:hAnsi="宋体" w:cs="HTJ-PK748200003b2-Identity-H"/>
          <w:b/>
        </w:rPr>
      </w:pPr>
      <w:r>
        <w:rPr>
          <w:rFonts w:ascii="宋体" w:hAnsi="宋体" w:cs="HTJ-PK748200003b2-Identity-H" w:hint="eastAsia"/>
          <w:b/>
        </w:rPr>
        <w:t>8.3 综合判定</w:t>
      </w:r>
    </w:p>
    <w:p w:rsidR="006D0ADC" w:rsidRDefault="006D0ADC" w:rsidP="006D0ADC">
      <w:pPr>
        <w:tabs>
          <w:tab w:val="left" w:pos="142"/>
        </w:tabs>
        <w:spacing w:line="360" w:lineRule="auto"/>
        <w:ind w:firstLineChars="200" w:firstLine="420"/>
        <w:rPr>
          <w:rFonts w:ascii="宋体" w:hAnsi="宋体" w:cs="HTJ-PK748200003b2-Identity-H"/>
        </w:rPr>
      </w:pPr>
      <w:r>
        <w:rPr>
          <w:rFonts w:ascii="宋体" w:hAnsi="宋体" w:cs="HTJ-PK748200003b2-Identity-H" w:hint="eastAsia"/>
        </w:rPr>
        <w:t>经检验，检验项目全部合格，判定为被抽查产品合格；检验项目中任一项或一项以上不合格，判定为被抽查产品不合格。其中，当产品存在一项及以上A类项目不合格或</w:t>
      </w:r>
      <w:r>
        <w:rPr>
          <w:rFonts w:ascii="宋体" w:hAnsi="宋体" w:cs="宋体" w:hint="eastAsia"/>
          <w:bCs/>
        </w:rPr>
        <w:t>四项及以上B类项目不合格</w:t>
      </w:r>
      <w:r>
        <w:rPr>
          <w:rFonts w:ascii="宋体" w:hAnsi="宋体" w:cs="HTJ-PK748200003b2-Identity-H" w:hint="eastAsia"/>
        </w:rPr>
        <w:t>时，属于严重不合格。</w:t>
      </w:r>
    </w:p>
    <w:p w:rsidR="006D0ADC" w:rsidRDefault="006D0ADC" w:rsidP="006D0ADC">
      <w:pPr>
        <w:spacing w:line="360" w:lineRule="auto"/>
        <w:rPr>
          <w:rFonts w:ascii="宋体" w:hAnsi="宋体" w:cs="宋体"/>
          <w:b/>
        </w:rPr>
      </w:pPr>
      <w:r>
        <w:rPr>
          <w:rFonts w:ascii="宋体" w:hAnsi="宋体" w:cs="宋体" w:hint="eastAsia"/>
          <w:b/>
        </w:rPr>
        <w:t>9  异议处理</w:t>
      </w:r>
    </w:p>
    <w:p w:rsidR="006D0ADC" w:rsidRDefault="006D0ADC" w:rsidP="006D0ADC">
      <w:pPr>
        <w:snapToGrid w:val="0"/>
        <w:spacing w:line="360" w:lineRule="auto"/>
        <w:ind w:firstLineChars="200" w:firstLine="420"/>
        <w:rPr>
          <w:rFonts w:ascii="宋体" w:hAnsi="宋体" w:cs="宋体"/>
          <w:bCs/>
          <w:iCs/>
        </w:rPr>
      </w:pPr>
      <w:r>
        <w:rPr>
          <w:rFonts w:ascii="宋体" w:hAnsi="宋体" w:cs="宋体" w:hint="eastAsia"/>
          <w:bCs/>
          <w:iCs/>
        </w:rPr>
        <w:t>对判定不合格产品进行复检时，按以下方式进行：</w:t>
      </w:r>
    </w:p>
    <w:p w:rsidR="006D0ADC" w:rsidRDefault="006D0ADC" w:rsidP="006D0ADC">
      <w:pPr>
        <w:snapToGrid w:val="0"/>
        <w:spacing w:line="360" w:lineRule="auto"/>
        <w:rPr>
          <w:rFonts w:ascii="宋体" w:hAnsi="宋体" w:cs="宋体"/>
          <w:bCs/>
        </w:rPr>
      </w:pPr>
      <w:r>
        <w:rPr>
          <w:rFonts w:ascii="宋体" w:hAnsi="宋体" w:cs="宋体" w:hint="eastAsia"/>
          <w:b/>
        </w:rPr>
        <w:t>9.1</w:t>
      </w:r>
      <w:r>
        <w:rPr>
          <w:rFonts w:ascii="宋体" w:hAnsi="宋体" w:cs="宋体" w:hint="eastAsia"/>
          <w:bCs/>
        </w:rPr>
        <w:t>核查不合格项目相关证据，能够以记录（纸质记录或电子记录或影像记录）或与不合格项目相关联的其</w:t>
      </w:r>
      <w:r w:rsidR="002C26AD">
        <w:rPr>
          <w:rFonts w:ascii="宋体" w:hAnsi="宋体" w:cs="宋体" w:hint="eastAsia"/>
          <w:bCs/>
        </w:rPr>
        <w:t>他</w:t>
      </w:r>
      <w:r>
        <w:rPr>
          <w:rFonts w:ascii="宋体" w:hAnsi="宋体" w:cs="宋体" w:hint="eastAsia"/>
          <w:bCs/>
        </w:rPr>
        <w:t>质量数据等检验证据证明。</w:t>
      </w:r>
    </w:p>
    <w:p w:rsidR="006D0ADC" w:rsidRDefault="006D0ADC" w:rsidP="006D0ADC">
      <w:pPr>
        <w:snapToGrid w:val="0"/>
        <w:spacing w:line="360" w:lineRule="auto"/>
        <w:rPr>
          <w:rFonts w:ascii="宋体" w:hAnsi="宋体" w:cs="宋体"/>
        </w:rPr>
      </w:pPr>
      <w:r>
        <w:rPr>
          <w:rFonts w:ascii="宋体" w:hAnsi="宋体" w:cs="宋体" w:hint="eastAsia"/>
          <w:b/>
        </w:rPr>
        <w:t>9.</w:t>
      </w:r>
      <w:r w:rsidR="002C26AD">
        <w:rPr>
          <w:rFonts w:ascii="宋体" w:hAnsi="宋体" w:cs="宋体" w:hint="eastAsia"/>
          <w:b/>
        </w:rPr>
        <w:t>2</w:t>
      </w:r>
      <w:r>
        <w:rPr>
          <w:rFonts w:ascii="宋体" w:hAnsi="宋体" w:cs="宋体" w:hint="eastAsia"/>
        </w:rPr>
        <w:t>对需要复检并具备检验条件的，处理企业异议的质</w:t>
      </w:r>
      <w:r w:rsidR="002C26AD">
        <w:rPr>
          <w:rFonts w:ascii="宋体" w:hAnsi="宋体" w:cs="宋体" w:hint="eastAsia"/>
        </w:rPr>
        <w:t>监</w:t>
      </w:r>
      <w:r>
        <w:rPr>
          <w:rFonts w:ascii="宋体" w:hAnsi="宋体" w:cs="宋体" w:hint="eastAsia"/>
        </w:rPr>
        <w:t>部门或者指定检验机构应当按</w:t>
      </w:r>
      <w:proofErr w:type="gramStart"/>
      <w:r>
        <w:rPr>
          <w:rFonts w:ascii="宋体" w:hAnsi="宋体" w:cs="宋体" w:hint="eastAsia"/>
        </w:rPr>
        <w:t>原监督</w:t>
      </w:r>
      <w:proofErr w:type="gramEnd"/>
      <w:r>
        <w:rPr>
          <w:rFonts w:ascii="宋体" w:hAnsi="宋体" w:cs="宋体" w:hint="eastAsia"/>
        </w:rPr>
        <w:t>抽查方案对抽取的备用样品组织复检，并出具检验报告。复检结论为最终结论。</w:t>
      </w:r>
    </w:p>
    <w:p w:rsidR="00652005" w:rsidRDefault="00652005"/>
    <w:sectPr w:rsidR="00652005" w:rsidSect="00EC57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005" w:rsidRDefault="00652005" w:rsidP="006D0ADC">
      <w:r>
        <w:separator/>
      </w:r>
    </w:p>
  </w:endnote>
  <w:endnote w:type="continuationSeparator" w:id="0">
    <w:p w:rsidR="00652005" w:rsidRDefault="00652005" w:rsidP="006D0A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 Sun">
    <w:altName w:val="宋体"/>
    <w:panose1 w:val="00000000000000000000"/>
    <w:charset w:val="86"/>
    <w:family w:val="swiss"/>
    <w:notTrueType/>
    <w:pitch w:val="default"/>
    <w:sig w:usb0="00000001" w:usb1="080E0000" w:usb2="00000010" w:usb3="00000000" w:csb0="00040000" w:csb1="00000000"/>
  </w:font>
  <w:font w:name="HTJ-PK748200003b2-Identity-H">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005" w:rsidRDefault="00652005" w:rsidP="006D0ADC">
      <w:r>
        <w:separator/>
      </w:r>
    </w:p>
  </w:footnote>
  <w:footnote w:type="continuationSeparator" w:id="0">
    <w:p w:rsidR="00652005" w:rsidRDefault="00652005" w:rsidP="006D0A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0ADC"/>
    <w:rsid w:val="002C26AD"/>
    <w:rsid w:val="00652005"/>
    <w:rsid w:val="006D0ADC"/>
    <w:rsid w:val="00B24C1B"/>
    <w:rsid w:val="00EC57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AD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D0A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qFormat/>
    <w:rsid w:val="006D0ADC"/>
    <w:rPr>
      <w:sz w:val="18"/>
      <w:szCs w:val="18"/>
    </w:rPr>
  </w:style>
  <w:style w:type="paragraph" w:styleId="a4">
    <w:name w:val="footer"/>
    <w:basedOn w:val="a"/>
    <w:link w:val="Char0"/>
    <w:uiPriority w:val="99"/>
    <w:semiHidden/>
    <w:unhideWhenUsed/>
    <w:rsid w:val="006D0A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D0ADC"/>
    <w:rPr>
      <w:sz w:val="18"/>
      <w:szCs w:val="18"/>
    </w:rPr>
  </w:style>
  <w:style w:type="character" w:customStyle="1" w:styleId="Char1">
    <w:name w:val="批注框文本 Char"/>
    <w:link w:val="a5"/>
    <w:uiPriority w:val="99"/>
    <w:qFormat/>
    <w:locked/>
    <w:rsid w:val="006D0ADC"/>
    <w:rPr>
      <w:rFonts w:eastAsia="宋体"/>
      <w:sz w:val="18"/>
      <w:szCs w:val="18"/>
    </w:rPr>
  </w:style>
  <w:style w:type="paragraph" w:styleId="a5">
    <w:name w:val="Balloon Text"/>
    <w:basedOn w:val="a"/>
    <w:link w:val="Char1"/>
    <w:uiPriority w:val="99"/>
    <w:qFormat/>
    <w:rsid w:val="006D0ADC"/>
    <w:rPr>
      <w:rFonts w:asciiTheme="minorHAnsi" w:hAnsiTheme="minorHAnsi" w:cstheme="minorBidi"/>
      <w:sz w:val="18"/>
      <w:szCs w:val="18"/>
    </w:rPr>
  </w:style>
  <w:style w:type="character" w:customStyle="1" w:styleId="Char10">
    <w:name w:val="批注框文本 Char1"/>
    <w:basedOn w:val="a0"/>
    <w:link w:val="a5"/>
    <w:uiPriority w:val="99"/>
    <w:semiHidden/>
    <w:rsid w:val="006D0A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591</Words>
  <Characters>3369</Characters>
  <Application>Microsoft Office Word</Application>
  <DocSecurity>0</DocSecurity>
  <Lines>28</Lines>
  <Paragraphs>7</Paragraphs>
  <ScaleCrop>false</ScaleCrop>
  <Company>MS</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GQI</dc:creator>
  <cp:keywords/>
  <dc:description/>
  <cp:lastModifiedBy>袁艳华</cp:lastModifiedBy>
  <cp:revision>8</cp:revision>
  <dcterms:created xsi:type="dcterms:W3CDTF">2018-08-08T03:12:00Z</dcterms:created>
  <dcterms:modified xsi:type="dcterms:W3CDTF">2018-08-17T03:40:00Z</dcterms:modified>
</cp:coreProperties>
</file>