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6000" w:x="3072" w:y="1554"/>
        <w:widowControl w:val="0"/>
        <w:autoSpaceDE w:val="0"/>
        <w:autoSpaceDN w:val="0"/>
        <w:spacing w:line="319" w:lineRule="exact"/>
        <w:rPr>
          <w:rFonts w:hAnsi="Calibri"/>
          <w:color w:val="000000"/>
          <w:sz w:val="32"/>
          <w:szCs w:val="22"/>
          <w:lang w:val="en-US" w:eastAsia="en-US" w:bidi="ar-SA"/>
        </w:rPr>
      </w:pPr>
      <w:r>
        <w:rPr>
          <w:rFonts w:ascii="SimHei" w:hAnsi="SimHei" w:cs="SimHei"/>
          <w:color w:val="000000"/>
          <w:sz w:val="32"/>
          <w:szCs w:val="22"/>
          <w:lang w:val="en-US" w:eastAsia="en-US" w:bidi="ar-SA"/>
        </w:rPr>
        <w:t>四川省家用和类似用途插头插座产品质量</w:t>
      </w:r>
    </w:p>
    <w:p>
      <w:pPr>
        <w:framePr w:w="6000" w:x="3072" w:y="1554"/>
        <w:widowControl w:val="0"/>
        <w:autoSpaceDE w:val="0"/>
        <w:autoSpaceDN w:val="0"/>
        <w:spacing w:before="305" w:line="319" w:lineRule="exact"/>
        <w:ind w:left="1282"/>
        <w:rPr>
          <w:rFonts w:hAnsi="Calibri"/>
          <w:color w:val="000000"/>
          <w:sz w:val="32"/>
          <w:szCs w:val="22"/>
          <w:lang w:val="en-US" w:eastAsia="en-US" w:bidi="ar-SA"/>
        </w:rPr>
      </w:pPr>
      <w:r>
        <w:rPr>
          <w:rFonts w:ascii="SimHei" w:hAnsi="SimHei" w:cs="SimHei"/>
          <w:color w:val="000000"/>
          <w:sz w:val="32"/>
          <w:szCs w:val="22"/>
          <w:lang w:val="en-US" w:eastAsia="en-US" w:bidi="ar-SA"/>
        </w:rPr>
        <w:t>省级监督抽查实施细则</w:t>
      </w:r>
    </w:p>
    <w:p>
      <w:pPr>
        <w:framePr w:w="2799" w:x="4673" w:y="2802"/>
        <w:widowControl w:val="0"/>
        <w:autoSpaceDE w:val="0"/>
        <w:autoSpaceDN w:val="0"/>
        <w:spacing w:line="319" w:lineRule="exact"/>
        <w:rPr>
          <w:rFonts w:hAnsi="Calibri"/>
          <w:color w:val="000000"/>
          <w:sz w:val="32"/>
          <w:szCs w:val="22"/>
          <w:lang w:val="en-US" w:eastAsia="en-US" w:bidi="ar-SA"/>
        </w:rPr>
      </w:pPr>
      <w:r>
        <w:rPr>
          <w:rFonts w:ascii="SimHei" w:hAnsi="Calibri"/>
          <w:color w:val="000000"/>
          <w:sz w:val="32"/>
          <w:szCs w:val="22"/>
          <w:lang w:val="en-US" w:eastAsia="en-US" w:bidi="ar-SA"/>
        </w:rPr>
        <w:t>SCSG-ZY-202-2022</w:t>
      </w:r>
    </w:p>
    <w:p>
      <w:pPr>
        <w:framePr w:w="345" w:x="1702" w:y="3636"/>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1</w:t>
      </w:r>
    </w:p>
    <w:p>
      <w:pPr>
        <w:framePr w:w="1078" w:x="2016" w:y="3636"/>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抽样方法</w:t>
      </w:r>
    </w:p>
    <w:p>
      <w:pPr>
        <w:framePr w:w="8323" w:x="2122" w:y="423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以随机抽样的方式在被抽样生产者、销售者的待销产品中抽取。</w:t>
      </w:r>
    </w:p>
    <w:p>
      <w:pPr>
        <w:framePr w:w="8323" w:x="2122" w:y="4239"/>
        <w:widowControl w:val="0"/>
        <w:autoSpaceDE w:val="0"/>
        <w:autoSpaceDN w:val="0"/>
        <w:spacing w:before="65"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随机数一般可使用随机数表、骰子或扑克牌等方法产生。</w:t>
      </w:r>
    </w:p>
    <w:p>
      <w:pPr>
        <w:framePr w:w="8323" w:x="2122" w:y="4239"/>
        <w:widowControl w:val="0"/>
        <w:autoSpaceDE w:val="0"/>
        <w:autoSpaceDN w:val="0"/>
        <w:spacing w:before="62"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不可拆线插头和不拆线移动式插座每批次抽取样品数为</w:t>
      </w:r>
      <w:r>
        <w:rPr>
          <w:rFonts w:hAnsi="Calibri"/>
          <w:color w:val="000000"/>
          <w:spacing w:val="-1"/>
          <w:sz w:val="21"/>
          <w:szCs w:val="22"/>
          <w:lang w:val="en-US" w:eastAsia="en-US" w:bidi="ar-SA"/>
        </w:rPr>
        <w:t xml:space="preserve"> </w:t>
      </w:r>
      <w:r>
        <w:rPr>
          <w:rFonts w:ascii="SimSun" w:hAnsi="Calibri"/>
          <w:color w:val="000000"/>
          <w:spacing w:val="1"/>
          <w:sz w:val="21"/>
          <w:szCs w:val="22"/>
          <w:lang w:val="en-US" w:eastAsia="en-US" w:bidi="ar-SA"/>
        </w:rPr>
        <w:t>18</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只，其中</w:t>
      </w:r>
      <w:r>
        <w:rPr>
          <w:rFonts w:hAnsi="Calibri"/>
          <w:color w:val="000000"/>
          <w:spacing w:val="-1"/>
          <w:sz w:val="21"/>
          <w:szCs w:val="22"/>
          <w:lang w:val="en-US" w:eastAsia="en-US" w:bidi="ar-SA"/>
        </w:rPr>
        <w:t xml:space="preserve"> </w:t>
      </w:r>
      <w:r>
        <w:rPr>
          <w:rFonts w:ascii="SimSun" w:hAnsi="Calibri"/>
          <w:color w:val="000000"/>
          <w:sz w:val="21"/>
          <w:szCs w:val="22"/>
          <w:lang w:val="en-US" w:eastAsia="en-US" w:bidi="ar-SA"/>
        </w:rPr>
        <w:t>9</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只作为检验样品，</w:t>
      </w:r>
    </w:p>
    <w:p>
      <w:pPr>
        <w:framePr w:w="8746" w:x="1702" w:y="5057"/>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9</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只作为备用样品并备样于受检单位。</w:t>
      </w:r>
    </w:p>
    <w:p>
      <w:pPr>
        <w:framePr w:w="8746" w:x="1702" w:y="5057"/>
        <w:widowControl w:val="0"/>
        <w:autoSpaceDE w:val="0"/>
        <w:autoSpaceDN w:val="0"/>
        <w:spacing w:before="62" w:line="209" w:lineRule="exact"/>
        <w:ind w:left="420"/>
        <w:rPr>
          <w:rFonts w:hAnsi="Calibri"/>
          <w:color w:val="000000"/>
          <w:sz w:val="21"/>
          <w:szCs w:val="22"/>
          <w:lang w:val="en-US" w:eastAsia="en-US" w:bidi="ar-SA"/>
        </w:rPr>
      </w:pPr>
      <w:r>
        <w:rPr>
          <w:rFonts w:ascii="SimSun" w:hAnsi="SimSun" w:cs="SimSun"/>
          <w:color w:val="000000"/>
          <w:sz w:val="21"/>
          <w:szCs w:val="22"/>
          <w:lang w:val="en-US" w:eastAsia="en-US" w:bidi="ar-SA"/>
        </w:rPr>
        <w:t>可拆线插头、可拆线移动式插座、转换器和固定式插座每批次抽样数为</w:t>
      </w:r>
      <w:r>
        <w:rPr>
          <w:rFonts w:hAnsi="Calibri"/>
          <w:color w:val="000000"/>
          <w:spacing w:val="2"/>
          <w:sz w:val="21"/>
          <w:szCs w:val="22"/>
          <w:lang w:val="en-US" w:eastAsia="en-US" w:bidi="ar-SA"/>
        </w:rPr>
        <w:t xml:space="preserve"> </w:t>
      </w:r>
      <w:r>
        <w:rPr>
          <w:rFonts w:ascii="SimSun" w:hAnsi="Calibri"/>
          <w:color w:val="000000"/>
          <w:spacing w:val="1"/>
          <w:sz w:val="21"/>
          <w:szCs w:val="22"/>
          <w:lang w:val="en-US" w:eastAsia="en-US" w:bidi="ar-SA"/>
        </w:rPr>
        <w:t>12</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只，其中</w:t>
      </w:r>
      <w:r>
        <w:rPr>
          <w:rFonts w:hAnsi="Calibri"/>
          <w:color w:val="000000"/>
          <w:spacing w:val="-1"/>
          <w:sz w:val="21"/>
          <w:szCs w:val="22"/>
          <w:lang w:val="en-US" w:eastAsia="en-US" w:bidi="ar-SA"/>
        </w:rPr>
        <w:t xml:space="preserve"> </w:t>
      </w:r>
      <w:r>
        <w:rPr>
          <w:rFonts w:ascii="SimSun" w:hAnsi="Calibri"/>
          <w:color w:val="000000"/>
          <w:sz w:val="21"/>
          <w:szCs w:val="22"/>
          <w:lang w:val="en-US" w:eastAsia="en-US" w:bidi="ar-SA"/>
        </w:rPr>
        <w:t>6</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只</w:t>
      </w:r>
    </w:p>
    <w:p>
      <w:pPr>
        <w:framePr w:w="8746" w:x="1702" w:y="5057"/>
        <w:widowControl w:val="0"/>
        <w:autoSpaceDE w:val="0"/>
        <w:autoSpaceDN w:val="0"/>
        <w:spacing w:before="62"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作为检验样品，6</w:t>
      </w:r>
      <w:r>
        <w:rPr>
          <w:rFonts w:hAnsi="Calibri"/>
          <w:color w:val="000000"/>
          <w:spacing w:val="1"/>
          <w:sz w:val="21"/>
          <w:szCs w:val="22"/>
          <w:lang w:val="en-US" w:eastAsia="en-US" w:bidi="ar-SA"/>
        </w:rPr>
        <w:t xml:space="preserve"> </w:t>
      </w:r>
      <w:r>
        <w:rPr>
          <w:rFonts w:ascii="SimSun" w:hAnsi="SimSun" w:cs="SimSun"/>
          <w:color w:val="000000"/>
          <w:sz w:val="21"/>
          <w:szCs w:val="22"/>
          <w:lang w:val="en-US" w:eastAsia="en-US" w:bidi="ar-SA"/>
        </w:rPr>
        <w:t>只作为备用样品封存于受检企业。</w:t>
      </w:r>
    </w:p>
    <w:p>
      <w:pPr>
        <w:framePr w:w="345" w:x="1702" w:y="6204"/>
        <w:widowControl w:val="0"/>
        <w:autoSpaceDE w:val="0"/>
        <w:autoSpaceDN w:val="0"/>
        <w:spacing w:line="209" w:lineRule="exact"/>
        <w:rPr>
          <w:rFonts w:hAnsi="Calibri"/>
          <w:color w:val="000000"/>
          <w:sz w:val="21"/>
          <w:szCs w:val="22"/>
          <w:lang w:val="en-US" w:eastAsia="en-US" w:bidi="ar-SA"/>
        </w:rPr>
      </w:pPr>
      <w:r>
        <w:rPr>
          <w:rFonts w:ascii="SimHei" w:hAnsi="Calibri"/>
          <w:color w:val="000000"/>
          <w:sz w:val="21"/>
          <w:szCs w:val="22"/>
          <w:lang w:val="en-US" w:eastAsia="en-US" w:bidi="ar-SA"/>
        </w:rPr>
        <w:t>2</w:t>
      </w:r>
    </w:p>
    <w:p>
      <w:pPr>
        <w:framePr w:w="1078" w:x="2016" w:y="6204"/>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检验依据</w:t>
      </w:r>
    </w:p>
    <w:p>
      <w:pPr>
        <w:framePr w:w="3965" w:x="4090" w:y="6809"/>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表</w:t>
      </w:r>
      <w:r>
        <w:rPr>
          <w:rFonts w:hAnsi="Calibri"/>
          <w:color w:val="000000"/>
          <w:spacing w:val="-1"/>
          <w:sz w:val="21"/>
          <w:szCs w:val="22"/>
          <w:lang w:val="en-US" w:eastAsia="en-US" w:bidi="ar-SA"/>
        </w:rPr>
        <w:t xml:space="preserve"> </w:t>
      </w:r>
      <w:r>
        <w:rPr>
          <w:rFonts w:ascii="SimHei" w:hAnsi="Calibri"/>
          <w:color w:val="000000"/>
          <w:sz w:val="21"/>
          <w:szCs w:val="22"/>
          <w:lang w:val="en-US" w:eastAsia="en-US" w:bidi="ar-SA"/>
        </w:rPr>
        <w:t>1</w:t>
      </w:r>
      <w:r>
        <w:rPr>
          <w:rFonts w:hAnsi="Calibri"/>
          <w:color w:val="000000"/>
          <w:spacing w:val="157"/>
          <w:sz w:val="21"/>
          <w:szCs w:val="22"/>
          <w:lang w:val="en-US" w:eastAsia="en-US" w:bidi="ar-SA"/>
        </w:rPr>
        <w:t xml:space="preserve"> </w:t>
      </w:r>
      <w:r>
        <w:rPr>
          <w:rFonts w:ascii="SimHei" w:hAnsi="SimHei" w:cs="SimHei"/>
          <w:color w:val="000000"/>
          <w:sz w:val="21"/>
          <w:szCs w:val="22"/>
          <w:lang w:val="en-US" w:eastAsia="en-US" w:bidi="ar-SA"/>
        </w:rPr>
        <w:t>家用和类似用途插头插座检验项目</w:t>
      </w:r>
    </w:p>
    <w:p>
      <w:pPr>
        <w:framePr w:w="3965" w:x="4090" w:y="6809"/>
        <w:widowControl w:val="0"/>
        <w:autoSpaceDE w:val="0"/>
        <w:autoSpaceDN w:val="0"/>
        <w:spacing w:before="249" w:line="209" w:lineRule="exact"/>
        <w:ind w:left="451"/>
        <w:rPr>
          <w:rFonts w:hAnsi="Calibri"/>
          <w:color w:val="000000"/>
          <w:sz w:val="21"/>
          <w:szCs w:val="22"/>
          <w:lang w:val="en-US" w:eastAsia="en-US" w:bidi="ar-SA"/>
        </w:rPr>
      </w:pPr>
      <w:r>
        <w:rPr>
          <w:rFonts w:ascii="SimHei" w:hAnsi="SimHei" w:cs="SimHei"/>
          <w:color w:val="000000"/>
          <w:sz w:val="21"/>
          <w:szCs w:val="22"/>
          <w:lang w:val="en-US" w:eastAsia="en-US" w:bidi="ar-SA"/>
        </w:rPr>
        <w:t>检验项目</w:t>
      </w:r>
    </w:p>
    <w:p>
      <w:pPr>
        <w:framePr w:w="658" w:x="2105" w:y="7267"/>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pacing w:val="-1"/>
          <w:sz w:val="21"/>
          <w:szCs w:val="22"/>
          <w:lang w:val="en-US" w:eastAsia="en-US" w:bidi="ar-SA"/>
        </w:rPr>
        <w:t>序号</w:t>
      </w:r>
    </w:p>
    <w:p>
      <w:pPr>
        <w:framePr w:w="1078" w:x="8179" w:y="7267"/>
        <w:widowControl w:val="0"/>
        <w:autoSpaceDE w:val="0"/>
        <w:autoSpaceDN w:val="0"/>
        <w:spacing w:line="209" w:lineRule="exact"/>
        <w:rPr>
          <w:rFonts w:hAnsi="Calibri"/>
          <w:color w:val="000000"/>
          <w:sz w:val="21"/>
          <w:szCs w:val="22"/>
          <w:lang w:val="en-US" w:eastAsia="en-US" w:bidi="ar-SA"/>
        </w:rPr>
      </w:pPr>
      <w:r>
        <w:rPr>
          <w:rFonts w:ascii="SimHei" w:hAnsi="SimHei" w:cs="SimHei"/>
          <w:color w:val="000000"/>
          <w:sz w:val="21"/>
          <w:szCs w:val="22"/>
          <w:lang w:val="en-US" w:eastAsia="en-US" w:bidi="ar-SA"/>
        </w:rPr>
        <w:t>检验方法</w:t>
      </w:r>
    </w:p>
    <w:p>
      <w:pPr>
        <w:framePr w:w="1708" w:x="7865" w:y="7570"/>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1002-2008</w:t>
      </w:r>
    </w:p>
    <w:p>
      <w:pPr>
        <w:framePr w:w="1708" w:x="7865" w:y="7570"/>
        <w:widowControl w:val="0"/>
        <w:autoSpaceDE w:val="0"/>
        <w:autoSpaceDN w:val="0"/>
        <w:spacing w:before="62" w:line="209" w:lineRule="exact"/>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1003-2016</w:t>
      </w:r>
    </w:p>
    <w:p>
      <w:pPr>
        <w:framePr w:w="345" w:x="2261" w:y="8112"/>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1</w:t>
      </w:r>
    </w:p>
    <w:p>
      <w:pPr>
        <w:framePr w:w="1289" w:x="4435" w:y="8112"/>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尺寸的检查</w:t>
      </w:r>
    </w:p>
    <w:p>
      <w:pPr>
        <w:framePr w:w="1289" w:x="4435" w:y="8112"/>
        <w:widowControl w:val="0"/>
        <w:autoSpaceDE w:val="0"/>
        <w:autoSpaceDN w:val="0"/>
        <w:spacing w:before="893"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防触电保护</w:t>
      </w:r>
    </w:p>
    <w:p>
      <w:pPr>
        <w:framePr w:w="1921" w:x="7759" w:y="8112"/>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21" w:x="7759" w:y="8112"/>
        <w:widowControl w:val="0"/>
        <w:autoSpaceDE w:val="0"/>
        <w:autoSpaceDN w:val="0"/>
        <w:spacing w:before="65"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2099.3-2015</w:t>
      </w:r>
    </w:p>
    <w:p>
      <w:pPr>
        <w:framePr w:w="1921" w:x="7759" w:y="8112"/>
        <w:widowControl w:val="0"/>
        <w:autoSpaceDE w:val="0"/>
        <w:autoSpaceDN w:val="0"/>
        <w:spacing w:before="65"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2099.7-2015</w:t>
      </w:r>
    </w:p>
    <w:p>
      <w:pPr>
        <w:framePr w:w="1921" w:x="7759" w:y="8112"/>
        <w:widowControl w:val="0"/>
        <w:autoSpaceDE w:val="0"/>
        <w:autoSpaceDN w:val="0"/>
        <w:spacing w:before="72"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21" w:x="7759" w:y="8112"/>
        <w:widowControl w:val="0"/>
        <w:autoSpaceDE w:val="0"/>
        <w:autoSpaceDN w:val="0"/>
        <w:spacing w:before="65"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2099.3-2015</w:t>
      </w:r>
    </w:p>
    <w:p>
      <w:pPr>
        <w:framePr w:w="1921" w:x="7759" w:y="8112"/>
        <w:widowControl w:val="0"/>
        <w:autoSpaceDE w:val="0"/>
        <w:autoSpaceDN w:val="0"/>
        <w:spacing w:before="62"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2099.7-2015</w:t>
      </w:r>
    </w:p>
    <w:p>
      <w:pPr>
        <w:framePr w:w="1921" w:x="7759" w:y="8112"/>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21" w:x="7759" w:y="8112"/>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21" w:x="7759" w:y="8112"/>
        <w:widowControl w:val="0"/>
        <w:autoSpaceDE w:val="0"/>
        <w:autoSpaceDN w:val="0"/>
        <w:spacing w:before="72"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21" w:x="7759" w:y="8112"/>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2099.3-2015</w:t>
      </w:r>
    </w:p>
    <w:p>
      <w:pPr>
        <w:framePr w:w="1921" w:x="7759" w:y="8112"/>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2099.7-2015</w:t>
      </w:r>
    </w:p>
    <w:p>
      <w:pPr>
        <w:framePr w:w="345" w:x="2261" w:y="9214"/>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2</w:t>
      </w:r>
    </w:p>
    <w:p>
      <w:pPr>
        <w:framePr w:w="345" w:x="2261" w:y="9768"/>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3</w:t>
      </w:r>
    </w:p>
    <w:p>
      <w:pPr>
        <w:framePr w:w="345" w:x="2261" w:y="9768"/>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z w:val="21"/>
          <w:szCs w:val="22"/>
          <w:lang w:val="en-US" w:eastAsia="en-US" w:bidi="ar-SA"/>
        </w:rPr>
        <w:t>4</w:t>
      </w:r>
    </w:p>
    <w:p>
      <w:pPr>
        <w:framePr w:w="345" w:x="2261" w:y="9768"/>
        <w:widowControl w:val="0"/>
        <w:autoSpaceDE w:val="0"/>
        <w:autoSpaceDN w:val="0"/>
        <w:spacing w:before="72" w:line="209" w:lineRule="exact"/>
        <w:rPr>
          <w:rFonts w:hAnsi="Calibri"/>
          <w:color w:val="000000"/>
          <w:sz w:val="21"/>
          <w:szCs w:val="22"/>
          <w:lang w:val="en-US" w:eastAsia="en-US" w:bidi="ar-SA"/>
        </w:rPr>
      </w:pPr>
      <w:r>
        <w:rPr>
          <w:rFonts w:ascii="SimSun" w:hAnsi="Calibri"/>
          <w:color w:val="000000"/>
          <w:sz w:val="21"/>
          <w:szCs w:val="22"/>
          <w:lang w:val="en-US" w:eastAsia="en-US" w:bidi="ar-SA"/>
        </w:rPr>
        <w:t>5</w:t>
      </w:r>
    </w:p>
    <w:p>
      <w:pPr>
        <w:framePr w:w="345" w:x="2261" w:y="9768"/>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z w:val="21"/>
          <w:szCs w:val="22"/>
          <w:lang w:val="en-US" w:eastAsia="en-US" w:bidi="ar-SA"/>
        </w:rPr>
        <w:t>6</w:t>
      </w:r>
    </w:p>
    <w:p>
      <w:pPr>
        <w:framePr w:w="345" w:x="2261" w:y="9768"/>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z w:val="21"/>
          <w:szCs w:val="22"/>
          <w:lang w:val="en-US" w:eastAsia="en-US" w:bidi="ar-SA"/>
        </w:rPr>
        <w:t>7</w:t>
      </w:r>
    </w:p>
    <w:p>
      <w:pPr>
        <w:framePr w:w="345" w:x="2261" w:y="9768"/>
        <w:widowControl w:val="0"/>
        <w:autoSpaceDE w:val="0"/>
        <w:autoSpaceDN w:val="0"/>
        <w:spacing w:before="72" w:line="209" w:lineRule="exact"/>
        <w:rPr>
          <w:rFonts w:hAnsi="Calibri"/>
          <w:color w:val="000000"/>
          <w:sz w:val="21"/>
          <w:szCs w:val="22"/>
          <w:lang w:val="en-US" w:eastAsia="en-US" w:bidi="ar-SA"/>
        </w:rPr>
      </w:pPr>
      <w:r>
        <w:rPr>
          <w:rFonts w:ascii="SimSun" w:hAnsi="Calibri"/>
          <w:color w:val="000000"/>
          <w:sz w:val="21"/>
          <w:szCs w:val="22"/>
          <w:lang w:val="en-US" w:eastAsia="en-US" w:bidi="ar-SA"/>
        </w:rPr>
        <w:t>8</w:t>
      </w:r>
    </w:p>
    <w:p>
      <w:pPr>
        <w:framePr w:w="1078" w:x="4541" w:y="9768"/>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接地措施</w:t>
      </w:r>
    </w:p>
    <w:p>
      <w:pPr>
        <w:framePr w:w="1918" w:x="4121" w:y="10051"/>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固定式插座的结构</w:t>
      </w:r>
    </w:p>
    <w:p>
      <w:pPr>
        <w:framePr w:w="2549" w:x="3804" w:y="10332"/>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插头和移动式插座的结构</w:t>
      </w:r>
    </w:p>
    <w:p>
      <w:pPr>
        <w:framePr w:w="2549" w:x="3804" w:y="10332"/>
        <w:widowControl w:val="0"/>
        <w:autoSpaceDE w:val="0"/>
        <w:autoSpaceDN w:val="0"/>
        <w:spacing w:before="74" w:line="209" w:lineRule="exact"/>
        <w:ind w:left="106"/>
        <w:rPr>
          <w:rFonts w:hAnsi="Calibri"/>
          <w:color w:val="000000"/>
          <w:sz w:val="21"/>
          <w:szCs w:val="22"/>
          <w:lang w:val="en-US" w:eastAsia="en-US" w:bidi="ar-SA"/>
        </w:rPr>
      </w:pPr>
      <w:r>
        <w:rPr>
          <w:rFonts w:ascii="SimSun" w:hAnsi="SimSun" w:cs="SimSun"/>
          <w:color w:val="000000"/>
          <w:sz w:val="21"/>
          <w:szCs w:val="22"/>
          <w:lang w:val="en-US" w:eastAsia="en-US" w:bidi="ar-SA"/>
        </w:rPr>
        <w:t>移动式电器附件的结构</w:t>
      </w:r>
    </w:p>
    <w:p>
      <w:pPr>
        <w:framePr w:w="2549" w:x="3804" w:y="10332"/>
        <w:widowControl w:val="0"/>
        <w:autoSpaceDE w:val="0"/>
        <w:autoSpaceDN w:val="0"/>
        <w:spacing w:before="74" w:line="209" w:lineRule="exact"/>
        <w:ind w:left="317"/>
        <w:rPr>
          <w:rFonts w:hAnsi="Calibri"/>
          <w:color w:val="000000"/>
          <w:sz w:val="21"/>
          <w:szCs w:val="22"/>
          <w:lang w:val="en-US" w:eastAsia="en-US" w:bidi="ar-SA"/>
        </w:rPr>
      </w:pPr>
      <w:r>
        <w:rPr>
          <w:rFonts w:ascii="SimSun" w:hAnsi="SimSun" w:cs="SimSun"/>
          <w:color w:val="000000"/>
          <w:sz w:val="21"/>
          <w:szCs w:val="22"/>
          <w:lang w:val="en-US" w:eastAsia="en-US" w:bidi="ar-SA"/>
        </w:rPr>
        <w:t>延长线插座的结构</w:t>
      </w:r>
    </w:p>
    <w:p>
      <w:pPr>
        <w:framePr w:w="658" w:x="4750" w:y="1117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1"/>
          <w:sz w:val="21"/>
          <w:szCs w:val="22"/>
          <w:lang w:val="en-US" w:eastAsia="en-US" w:bidi="ar-SA"/>
        </w:rPr>
        <w:t>防潮</w:t>
      </w:r>
    </w:p>
    <w:p>
      <w:pPr>
        <w:framePr w:w="3334" w:x="7056" w:y="11179"/>
        <w:widowControl w:val="0"/>
        <w:autoSpaceDE w:val="0"/>
        <w:autoSpaceDN w:val="0"/>
        <w:spacing w:line="209" w:lineRule="exact"/>
        <w:ind w:left="101"/>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2099.1-2008</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16.3</w:t>
      </w:r>
      <w:r>
        <w:rPr>
          <w:rFonts w:hAnsi="Calibri"/>
          <w:color w:val="000000"/>
          <w:spacing w:val="-2"/>
          <w:sz w:val="21"/>
          <w:szCs w:val="22"/>
          <w:lang w:val="en-US" w:eastAsia="en-US" w:bidi="ar-SA"/>
        </w:rPr>
        <w:t xml:space="preserve"> </w:t>
      </w:r>
      <w:r>
        <w:rPr>
          <w:rFonts w:ascii="SimSun" w:hAnsi="SimSun" w:cs="SimSun"/>
          <w:color w:val="000000"/>
          <w:sz w:val="21"/>
          <w:szCs w:val="22"/>
          <w:lang w:val="en-US" w:eastAsia="en-US" w:bidi="ar-SA"/>
        </w:rPr>
        <w:t>条</w:t>
      </w:r>
    </w:p>
    <w:p>
      <w:pPr>
        <w:framePr w:w="3334" w:x="7056" w:y="11179"/>
        <w:widowControl w:val="0"/>
        <w:autoSpaceDE w:val="0"/>
        <w:autoSpaceDN w:val="0"/>
        <w:spacing w:before="74" w:line="209" w:lineRule="exact"/>
        <w:ind w:left="703"/>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3334" w:x="7056" w:y="11179"/>
        <w:widowControl w:val="0"/>
        <w:autoSpaceDE w:val="0"/>
        <w:autoSpaceDN w:val="0"/>
        <w:spacing w:before="62" w:line="209" w:lineRule="exact"/>
        <w:ind w:left="703"/>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2099.3-2015</w:t>
      </w:r>
    </w:p>
    <w:p>
      <w:pPr>
        <w:framePr w:w="3334" w:x="7056" w:y="11179"/>
        <w:widowControl w:val="0"/>
        <w:autoSpaceDE w:val="0"/>
        <w:autoSpaceDN w:val="0"/>
        <w:spacing w:before="74" w:line="209" w:lineRule="exact"/>
        <w:ind w:left="703"/>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3334" w:x="7056" w:y="11179"/>
        <w:widowControl w:val="0"/>
        <w:autoSpaceDE w:val="0"/>
        <w:autoSpaceDN w:val="0"/>
        <w:spacing w:before="62" w:line="209" w:lineRule="exact"/>
        <w:ind w:left="703"/>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2099.3-2015</w:t>
      </w:r>
    </w:p>
    <w:p>
      <w:pPr>
        <w:framePr w:w="3334" w:x="7056" w:y="11179"/>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2099.1-2008</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23.3</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条、</w:t>
      </w:r>
    </w:p>
    <w:p>
      <w:pPr>
        <w:framePr w:w="3334" w:x="7056" w:y="11179"/>
        <w:widowControl w:val="0"/>
        <w:autoSpaceDE w:val="0"/>
        <w:autoSpaceDN w:val="0"/>
        <w:spacing w:before="65" w:line="209" w:lineRule="exact"/>
        <w:ind w:left="1202"/>
        <w:rPr>
          <w:rFonts w:hAnsi="Calibri"/>
          <w:color w:val="000000"/>
          <w:sz w:val="21"/>
          <w:szCs w:val="22"/>
          <w:lang w:val="en-US" w:eastAsia="en-US" w:bidi="ar-SA"/>
        </w:rPr>
      </w:pPr>
      <w:r>
        <w:rPr>
          <w:rFonts w:ascii="SimSun" w:hAnsi="Calibri"/>
          <w:color w:val="000000"/>
          <w:spacing w:val="1"/>
          <w:sz w:val="21"/>
          <w:szCs w:val="22"/>
          <w:lang w:val="en-US" w:eastAsia="en-US" w:bidi="ar-SA"/>
        </w:rPr>
        <w:t>23.4</w:t>
      </w:r>
      <w:r>
        <w:rPr>
          <w:rFonts w:hAnsi="Calibri"/>
          <w:color w:val="000000"/>
          <w:spacing w:val="-4"/>
          <w:sz w:val="21"/>
          <w:szCs w:val="22"/>
          <w:lang w:val="en-US" w:eastAsia="en-US" w:bidi="ar-SA"/>
        </w:rPr>
        <w:t xml:space="preserve"> </w:t>
      </w:r>
      <w:r>
        <w:rPr>
          <w:rFonts w:ascii="SimSun" w:hAnsi="SimSun" w:cs="SimSun"/>
          <w:color w:val="000000"/>
          <w:sz w:val="21"/>
          <w:szCs w:val="22"/>
          <w:lang w:val="en-US" w:eastAsia="en-US" w:bidi="ar-SA"/>
        </w:rPr>
        <w:t>条</w:t>
      </w:r>
    </w:p>
    <w:p>
      <w:pPr>
        <w:framePr w:w="345" w:x="2261" w:y="11597"/>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9</w:t>
      </w:r>
    </w:p>
    <w:p>
      <w:pPr>
        <w:framePr w:w="2129" w:x="4015" w:y="11597"/>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绝缘电阻和电气强度</w:t>
      </w:r>
    </w:p>
    <w:p>
      <w:pPr>
        <w:framePr w:w="450" w:x="2208" w:y="12151"/>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10</w:t>
      </w:r>
    </w:p>
    <w:p>
      <w:pPr>
        <w:framePr w:w="1918" w:x="4121" w:y="12151"/>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拔出插头所需的力</w:t>
      </w:r>
    </w:p>
    <w:p>
      <w:pPr>
        <w:framePr w:w="1918" w:x="4121" w:y="12151"/>
        <w:widowControl w:val="0"/>
        <w:autoSpaceDE w:val="0"/>
        <w:autoSpaceDN w:val="0"/>
        <w:spacing w:before="619" w:line="209" w:lineRule="exact"/>
        <w:ind w:left="209"/>
        <w:rPr>
          <w:rFonts w:hAnsi="Calibri"/>
          <w:color w:val="000000"/>
          <w:sz w:val="21"/>
          <w:szCs w:val="22"/>
          <w:lang w:val="en-US" w:eastAsia="en-US" w:bidi="ar-SA"/>
        </w:rPr>
      </w:pPr>
      <w:r>
        <w:rPr>
          <w:rFonts w:ascii="SimSun" w:hAnsi="SimSun" w:cs="SimSun"/>
          <w:color w:val="000000"/>
          <w:sz w:val="21"/>
          <w:szCs w:val="22"/>
          <w:lang w:val="en-US" w:eastAsia="en-US" w:bidi="ar-SA"/>
        </w:rPr>
        <w:t>软缆及其连接</w:t>
      </w:r>
    </w:p>
    <w:p>
      <w:pPr>
        <w:framePr w:w="450" w:x="2208" w:y="12979"/>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11</w:t>
      </w:r>
    </w:p>
    <w:p>
      <w:pPr>
        <w:framePr w:w="3334" w:x="7056" w:y="13116"/>
        <w:widowControl w:val="0"/>
        <w:autoSpaceDE w:val="0"/>
        <w:autoSpaceDN w:val="0"/>
        <w:spacing w:line="209" w:lineRule="exact"/>
        <w:rPr>
          <w:rFonts w:hAnsi="Calibri"/>
          <w:color w:val="000000"/>
          <w:sz w:val="21"/>
          <w:szCs w:val="22"/>
          <w:lang w:val="en-US" w:eastAsia="en-US" w:bidi="ar-SA"/>
        </w:rPr>
      </w:pPr>
      <w:r>
        <w:rPr>
          <w:rFonts w:ascii="SimSun" w:hAnsi="Calibri"/>
          <w:color w:val="000000"/>
          <w:sz w:val="21"/>
          <w:szCs w:val="22"/>
          <w:lang w:val="en-US" w:eastAsia="en-US" w:bidi="ar-SA"/>
        </w:rPr>
        <w:t>GB/T</w:t>
      </w:r>
      <w:r>
        <w:rPr>
          <w:rFonts w:hAnsi="Calibri"/>
          <w:color w:val="000000"/>
          <w:spacing w:val="52"/>
          <w:sz w:val="21"/>
          <w:szCs w:val="22"/>
          <w:lang w:val="en-US" w:eastAsia="en-US" w:bidi="ar-SA"/>
        </w:rPr>
        <w:t xml:space="preserve"> </w:t>
      </w:r>
      <w:r>
        <w:rPr>
          <w:rFonts w:ascii="SimSun" w:hAnsi="Calibri"/>
          <w:color w:val="000000"/>
          <w:sz w:val="21"/>
          <w:szCs w:val="22"/>
          <w:lang w:val="en-US" w:eastAsia="en-US" w:bidi="ar-SA"/>
        </w:rPr>
        <w:t>2099.3-2015</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中第</w:t>
      </w:r>
      <w:r>
        <w:rPr>
          <w:rFonts w:hAnsi="Calibri"/>
          <w:color w:val="000000"/>
          <w:spacing w:val="3"/>
          <w:sz w:val="21"/>
          <w:szCs w:val="22"/>
          <w:lang w:val="en-US" w:eastAsia="en-US" w:bidi="ar-SA"/>
        </w:rPr>
        <w:t xml:space="preserve"> </w:t>
      </w:r>
      <w:r>
        <w:rPr>
          <w:rFonts w:ascii="SimSun" w:hAnsi="Calibri"/>
          <w:color w:val="000000"/>
          <w:spacing w:val="1"/>
          <w:sz w:val="21"/>
          <w:szCs w:val="22"/>
          <w:lang w:val="en-US" w:eastAsia="en-US" w:bidi="ar-SA"/>
        </w:rPr>
        <w:t>23.3</w:t>
      </w:r>
      <w:r>
        <w:rPr>
          <w:rFonts w:hAnsi="Calibri"/>
          <w:color w:val="000000"/>
          <w:spacing w:val="-2"/>
          <w:sz w:val="21"/>
          <w:szCs w:val="22"/>
          <w:lang w:val="en-US" w:eastAsia="en-US" w:bidi="ar-SA"/>
        </w:rPr>
        <w:t xml:space="preserve"> </w:t>
      </w:r>
      <w:r>
        <w:rPr>
          <w:rFonts w:ascii="SimSun" w:hAnsi="SimSun" w:cs="SimSun"/>
          <w:color w:val="000000"/>
          <w:spacing w:val="-1"/>
          <w:sz w:val="21"/>
          <w:szCs w:val="22"/>
          <w:lang w:val="en-US" w:eastAsia="en-US" w:bidi="ar-SA"/>
        </w:rPr>
        <w:t>条、</w:t>
      </w:r>
    </w:p>
    <w:p>
      <w:pPr>
        <w:framePr w:w="3334" w:x="7056" w:y="13116"/>
        <w:widowControl w:val="0"/>
        <w:autoSpaceDE w:val="0"/>
        <w:autoSpaceDN w:val="0"/>
        <w:spacing w:before="65" w:line="209" w:lineRule="exact"/>
        <w:ind w:left="1202"/>
        <w:rPr>
          <w:rFonts w:hAnsi="Calibri"/>
          <w:color w:val="000000"/>
          <w:sz w:val="21"/>
          <w:szCs w:val="22"/>
          <w:lang w:val="en-US" w:eastAsia="en-US" w:bidi="ar-SA"/>
        </w:rPr>
      </w:pPr>
      <w:r>
        <w:rPr>
          <w:rFonts w:ascii="SimSun" w:hAnsi="Calibri"/>
          <w:color w:val="000000"/>
          <w:spacing w:val="1"/>
          <w:sz w:val="21"/>
          <w:szCs w:val="22"/>
          <w:lang w:val="en-US" w:eastAsia="en-US" w:bidi="ar-SA"/>
        </w:rPr>
        <w:t>23.4</w:t>
      </w:r>
      <w:r>
        <w:rPr>
          <w:rFonts w:hAnsi="Calibri"/>
          <w:color w:val="000000"/>
          <w:spacing w:val="-4"/>
          <w:sz w:val="21"/>
          <w:szCs w:val="22"/>
          <w:lang w:val="en-US" w:eastAsia="en-US" w:bidi="ar-SA"/>
        </w:rPr>
        <w:t xml:space="preserve"> </w:t>
      </w:r>
      <w:r>
        <w:rPr>
          <w:rFonts w:ascii="SimSun" w:hAnsi="SimSun" w:cs="SimSun"/>
          <w:color w:val="000000"/>
          <w:sz w:val="21"/>
          <w:szCs w:val="22"/>
          <w:lang w:val="en-US" w:eastAsia="en-US" w:bidi="ar-SA"/>
        </w:rPr>
        <w:t>条</w:t>
      </w:r>
    </w:p>
    <w:p>
      <w:pPr>
        <w:framePr w:w="450" w:x="2208" w:y="13671"/>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12</w:t>
      </w:r>
    </w:p>
    <w:p>
      <w:pPr>
        <w:framePr w:w="450" w:x="2208" w:y="13671"/>
        <w:widowControl w:val="0"/>
        <w:autoSpaceDE w:val="0"/>
        <w:autoSpaceDN w:val="0"/>
        <w:spacing w:before="209"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13</w:t>
      </w:r>
    </w:p>
    <w:p>
      <w:pPr>
        <w:framePr w:w="658" w:x="4750" w:y="13671"/>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1"/>
          <w:sz w:val="21"/>
          <w:szCs w:val="22"/>
          <w:lang w:val="en-US" w:eastAsia="en-US" w:bidi="ar-SA"/>
        </w:rPr>
        <w:t>耐热</w:t>
      </w:r>
    </w:p>
    <w:p>
      <w:pPr>
        <w:framePr w:w="1919" w:x="7759" w:y="13671"/>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19" w:x="7759" w:y="13671"/>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19" w:x="7759" w:y="13671"/>
        <w:widowControl w:val="0"/>
        <w:autoSpaceDE w:val="0"/>
        <w:autoSpaceDN w:val="0"/>
        <w:spacing w:before="62"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2099.3-2015</w:t>
      </w:r>
    </w:p>
    <w:p>
      <w:pPr>
        <w:framePr w:w="1919" w:x="7759" w:y="13671"/>
        <w:widowControl w:val="0"/>
        <w:autoSpaceDE w:val="0"/>
        <w:autoSpaceDN w:val="0"/>
        <w:spacing w:before="74"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2099.1-2008</w:t>
      </w:r>
    </w:p>
    <w:p>
      <w:pPr>
        <w:framePr w:w="1919" w:x="7759" w:y="13671"/>
        <w:widowControl w:val="0"/>
        <w:autoSpaceDE w:val="0"/>
        <w:autoSpaceDN w:val="0"/>
        <w:spacing w:before="62"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2099.3-2015</w:t>
      </w:r>
    </w:p>
    <w:p>
      <w:pPr>
        <w:framePr w:w="1919" w:x="7759" w:y="13671"/>
        <w:widowControl w:val="0"/>
        <w:autoSpaceDE w:val="0"/>
        <w:autoSpaceDN w:val="0"/>
        <w:spacing w:before="65"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GB/T</w:t>
      </w:r>
      <w:r>
        <w:rPr>
          <w:rFonts w:hAnsi="Calibri"/>
          <w:color w:val="000000"/>
          <w:spacing w:val="51"/>
          <w:sz w:val="21"/>
          <w:szCs w:val="22"/>
          <w:lang w:val="en-US" w:eastAsia="en-US" w:bidi="ar-SA"/>
        </w:rPr>
        <w:t xml:space="preserve"> </w:t>
      </w:r>
      <w:r>
        <w:rPr>
          <w:rFonts w:ascii="SimSun" w:hAnsi="Calibri"/>
          <w:color w:val="000000"/>
          <w:sz w:val="21"/>
          <w:szCs w:val="22"/>
          <w:lang w:val="en-US" w:eastAsia="en-US" w:bidi="ar-SA"/>
        </w:rPr>
        <w:t>2099.7-2015</w:t>
      </w:r>
    </w:p>
    <w:p>
      <w:pPr>
        <w:framePr w:w="4002" w:x="3084" w:y="14088"/>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pacing w:val="-1"/>
          <w:sz w:val="21"/>
          <w:szCs w:val="22"/>
          <w:lang w:val="en-US" w:eastAsia="en-US" w:bidi="ar-SA"/>
        </w:rPr>
        <w:t>爬电距离、电气间隙和通过密封胶的距离</w:t>
      </w:r>
    </w:p>
    <w:p>
      <w:pPr>
        <w:framePr w:w="450" w:x="2208" w:y="14779"/>
        <w:widowControl w:val="0"/>
        <w:autoSpaceDE w:val="0"/>
        <w:autoSpaceDN w:val="0"/>
        <w:spacing w:line="209" w:lineRule="exact"/>
        <w:rPr>
          <w:rFonts w:hAnsi="Calibri"/>
          <w:color w:val="000000"/>
          <w:sz w:val="21"/>
          <w:szCs w:val="22"/>
          <w:lang w:val="en-US" w:eastAsia="en-US" w:bidi="ar-SA"/>
        </w:rPr>
      </w:pPr>
      <w:r>
        <w:rPr>
          <w:rFonts w:ascii="SimSun" w:hAnsi="Calibri"/>
          <w:color w:val="000000"/>
          <w:spacing w:val="1"/>
          <w:sz w:val="21"/>
          <w:szCs w:val="22"/>
          <w:lang w:val="en-US" w:eastAsia="en-US" w:bidi="ar-SA"/>
        </w:rPr>
        <w:t>14</w:t>
      </w:r>
    </w:p>
    <w:p>
      <w:pPr>
        <w:framePr w:w="3809" w:x="3175" w:y="14779"/>
        <w:widowControl w:val="0"/>
        <w:autoSpaceDE w:val="0"/>
        <w:autoSpaceDN w:val="0"/>
        <w:spacing w:line="209" w:lineRule="exact"/>
        <w:rPr>
          <w:rFonts w:hAnsi="Calibri"/>
          <w:color w:val="000000"/>
          <w:sz w:val="21"/>
          <w:szCs w:val="22"/>
          <w:lang w:val="en-US" w:eastAsia="en-US" w:bidi="ar-SA"/>
        </w:rPr>
      </w:pPr>
      <w:r>
        <w:rPr>
          <w:rFonts w:ascii="SimSun" w:hAnsi="SimSun" w:cs="SimSun"/>
          <w:color w:val="000000"/>
          <w:sz w:val="21"/>
          <w:szCs w:val="22"/>
          <w:lang w:val="en-US" w:eastAsia="en-US" w:bidi="ar-SA"/>
        </w:rPr>
        <w:t>绝缘材料的耐非常热、耐燃和耐电痕化</w:t>
      </w:r>
    </w:p>
    <w:p>
      <w:pPr>
        <w:framePr w:w="330" w:x="5909" w:y="15430"/>
        <w:widowControl w:val="0"/>
        <w:autoSpaceDE w:val="0"/>
        <w:autoSpaceDN w:val="0"/>
        <w:spacing w:line="188" w:lineRule="exact"/>
        <w:rPr>
          <w:rFonts w:hAnsi="Calibri"/>
          <w:color w:val="000000"/>
          <w:sz w:val="18"/>
          <w:szCs w:val="22"/>
          <w:lang w:val="en-US" w:eastAsia="en-US" w:bidi="ar-SA"/>
        </w:rPr>
      </w:pPr>
      <w:r>
        <w:rPr>
          <w:rFonts w:ascii="NVVFGW+TimesNewRomanPSMT" w:hAnsi="Calibri"/>
          <w:color w:val="000000"/>
          <w:sz w:val="18"/>
          <w:szCs w:val="22"/>
          <w:lang w:val="en-US" w:eastAsia="en-US" w:bidi="ar-SA"/>
        </w:rPr>
        <w:t>1</w:t>
      </w:r>
    </w:p>
    <w:p>
      <w:pPr>
        <w:spacing w:line="0" w:lineRule="atLeast"/>
        <w:rPr>
          <w:rFonts w:ascii="Arial" w:hAnsi="Calibri"/>
          <w:color w:val="FF0000"/>
          <w:sz w:val="2"/>
          <w:szCs w:val="22"/>
          <w:lang w:val="en-US" w:eastAsia="en-US" w:bidi="ar-SA"/>
        </w:rPr>
        <w:sectPr>
          <w:pgSz w:w="11900" w:h="16820"/>
          <w:pgMar w:top="0" w:right="0" w:bottom="0" w:left="0" w:header="720" w:footer="720" w:gutter="0"/>
          <w:pgNumType w:start="1"/>
          <w:cols w:sep="0" w:space="720"/>
          <w:docGrid w:linePitch="1"/>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33.25pt;height:407.7pt;margin-top:359.3pt;margin-left:81.4pt;mso-position-horizontal-relative:page;mso-position-vertical-relative:page;position:absolute;z-index:-251658240">
            <v:imagedata r:id="rId4" o:title=""/>
          </v:shape>
        </w:pict>
      </w:r>
    </w:p>
    <w:p>
      <w:pPr>
        <w:spacing w:line="0" w:lineRule="atLeast"/>
        <w:rPr>
          <w:rFonts w:ascii="Arial" w:eastAsiaTheme="minorEastAsia" w:hAnsiTheme="minorHAnsi" w:cstheme="minorBidi"/>
          <w:color w:val="FF0000"/>
          <w:sz w:val="2"/>
          <w:szCs w:val="22"/>
          <w:lang w:val="en-US" w:eastAsia="en-US" w:bidi="ar-SA"/>
        </w:rPr>
      </w:pPr>
      <w:bookmarkStart w:id="1" w:name="br1_0"/>
      <w:bookmarkEnd w:id="1"/>
      <w:r>
        <w:rPr>
          <w:rFonts w:ascii="Arial" w:eastAsiaTheme="minorEastAsia" w:hAnsiTheme="minorHAnsi" w:cstheme="minorBidi"/>
          <w:color w:val="FF0000"/>
          <w:sz w:val="2"/>
          <w:szCs w:val="22"/>
          <w:lang w:val="en-US" w:eastAsia="en-US" w:bidi="ar-SA"/>
        </w:rPr>
        <w:t xml:space="preserve"> </w:t>
      </w:r>
    </w:p>
    <w:p>
      <w:pPr>
        <w:framePr w:w="8700" w:x="1879" w:y="1465"/>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pacing w:val="-1"/>
          <w:sz w:val="18"/>
          <w:szCs w:val="22"/>
          <w:lang w:val="en-US" w:eastAsia="en-US" w:bidi="ar-SA"/>
        </w:rPr>
        <w:t>注：1.上表所列检验项目是有关法律法规、标准等规定的，重点涉及健康、安全、节能、环保以及消费者、</w:t>
      </w:r>
    </w:p>
    <w:p>
      <w:pPr>
        <w:framePr w:w="8700" w:x="1879" w:y="1465"/>
        <w:widowControl w:val="0"/>
        <w:autoSpaceDE w:val="0"/>
        <w:autoSpaceDN w:val="0"/>
        <w:spacing w:before="132" w:line="180" w:lineRule="exact"/>
        <w:ind w:left="540"/>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有关组织反映有质量问题的重要项目。</w:t>
      </w:r>
    </w:p>
    <w:p>
      <w:pPr>
        <w:framePr w:w="4020" w:x="2242" w:y="2089"/>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2.检验方法包括相关产品标准及试验方法标准。</w:t>
      </w:r>
    </w:p>
    <w:p>
      <w:pPr>
        <w:framePr w:w="8205" w:x="2239" w:y="2401"/>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pacing w:val="1"/>
          <w:sz w:val="18"/>
          <w:szCs w:val="22"/>
          <w:lang w:val="en-US" w:eastAsia="en-US" w:bidi="ar-SA"/>
        </w:rPr>
        <w:t>3.凡是注日期的文件，其随后所有的修改单（不包括勘误的内容）或修订版不适用于本细则。凡是不</w:t>
      </w:r>
    </w:p>
    <w:p>
      <w:pPr>
        <w:framePr w:w="8205" w:x="2239" w:y="2401"/>
        <w:widowControl w:val="0"/>
        <w:autoSpaceDE w:val="0"/>
        <w:autoSpaceDN w:val="0"/>
        <w:spacing w:before="132" w:line="180" w:lineRule="exact"/>
        <w:ind w:left="180"/>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注日期的文件，其最新版本适用于本细则。</w:t>
      </w:r>
    </w:p>
    <w:p>
      <w:pPr>
        <w:framePr w:w="6360" w:x="2242" w:y="3025"/>
        <w:widowControl w:val="0"/>
        <w:autoSpaceDE w:val="0"/>
        <w:autoSpaceDN w:val="0"/>
        <w:spacing w:line="180" w:lineRule="exact"/>
        <w:rPr>
          <w:rFonts w:eastAsiaTheme="minorEastAsia" w:hAnsiTheme="minorHAnsi" w:cstheme="minorBidi"/>
          <w:color w:val="000000"/>
          <w:sz w:val="18"/>
          <w:szCs w:val="22"/>
          <w:lang w:val="en-US" w:eastAsia="en-US" w:bidi="ar-SA"/>
        </w:rPr>
      </w:pPr>
      <w:r>
        <w:rPr>
          <w:rFonts w:ascii="SimSun" w:hAnsi="SimSun" w:eastAsiaTheme="minorEastAsia" w:cs="SimSun"/>
          <w:color w:val="000000"/>
          <w:sz w:val="18"/>
          <w:szCs w:val="22"/>
          <w:lang w:val="en-US" w:eastAsia="en-US" w:bidi="ar-SA"/>
        </w:rPr>
        <w:t>4.执行企业标准、团体标准、地方标准的产品，检验项目参照上述内容执行。</w:t>
      </w:r>
    </w:p>
    <w:p>
      <w:pPr>
        <w:framePr w:w="345" w:x="1702" w:y="363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z w:val="21"/>
          <w:szCs w:val="22"/>
          <w:lang w:val="en-US" w:eastAsia="en-US" w:bidi="ar-SA"/>
        </w:rPr>
        <w:t>3</w:t>
      </w:r>
    </w:p>
    <w:p>
      <w:pPr>
        <w:framePr w:w="1078" w:x="2016" w:y="363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hAnsi="SimHei" w:eastAsiaTheme="minorEastAsia" w:cs="SimHei"/>
          <w:color w:val="000000"/>
          <w:sz w:val="21"/>
          <w:szCs w:val="22"/>
          <w:lang w:val="en-US" w:eastAsia="en-US" w:bidi="ar-SA"/>
        </w:rPr>
        <w:t>判定规则</w:t>
      </w:r>
    </w:p>
    <w:p>
      <w:pPr>
        <w:framePr w:w="7378" w:x="1702" w:y="4260"/>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3.1</w:t>
      </w:r>
      <w:r>
        <w:rPr>
          <w:rFonts w:eastAsiaTheme="minorEastAsia" w:hAnsiTheme="minorHAnsi" w:cstheme="minorBidi"/>
          <w:color w:val="000000"/>
          <w:spacing w:val="154"/>
          <w:sz w:val="21"/>
          <w:szCs w:val="22"/>
          <w:lang w:val="en-US" w:eastAsia="en-US" w:bidi="ar-SA"/>
        </w:rPr>
        <w:t xml:space="preserve"> </w:t>
      </w:r>
      <w:r>
        <w:rPr>
          <w:rFonts w:ascii="SimHei" w:hAnsi="SimHei" w:eastAsiaTheme="minorEastAsia" w:cs="SimHei"/>
          <w:color w:val="000000"/>
          <w:sz w:val="21"/>
          <w:szCs w:val="22"/>
          <w:lang w:val="en-US" w:eastAsia="en-US" w:bidi="ar-SA"/>
        </w:rPr>
        <w:t>依据标准</w:t>
      </w:r>
    </w:p>
    <w:p>
      <w:pPr>
        <w:framePr w:w="7378" w:x="1702" w:y="4260"/>
        <w:widowControl w:val="0"/>
        <w:autoSpaceDE w:val="0"/>
        <w:autoSpaceDN w:val="0"/>
        <w:spacing w:before="393" w:line="209" w:lineRule="exact"/>
        <w:ind w:left="420"/>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1002-2008</w:t>
      </w:r>
      <w:r>
        <w:rPr>
          <w:rFonts w:eastAsiaTheme="minorEastAsia" w:hAnsiTheme="minorHAnsi" w:cstheme="minorBidi"/>
          <w:color w:val="000000"/>
          <w:spacing w:val="159"/>
          <w:sz w:val="21"/>
          <w:szCs w:val="22"/>
          <w:lang w:val="en-US" w:eastAsia="en-US" w:bidi="ar-SA"/>
        </w:rPr>
        <w:t xml:space="preserve"> </w:t>
      </w:r>
      <w:r>
        <w:rPr>
          <w:rFonts w:ascii="SimSun" w:hAnsi="SimSun" w:eastAsiaTheme="minorEastAsia" w:cs="SimSun"/>
          <w:color w:val="000000"/>
          <w:sz w:val="21"/>
          <w:szCs w:val="22"/>
          <w:lang w:val="en-US" w:eastAsia="en-US" w:bidi="ar-SA"/>
        </w:rPr>
        <w:t>家用和类似用途单相插头插座</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型式、基本参数和尺寸</w:t>
      </w:r>
    </w:p>
    <w:p>
      <w:pPr>
        <w:framePr w:w="8009" w:x="2122" w:y="5136"/>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1003-2016</w:t>
      </w:r>
      <w:r>
        <w:rPr>
          <w:rFonts w:eastAsiaTheme="minorEastAsia" w:hAnsiTheme="minorHAnsi" w:cstheme="minorBidi"/>
          <w:color w:val="000000"/>
          <w:spacing w:val="159"/>
          <w:sz w:val="21"/>
          <w:szCs w:val="22"/>
          <w:lang w:val="en-US" w:eastAsia="en-US" w:bidi="ar-SA"/>
        </w:rPr>
        <w:t xml:space="preserve"> </w:t>
      </w:r>
      <w:r>
        <w:rPr>
          <w:rFonts w:ascii="SimSun" w:hAnsi="SimSun" w:eastAsiaTheme="minorEastAsia" w:cs="SimSun"/>
          <w:color w:val="000000"/>
          <w:sz w:val="21"/>
          <w:szCs w:val="22"/>
          <w:lang w:val="en-US" w:eastAsia="en-US" w:bidi="ar-SA"/>
        </w:rPr>
        <w:t>家用和类似用途三相插头插座</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型式、基本参数和尺寸</w:t>
      </w:r>
    </w:p>
    <w:p>
      <w:pPr>
        <w:framePr w:w="8009" w:x="2122" w:y="5136"/>
        <w:widowControl w:val="0"/>
        <w:autoSpaceDE w:val="0"/>
        <w:autoSpaceDN w:val="0"/>
        <w:spacing w:before="62"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2099.1-2008</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家用和类似用途插头插座</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第</w:t>
      </w:r>
      <w:r>
        <w:rPr>
          <w:rFonts w:eastAsiaTheme="minorEastAsia" w:hAnsiTheme="minorHAnsi" w:cstheme="minorBidi"/>
          <w:color w:val="000000"/>
          <w:spacing w:val="-1"/>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1</w:t>
      </w:r>
      <w:r>
        <w:rPr>
          <w:rFonts w:eastAsiaTheme="minorEastAsia" w:hAnsiTheme="minorHAnsi" w:cstheme="minorBidi"/>
          <w:color w:val="000000"/>
          <w:spacing w:val="1"/>
          <w:sz w:val="21"/>
          <w:szCs w:val="22"/>
          <w:lang w:val="en-US" w:eastAsia="en-US" w:bidi="ar-SA"/>
        </w:rPr>
        <w:t xml:space="preserve"> </w:t>
      </w:r>
      <w:r>
        <w:rPr>
          <w:rFonts w:ascii="SimSun" w:hAnsi="SimSun" w:eastAsiaTheme="minorEastAsia" w:cs="SimSun"/>
          <w:color w:val="000000"/>
          <w:sz w:val="21"/>
          <w:szCs w:val="22"/>
          <w:lang w:val="en-US" w:eastAsia="en-US" w:bidi="ar-SA"/>
        </w:rPr>
        <w:t>部分：通用要求</w:t>
      </w:r>
    </w:p>
    <w:p>
      <w:pPr>
        <w:framePr w:w="8009" w:x="2122" w:y="5136"/>
        <w:widowControl w:val="0"/>
        <w:autoSpaceDE w:val="0"/>
        <w:autoSpaceDN w:val="0"/>
        <w:spacing w:before="65"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2099.3-2015</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家用和类似用途插头插座</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第</w:t>
      </w:r>
      <w:r>
        <w:rPr>
          <w:rFonts w:eastAsiaTheme="minorEastAsia" w:hAnsiTheme="minorHAnsi" w:cstheme="minorBidi"/>
          <w:color w:val="000000"/>
          <w:spacing w:val="-1"/>
          <w:sz w:val="21"/>
          <w:szCs w:val="22"/>
          <w:lang w:val="en-US" w:eastAsia="en-US" w:bidi="ar-SA"/>
        </w:rPr>
        <w:t xml:space="preserve"> </w:t>
      </w:r>
      <w:r>
        <w:rPr>
          <w:rFonts w:ascii="SimSun" w:eastAsiaTheme="minorEastAsia" w:hAnsiTheme="minorHAnsi" w:cstheme="minorBidi"/>
          <w:color w:val="000000"/>
          <w:spacing w:val="1"/>
          <w:sz w:val="21"/>
          <w:szCs w:val="22"/>
          <w:lang w:val="en-US" w:eastAsia="en-US" w:bidi="ar-SA"/>
        </w:rPr>
        <w:t>2-5</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z w:val="21"/>
          <w:szCs w:val="22"/>
          <w:lang w:val="en-US" w:eastAsia="en-US" w:bidi="ar-SA"/>
        </w:rPr>
        <w:t>部分：转换器的特殊要求</w:t>
      </w:r>
    </w:p>
    <w:p>
      <w:pPr>
        <w:framePr w:w="8009" w:x="2122" w:y="5136"/>
        <w:widowControl w:val="0"/>
        <w:autoSpaceDE w:val="0"/>
        <w:autoSpaceDN w:val="0"/>
        <w:spacing w:before="62" w:line="209" w:lineRule="exact"/>
        <w:rPr>
          <w:rFonts w:eastAsiaTheme="minorEastAsia" w:hAnsiTheme="minorHAnsi" w:cstheme="minorBidi"/>
          <w:color w:val="000000"/>
          <w:sz w:val="21"/>
          <w:szCs w:val="22"/>
          <w:lang w:val="en-US" w:eastAsia="en-US" w:bidi="ar-SA"/>
        </w:rPr>
      </w:pPr>
      <w:r>
        <w:rPr>
          <w:rFonts w:ascii="SimSun" w:eastAsiaTheme="minorEastAsia" w:hAnsiTheme="minorHAnsi" w:cstheme="minorBidi"/>
          <w:color w:val="000000"/>
          <w:sz w:val="21"/>
          <w:szCs w:val="22"/>
          <w:lang w:val="en-US" w:eastAsia="en-US" w:bidi="ar-SA"/>
        </w:rPr>
        <w:t>GB/T</w:t>
      </w:r>
      <w:r>
        <w:rPr>
          <w:rFonts w:eastAsiaTheme="minorEastAsia" w:hAnsiTheme="minorHAnsi" w:cstheme="minorBidi"/>
          <w:color w:val="000000"/>
          <w:spacing w:val="52"/>
          <w:sz w:val="21"/>
          <w:szCs w:val="22"/>
          <w:lang w:val="en-US" w:eastAsia="en-US" w:bidi="ar-SA"/>
        </w:rPr>
        <w:t xml:space="preserve"> </w:t>
      </w:r>
      <w:r>
        <w:rPr>
          <w:rFonts w:ascii="SimSun" w:eastAsiaTheme="minorEastAsia" w:hAnsiTheme="minorHAnsi" w:cstheme="minorBidi"/>
          <w:color w:val="000000"/>
          <w:sz w:val="21"/>
          <w:szCs w:val="22"/>
          <w:lang w:val="en-US" w:eastAsia="en-US" w:bidi="ar-SA"/>
        </w:rPr>
        <w:t>2099.7-2015</w:t>
      </w:r>
      <w:r>
        <w:rPr>
          <w:rFonts w:eastAsiaTheme="minorEastAsia" w:hAnsiTheme="minorHAnsi" w:cstheme="minorBidi"/>
          <w:color w:val="000000"/>
          <w:spacing w:val="157"/>
          <w:sz w:val="21"/>
          <w:szCs w:val="22"/>
          <w:lang w:val="en-US" w:eastAsia="en-US" w:bidi="ar-SA"/>
        </w:rPr>
        <w:t xml:space="preserve"> </w:t>
      </w:r>
      <w:r>
        <w:rPr>
          <w:rFonts w:ascii="SimSun" w:hAnsi="SimSun" w:eastAsiaTheme="minorEastAsia" w:cs="SimSun"/>
          <w:color w:val="000000"/>
          <w:sz w:val="21"/>
          <w:szCs w:val="22"/>
          <w:lang w:val="en-US" w:eastAsia="en-US" w:bidi="ar-SA"/>
        </w:rPr>
        <w:t>家用和类似用途插头插座</w:t>
      </w:r>
      <w:r>
        <w:rPr>
          <w:rFonts w:eastAsiaTheme="minorEastAsia" w:hAnsiTheme="minorHAnsi" w:cstheme="minorBidi"/>
          <w:color w:val="000000"/>
          <w:spacing w:val="158"/>
          <w:sz w:val="21"/>
          <w:szCs w:val="22"/>
          <w:lang w:val="en-US" w:eastAsia="en-US" w:bidi="ar-SA"/>
        </w:rPr>
        <w:t xml:space="preserve"> </w:t>
      </w:r>
      <w:r>
        <w:rPr>
          <w:rFonts w:ascii="SimSun" w:hAnsi="SimSun" w:eastAsiaTheme="minorEastAsia" w:cs="SimSun"/>
          <w:color w:val="000000"/>
          <w:sz w:val="21"/>
          <w:szCs w:val="22"/>
          <w:lang w:val="en-US" w:eastAsia="en-US" w:bidi="ar-SA"/>
        </w:rPr>
        <w:t>第</w:t>
      </w:r>
      <w:r>
        <w:rPr>
          <w:rFonts w:eastAsiaTheme="minorEastAsia" w:hAnsiTheme="minorHAnsi" w:cstheme="minorBidi"/>
          <w:color w:val="000000"/>
          <w:spacing w:val="-1"/>
          <w:sz w:val="21"/>
          <w:szCs w:val="22"/>
          <w:lang w:val="en-US" w:eastAsia="en-US" w:bidi="ar-SA"/>
        </w:rPr>
        <w:t xml:space="preserve"> </w:t>
      </w:r>
      <w:r>
        <w:rPr>
          <w:rFonts w:ascii="SimSun" w:eastAsiaTheme="minorEastAsia" w:hAnsiTheme="minorHAnsi" w:cstheme="minorBidi"/>
          <w:color w:val="000000"/>
          <w:spacing w:val="1"/>
          <w:sz w:val="21"/>
          <w:szCs w:val="22"/>
          <w:lang w:val="en-US" w:eastAsia="en-US" w:bidi="ar-SA"/>
        </w:rPr>
        <w:t>2-7</w:t>
      </w:r>
      <w:r>
        <w:rPr>
          <w:rFonts w:eastAsiaTheme="minorEastAsia" w:hAnsiTheme="minorHAnsi" w:cstheme="minorBidi"/>
          <w:color w:val="000000"/>
          <w:sz w:val="21"/>
          <w:szCs w:val="22"/>
          <w:lang w:val="en-US" w:eastAsia="en-US" w:bidi="ar-SA"/>
        </w:rPr>
        <w:t xml:space="preserve"> </w:t>
      </w:r>
      <w:r>
        <w:rPr>
          <w:rFonts w:ascii="SimSun" w:hAnsi="SimSun" w:eastAsiaTheme="minorEastAsia" w:cs="SimSun"/>
          <w:color w:val="000000"/>
          <w:sz w:val="21"/>
          <w:szCs w:val="22"/>
          <w:lang w:val="en-US" w:eastAsia="en-US" w:bidi="ar-SA"/>
        </w:rPr>
        <w:t>部分：延长线插座的特殊要求</w:t>
      </w:r>
    </w:p>
    <w:p>
      <w:pPr>
        <w:framePr w:w="8009" w:x="2122" w:y="5136"/>
        <w:widowControl w:val="0"/>
        <w:autoSpaceDE w:val="0"/>
        <w:autoSpaceDN w:val="0"/>
        <w:spacing w:before="84"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现行有效的企业标准、团体标准、地方标准及产品明示质量要求。</w:t>
      </w:r>
    </w:p>
    <w:p>
      <w:pPr>
        <w:framePr w:w="1601" w:x="1702" w:y="6869"/>
        <w:widowControl w:val="0"/>
        <w:autoSpaceDE w:val="0"/>
        <w:autoSpaceDN w:val="0"/>
        <w:spacing w:line="209" w:lineRule="exact"/>
        <w:rPr>
          <w:rFonts w:eastAsiaTheme="minorEastAsia" w:hAnsiTheme="minorHAnsi" w:cstheme="minorBidi"/>
          <w:color w:val="000000"/>
          <w:sz w:val="21"/>
          <w:szCs w:val="22"/>
          <w:lang w:val="en-US" w:eastAsia="en-US" w:bidi="ar-SA"/>
        </w:rPr>
      </w:pPr>
      <w:r>
        <w:rPr>
          <w:rFonts w:ascii="SimHei" w:eastAsiaTheme="minorEastAsia" w:hAnsiTheme="minorHAnsi" w:cstheme="minorBidi"/>
          <w:color w:val="000000"/>
          <w:spacing w:val="1"/>
          <w:sz w:val="21"/>
          <w:szCs w:val="22"/>
          <w:lang w:val="en-US" w:eastAsia="en-US" w:bidi="ar-SA"/>
        </w:rPr>
        <w:t>3.2</w:t>
      </w:r>
      <w:r>
        <w:rPr>
          <w:rFonts w:eastAsiaTheme="minorEastAsia" w:hAnsiTheme="minorHAnsi" w:cstheme="minorBidi"/>
          <w:color w:val="000000"/>
          <w:spacing w:val="154"/>
          <w:sz w:val="21"/>
          <w:szCs w:val="22"/>
          <w:lang w:val="en-US" w:eastAsia="en-US" w:bidi="ar-SA"/>
        </w:rPr>
        <w:t xml:space="preserve"> </w:t>
      </w:r>
      <w:r>
        <w:rPr>
          <w:rFonts w:ascii="SimHei" w:hAnsi="SimHei" w:eastAsiaTheme="minorEastAsia" w:cs="SimHei"/>
          <w:color w:val="000000"/>
          <w:sz w:val="21"/>
          <w:szCs w:val="22"/>
          <w:lang w:val="en-US" w:eastAsia="en-US" w:bidi="ar-SA"/>
        </w:rPr>
        <w:t>判定原则</w:t>
      </w:r>
    </w:p>
    <w:p>
      <w:pPr>
        <w:framePr w:w="8743" w:x="1702" w:y="7471"/>
        <w:widowControl w:val="0"/>
        <w:autoSpaceDE w:val="0"/>
        <w:autoSpaceDN w:val="0"/>
        <w:spacing w:line="209" w:lineRule="exact"/>
        <w:ind w:left="420"/>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经检验，检验项目全部合格，判定为被抽查产品所检项目未发现不合格；检验项目中任</w:t>
      </w:r>
    </w:p>
    <w:p>
      <w:pPr>
        <w:framePr w:w="8743" w:x="1702" w:y="7471"/>
        <w:widowControl w:val="0"/>
        <w:autoSpaceDE w:val="0"/>
        <w:autoSpaceDN w:val="0"/>
        <w:spacing w:before="65"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一项或一项以上不合格，判定为被抽查产品不合格。</w:t>
      </w:r>
    </w:p>
    <w:p>
      <w:pPr>
        <w:framePr w:w="8741" w:x="1702" w:y="8016"/>
        <w:widowControl w:val="0"/>
        <w:autoSpaceDE w:val="0"/>
        <w:autoSpaceDN w:val="0"/>
        <w:spacing w:line="209" w:lineRule="exact"/>
        <w:ind w:left="418"/>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若被检产品明示的质量要求高于本细则中检验项目依据的标准要求时，应按被检产品明示</w:t>
      </w:r>
    </w:p>
    <w:p>
      <w:pPr>
        <w:framePr w:w="8741" w:x="1702" w:y="8016"/>
        <w:widowControl w:val="0"/>
        <w:autoSpaceDE w:val="0"/>
        <w:autoSpaceDN w:val="0"/>
        <w:spacing w:before="65"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的质量要求判定。</w:t>
      </w:r>
    </w:p>
    <w:p>
      <w:pPr>
        <w:framePr w:w="8743" w:x="1702" w:y="8563"/>
        <w:widowControl w:val="0"/>
        <w:autoSpaceDE w:val="0"/>
        <w:autoSpaceDN w:val="0"/>
        <w:spacing w:line="209" w:lineRule="exact"/>
        <w:ind w:left="418"/>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若被检产品明示的质量要求低于本细则中检验项目依据的强制性标准要求时，应按照强制</w:t>
      </w:r>
    </w:p>
    <w:p>
      <w:pPr>
        <w:framePr w:w="8743" w:x="1702" w:y="8563"/>
        <w:widowControl w:val="0"/>
        <w:autoSpaceDE w:val="0"/>
        <w:autoSpaceDN w:val="0"/>
        <w:spacing w:before="62"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性标准要求判定。</w:t>
      </w:r>
    </w:p>
    <w:p>
      <w:pPr>
        <w:framePr w:w="8743" w:x="1702" w:y="9106"/>
        <w:widowControl w:val="0"/>
        <w:autoSpaceDE w:val="0"/>
        <w:autoSpaceDN w:val="0"/>
        <w:spacing w:line="209" w:lineRule="exact"/>
        <w:ind w:left="418"/>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若被检产品明示的质量要求低于或包含细则中检验项目依据的推荐性标准要求时，应以被</w:t>
      </w:r>
    </w:p>
    <w:p>
      <w:pPr>
        <w:framePr w:w="8743" w:x="1702" w:y="9106"/>
        <w:widowControl w:val="0"/>
        <w:autoSpaceDE w:val="0"/>
        <w:autoSpaceDN w:val="0"/>
        <w:spacing w:before="65"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检产品明示的质量要求判定，但应在检验报告备注中进行说明。</w:t>
      </w:r>
    </w:p>
    <w:p>
      <w:pPr>
        <w:framePr w:w="8743" w:x="1702" w:y="9106"/>
        <w:widowControl w:val="0"/>
        <w:autoSpaceDE w:val="0"/>
        <w:autoSpaceDN w:val="0"/>
        <w:spacing w:before="62" w:line="209" w:lineRule="exact"/>
        <w:ind w:left="418"/>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若被检产品明示的质量要求缺少本细则中检验项目依据的强制性标准要求时，应按照强制</w:t>
      </w:r>
    </w:p>
    <w:p>
      <w:pPr>
        <w:framePr w:w="8743" w:x="1702" w:y="9106"/>
        <w:widowControl w:val="0"/>
        <w:autoSpaceDE w:val="0"/>
        <w:autoSpaceDN w:val="0"/>
        <w:spacing w:before="65"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性标准要求判定。</w:t>
      </w:r>
    </w:p>
    <w:p>
      <w:pPr>
        <w:framePr w:w="8743" w:x="1702" w:y="10195"/>
        <w:widowControl w:val="0"/>
        <w:autoSpaceDE w:val="0"/>
        <w:autoSpaceDN w:val="0"/>
        <w:spacing w:line="209" w:lineRule="exact"/>
        <w:ind w:left="418"/>
        <w:rPr>
          <w:rFonts w:eastAsiaTheme="minorEastAsia" w:hAnsiTheme="minorHAnsi" w:cstheme="minorBidi"/>
          <w:color w:val="000000"/>
          <w:sz w:val="21"/>
          <w:szCs w:val="22"/>
          <w:lang w:val="en-US" w:eastAsia="en-US" w:bidi="ar-SA"/>
        </w:rPr>
      </w:pPr>
      <w:r>
        <w:rPr>
          <w:rFonts w:ascii="SimSun" w:hAnsi="SimSun" w:eastAsiaTheme="minorEastAsia" w:cs="SimSun"/>
          <w:color w:val="000000"/>
          <w:spacing w:val="-3"/>
          <w:sz w:val="21"/>
          <w:szCs w:val="22"/>
          <w:lang w:val="en-US" w:eastAsia="en-US" w:bidi="ar-SA"/>
        </w:rPr>
        <w:t>若被检产品明示的质量要求缺少本细则中检验项目依据的推荐性标准要求时，该项目不参</w:t>
      </w:r>
    </w:p>
    <w:p>
      <w:pPr>
        <w:framePr w:w="8743" w:x="1702" w:y="10195"/>
        <w:widowControl w:val="0"/>
        <w:autoSpaceDE w:val="0"/>
        <w:autoSpaceDN w:val="0"/>
        <w:spacing w:before="65" w:line="209" w:lineRule="exact"/>
        <w:rPr>
          <w:rFonts w:eastAsiaTheme="minorEastAsia" w:hAnsiTheme="minorHAnsi" w:cstheme="minorBidi"/>
          <w:color w:val="000000"/>
          <w:sz w:val="21"/>
          <w:szCs w:val="22"/>
          <w:lang w:val="en-US" w:eastAsia="en-US" w:bidi="ar-SA"/>
        </w:rPr>
      </w:pPr>
      <w:r>
        <w:rPr>
          <w:rFonts w:ascii="SimSun" w:hAnsi="SimSun" w:eastAsiaTheme="minorEastAsia" w:cs="SimSun"/>
          <w:color w:val="000000"/>
          <w:sz w:val="21"/>
          <w:szCs w:val="22"/>
          <w:lang w:val="en-US" w:eastAsia="en-US" w:bidi="ar-SA"/>
        </w:rPr>
        <w:t>与判定，但应在检验报告备注中进行说明。</w:t>
      </w:r>
    </w:p>
    <w:p>
      <w:pPr>
        <w:framePr w:w="330" w:x="5909" w:y="15430"/>
        <w:widowControl w:val="0"/>
        <w:autoSpaceDE w:val="0"/>
        <w:autoSpaceDN w:val="0"/>
        <w:spacing w:line="188" w:lineRule="exact"/>
        <w:rPr>
          <w:rFonts w:eastAsiaTheme="minorEastAsia" w:hAnsiTheme="minorHAnsi" w:cstheme="minorBidi"/>
          <w:color w:val="000000"/>
          <w:sz w:val="18"/>
          <w:szCs w:val="22"/>
          <w:lang w:val="en-US" w:eastAsia="en-US" w:bidi="ar-SA"/>
        </w:rPr>
      </w:pPr>
      <w:r>
        <w:rPr>
          <w:rFonts w:ascii="LGOBGW+TimesNewRomanPSMT" w:eastAsiaTheme="minorEastAsia" w:hAnsiTheme="minorHAnsi" w:cstheme="minorBidi"/>
          <w:color w:val="000000"/>
          <w:sz w:val="18"/>
          <w:szCs w:val="22"/>
          <w:lang w:val="en-US" w:eastAsia="en-US" w:bidi="ar-SA"/>
        </w:rPr>
        <w:t>2</w:t>
      </w:r>
    </w:p>
    <w:p>
      <w:pPr>
        <w:spacing w:line="0" w:lineRule="atLeast"/>
        <w:rPr>
          <w:rFonts w:ascii="Arial" w:eastAsiaTheme="minorEastAsia" w:hAnsiTheme="minorHAnsi" w:cstheme="minorBidi"/>
          <w:color w:val="FF0000"/>
          <w:sz w:val="2"/>
          <w:szCs w:val="22"/>
          <w:lang w:val="en-US" w:eastAsia="en-US" w:bidi="ar-SA"/>
        </w:rPr>
      </w:pPr>
    </w:p>
    <w:p>
      <w:pPr>
        <w:spacing w:line="0" w:lineRule="atLeast"/>
        <w:rPr>
          <w:rFonts w:ascii="Arial" w:eastAsiaTheme="minorEastAsia" w:hAnsiTheme="minorHAnsi" w:cstheme="minorBidi"/>
          <w:color w:val="FF0000"/>
          <w:sz w:val="2"/>
          <w:szCs w:val="22"/>
          <w:lang w:val="en-US" w:eastAsia="en-US" w:bidi="ar-SA"/>
        </w:rPr>
      </w:pPr>
    </w:p>
    <w:sectPr>
      <w:pgSz w:w="11900" w:h="16820"/>
      <w:pgMar w:top="0" w:right="0" w:bottom="0" w:left="0"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SimHei">
    <w:panose1 w:val="00000000000000000000"/>
    <w:charset w:val="01"/>
    <w:family w:val="auto"/>
    <w:notTrueType/>
    <w:pitch w:val="default"/>
    <w:sig w:usb0="01010101" w:usb1="01010101" w:usb2="01010101" w:usb3="01010101" w:csb0="01010101" w:csb1="01010101"/>
  </w:font>
  <w:font w:name="SimSun">
    <w:panose1 w:val="00000000000000000000"/>
    <w:charset w:val="01"/>
    <w:family w:val="auto"/>
    <w:notTrueType/>
    <w:pitch w:val="default"/>
    <w:sig w:usb0="01010101" w:usb1="01010101" w:usb2="01010101" w:usb3="01010101" w:csb0="01010101" w:csb1="01010101"/>
  </w:font>
  <w:font w:name="NVVFGW+TimesNewRomanPSMT">
    <w:panose1 w:val="02000500000000000000"/>
    <w:charset w:val="01"/>
    <w:family w:val="auto"/>
    <w:pitch w:val="variable"/>
    <w:sig w:usb0="01010101" w:usb1="01010101" w:usb2="01010101" w:usb3="01010101" w:csb0="01010101" w:csb1="01010101"/>
  </w:font>
  <w:font w:name="LGOBGW+TimesNewRomanPSMT">
    <w:panose1 w:val="02000500000000000000"/>
    <w:charset w:val="01"/>
    <w:family w:val="auto"/>
    <w:pitch w:val="variable"/>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