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6638" w:x="2753" w:y="1554"/>
        <w:widowControl w:val="0"/>
        <w:autoSpaceDE w:val="0"/>
        <w:autoSpaceDN w:val="0"/>
        <w:spacing w:line="319" w:lineRule="exact"/>
        <w:rPr>
          <w:rFonts w:hAnsi="Calibri"/>
          <w:color w:val="000000"/>
          <w:sz w:val="32"/>
          <w:szCs w:val="22"/>
          <w:lang w:val="en-US" w:eastAsia="en-US" w:bidi="ar-SA"/>
        </w:rPr>
      </w:pPr>
      <w:r>
        <w:rPr>
          <w:rFonts w:ascii="SimHei" w:hAnsi="SimHei" w:cs="SimHei"/>
          <w:color w:val="000000"/>
          <w:sz w:val="32"/>
          <w:szCs w:val="22"/>
          <w:lang w:val="en-US" w:eastAsia="en-US" w:bidi="ar-SA"/>
        </w:rPr>
        <w:t>四川省双层床产品质量省级监督抽查实施细则</w:t>
      </w:r>
    </w:p>
    <w:p>
      <w:pPr>
        <w:framePr w:w="6638" w:x="2753" w:y="1554"/>
        <w:widowControl w:val="0"/>
        <w:autoSpaceDE w:val="0"/>
        <w:autoSpaceDN w:val="0"/>
        <w:spacing w:before="199" w:line="319" w:lineRule="exact"/>
        <w:ind w:left="1920"/>
        <w:rPr>
          <w:rFonts w:hAnsi="Calibri"/>
          <w:color w:val="000000"/>
          <w:sz w:val="32"/>
          <w:szCs w:val="22"/>
          <w:lang w:val="en-US" w:eastAsia="en-US" w:bidi="ar-SA"/>
        </w:rPr>
      </w:pPr>
      <w:r>
        <w:rPr>
          <w:rFonts w:ascii="SimHei" w:hAnsi="Calibri"/>
          <w:color w:val="000000"/>
          <w:sz w:val="32"/>
          <w:szCs w:val="22"/>
          <w:lang w:val="en-US" w:eastAsia="en-US" w:bidi="ar-SA"/>
        </w:rPr>
        <w:t>SCSG-ZY-714-2022</w:t>
      </w:r>
    </w:p>
    <w:p>
      <w:pPr>
        <w:framePr w:w="345" w:x="1702" w:y="2803"/>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1</w:t>
      </w:r>
    </w:p>
    <w:p>
      <w:pPr>
        <w:framePr w:w="1078" w:x="2016" w:y="2803"/>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抽样方法</w:t>
      </w:r>
    </w:p>
    <w:p>
      <w:pPr>
        <w:framePr w:w="6118" w:x="2122" w:y="3427"/>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以随机抽样的方式在被抽样生产者、销售者的待销产品中抽取。</w:t>
      </w:r>
    </w:p>
    <w:p>
      <w:pPr>
        <w:framePr w:w="6118" w:x="2122" w:y="3427"/>
        <w:widowControl w:val="0"/>
        <w:autoSpaceDE w:val="0"/>
        <w:autoSpaceDN w:val="0"/>
        <w:spacing w:before="10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随机数一般可使用随机数表、骰子或扑克牌等方法产生。</w:t>
      </w:r>
    </w:p>
    <w:p>
      <w:pPr>
        <w:framePr w:w="8326" w:x="2122" w:y="4051"/>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每批次产品抽取样品</w:t>
      </w:r>
      <w:r>
        <w:rPr>
          <w:rFonts w:hAnsi="Calibri"/>
          <w:color w:val="000000"/>
          <w:spacing w:val="-1"/>
          <w:sz w:val="21"/>
          <w:szCs w:val="22"/>
          <w:lang w:val="en-US" w:eastAsia="en-US" w:bidi="ar-SA"/>
        </w:rPr>
        <w:t xml:space="preserve"> </w:t>
      </w:r>
      <w:r>
        <w:rPr>
          <w:rFonts w:ascii="SimSun" w:hAnsi="Calibri"/>
          <w:color w:val="000000"/>
          <w:sz w:val="21"/>
          <w:szCs w:val="22"/>
          <w:lang w:val="en-US" w:eastAsia="en-US" w:bidi="ar-SA"/>
        </w:rPr>
        <w:t>2</w:t>
      </w:r>
      <w:r>
        <w:rPr>
          <w:rFonts w:hAnsi="Calibri"/>
          <w:color w:val="000000"/>
          <w:spacing w:val="1"/>
          <w:sz w:val="21"/>
          <w:szCs w:val="22"/>
          <w:lang w:val="en-US" w:eastAsia="en-US" w:bidi="ar-SA"/>
        </w:rPr>
        <w:t xml:space="preserve"> </w:t>
      </w:r>
      <w:r>
        <w:rPr>
          <w:rFonts w:ascii="SimSun" w:hAnsi="SimSun" w:cs="SimSun"/>
          <w:color w:val="000000"/>
          <w:spacing w:val="-5"/>
          <w:sz w:val="21"/>
          <w:szCs w:val="22"/>
          <w:lang w:val="en-US" w:eastAsia="en-US" w:bidi="ar-SA"/>
        </w:rPr>
        <w:t>件，其中</w:t>
      </w:r>
      <w:r>
        <w:rPr>
          <w:rFonts w:hAnsi="Calibri"/>
          <w:color w:val="000000"/>
          <w:spacing w:val="2"/>
          <w:sz w:val="21"/>
          <w:szCs w:val="22"/>
          <w:lang w:val="en-US" w:eastAsia="en-US" w:bidi="ar-SA"/>
        </w:rPr>
        <w:t xml:space="preserve"> </w:t>
      </w:r>
      <w:r>
        <w:rPr>
          <w:rFonts w:ascii="SimSun" w:hAnsi="Calibri"/>
          <w:color w:val="000000"/>
          <w:sz w:val="21"/>
          <w:szCs w:val="22"/>
          <w:lang w:val="en-US" w:eastAsia="en-US" w:bidi="ar-SA"/>
        </w:rPr>
        <w:t>1</w:t>
      </w:r>
      <w:r>
        <w:rPr>
          <w:rFonts w:hAnsi="Calibri"/>
          <w:color w:val="000000"/>
          <w:spacing w:val="1"/>
          <w:sz w:val="21"/>
          <w:szCs w:val="22"/>
          <w:lang w:val="en-US" w:eastAsia="en-US" w:bidi="ar-SA"/>
        </w:rPr>
        <w:t xml:space="preserve"> </w:t>
      </w:r>
      <w:r>
        <w:rPr>
          <w:rFonts w:ascii="SimSun" w:hAnsi="SimSun" w:cs="SimSun"/>
          <w:color w:val="000000"/>
          <w:spacing w:val="-2"/>
          <w:sz w:val="21"/>
          <w:szCs w:val="22"/>
          <w:lang w:val="en-US" w:eastAsia="en-US" w:bidi="ar-SA"/>
        </w:rPr>
        <w:t>件作为检验样品，1</w:t>
      </w:r>
      <w:r>
        <w:rPr>
          <w:rFonts w:hAnsi="Calibri"/>
          <w:color w:val="000000"/>
          <w:spacing w:val="1"/>
          <w:sz w:val="21"/>
          <w:szCs w:val="22"/>
          <w:lang w:val="en-US" w:eastAsia="en-US" w:bidi="ar-SA"/>
        </w:rPr>
        <w:t xml:space="preserve"> </w:t>
      </w:r>
      <w:r>
        <w:rPr>
          <w:rFonts w:ascii="SimSun" w:hAnsi="SimSun" w:cs="SimSun"/>
          <w:color w:val="000000"/>
          <w:spacing w:val="-1"/>
          <w:sz w:val="21"/>
          <w:szCs w:val="22"/>
          <w:lang w:val="en-US" w:eastAsia="en-US" w:bidi="ar-SA"/>
        </w:rPr>
        <w:t>件作为备用样品，备用样品封存受</w:t>
      </w:r>
    </w:p>
    <w:p>
      <w:pPr>
        <w:framePr w:w="1078" w:x="1702" w:y="4363"/>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检单位。</w:t>
      </w:r>
    </w:p>
    <w:p>
      <w:pPr>
        <w:framePr w:w="345" w:x="1702" w:y="4987"/>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2</w:t>
      </w:r>
    </w:p>
    <w:p>
      <w:pPr>
        <w:framePr w:w="1078" w:x="2016" w:y="498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检验依据</w:t>
      </w:r>
    </w:p>
    <w:p>
      <w:pPr>
        <w:framePr w:w="2285" w:x="4930" w:y="5611"/>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1</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双层床检验项目</w:t>
      </w:r>
    </w:p>
    <w:p>
      <w:pPr>
        <w:framePr w:w="658" w:x="1970" w:y="614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3922" w:y="614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1078" w:x="7692" w:y="614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2916" w:x="6775" w:y="6523"/>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4.2</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2916" w:x="6775" w:y="6523"/>
        <w:widowControl w:val="0"/>
        <w:autoSpaceDE w:val="0"/>
        <w:autoSpaceDN w:val="0"/>
        <w:spacing w:before="103" w:line="209" w:lineRule="exact"/>
        <w:ind w:left="446"/>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345" w:x="2129" w:y="6679"/>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658" w:x="4133" w:y="66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结构</w:t>
      </w:r>
    </w:p>
    <w:p>
      <w:pPr>
        <w:framePr w:w="2916" w:x="6775" w:y="7159"/>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4.3</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2916" w:x="6775" w:y="7159"/>
        <w:widowControl w:val="0"/>
        <w:autoSpaceDE w:val="0"/>
        <w:autoSpaceDN w:val="0"/>
        <w:spacing w:before="103" w:line="209" w:lineRule="exact"/>
        <w:ind w:left="446"/>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345" w:x="2129" w:y="7315"/>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2129" w:y="7315"/>
        <w:widowControl w:val="0"/>
        <w:autoSpaceDE w:val="0"/>
        <w:autoSpaceDN w:val="0"/>
        <w:spacing w:before="425"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1709" w:x="3607" w:y="7315"/>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上层床安全栏板</w:t>
      </w:r>
    </w:p>
    <w:p>
      <w:pPr>
        <w:framePr w:w="2916" w:x="6775" w:y="7793"/>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4.4</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2916" w:x="6775" w:y="7793"/>
        <w:widowControl w:val="0"/>
        <w:autoSpaceDE w:val="0"/>
        <w:autoSpaceDN w:val="0"/>
        <w:spacing w:before="103" w:line="209" w:lineRule="exact"/>
        <w:ind w:left="446"/>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1918" w:x="3502" w:y="794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儿童用双层床间隙</w:t>
      </w:r>
    </w:p>
    <w:p>
      <w:pPr>
        <w:framePr w:w="3127" w:x="6670" w:y="8427"/>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2"/>
          <w:sz w:val="21"/>
          <w:szCs w:val="22"/>
          <w:lang w:val="en-US" w:eastAsia="en-US" w:bidi="ar-SA"/>
        </w:rPr>
        <w:t xml:space="preserve"> </w:t>
      </w:r>
      <w:r>
        <w:rPr>
          <w:rFonts w:ascii="SimSun" w:hAnsi="Calibri"/>
          <w:color w:val="000000"/>
          <w:sz w:val="21"/>
          <w:szCs w:val="22"/>
          <w:lang w:val="en-US" w:eastAsia="en-US" w:bidi="ar-SA"/>
        </w:rPr>
        <w:t>4.5.1</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7" w:x="6670" w:y="8427"/>
        <w:widowControl w:val="0"/>
        <w:autoSpaceDE w:val="0"/>
        <w:autoSpaceDN w:val="0"/>
        <w:spacing w:before="103"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2"/>
          <w:sz w:val="21"/>
          <w:szCs w:val="22"/>
          <w:lang w:val="en-US" w:eastAsia="en-US" w:bidi="ar-SA"/>
        </w:rPr>
        <w:t xml:space="preserve"> </w:t>
      </w:r>
      <w:r>
        <w:rPr>
          <w:rFonts w:ascii="SimSun" w:hAnsi="Calibri"/>
          <w:color w:val="000000"/>
          <w:sz w:val="21"/>
          <w:szCs w:val="22"/>
          <w:lang w:val="en-US" w:eastAsia="en-US" w:bidi="ar-SA"/>
        </w:rPr>
        <w:t>4.5.4</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7" w:x="6670" w:y="8427"/>
        <w:widowControl w:val="0"/>
        <w:autoSpaceDE w:val="0"/>
        <w:autoSpaceDN w:val="0"/>
        <w:spacing w:before="103"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2"/>
          <w:sz w:val="21"/>
          <w:szCs w:val="22"/>
          <w:lang w:val="en-US" w:eastAsia="en-US" w:bidi="ar-SA"/>
        </w:rPr>
        <w:t xml:space="preserve"> </w:t>
      </w:r>
      <w:r>
        <w:rPr>
          <w:rFonts w:ascii="SimSun" w:hAnsi="Calibri"/>
          <w:color w:val="000000"/>
          <w:sz w:val="21"/>
          <w:szCs w:val="22"/>
          <w:lang w:val="en-US" w:eastAsia="en-US" w:bidi="ar-SA"/>
        </w:rPr>
        <w:t>4.5.5</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7" w:x="6670" w:y="8427"/>
        <w:widowControl w:val="0"/>
        <w:autoSpaceDE w:val="0"/>
        <w:autoSpaceDN w:val="0"/>
        <w:spacing w:before="103" w:line="209" w:lineRule="exact"/>
        <w:ind w:left="552"/>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345" w:x="2129" w:y="8895"/>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869" w:x="4027" w:y="8895"/>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床铺面</w:t>
      </w:r>
    </w:p>
    <w:p>
      <w:pPr>
        <w:framePr w:w="3127" w:x="6670" w:y="9684"/>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2"/>
          <w:sz w:val="21"/>
          <w:szCs w:val="22"/>
          <w:lang w:val="en-US" w:eastAsia="en-US" w:bidi="ar-SA"/>
        </w:rPr>
        <w:t xml:space="preserve"> </w:t>
      </w:r>
      <w:r>
        <w:rPr>
          <w:rFonts w:ascii="SimSun" w:hAnsi="Calibri"/>
          <w:color w:val="000000"/>
          <w:sz w:val="21"/>
          <w:szCs w:val="22"/>
          <w:lang w:val="en-US" w:eastAsia="en-US" w:bidi="ar-SA"/>
        </w:rPr>
        <w:t>4.6.2</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条</w:t>
      </w:r>
    </w:p>
    <w:p>
      <w:pPr>
        <w:framePr w:w="3127" w:x="6670" w:y="9684"/>
        <w:widowControl w:val="0"/>
        <w:autoSpaceDE w:val="0"/>
        <w:autoSpaceDN w:val="0"/>
        <w:spacing w:before="103" w:line="209" w:lineRule="exact"/>
        <w:ind w:left="552"/>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345" w:x="2129" w:y="9840"/>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5</w:t>
      </w:r>
    </w:p>
    <w:p>
      <w:pPr>
        <w:framePr w:w="345" w:x="2129" w:y="9840"/>
        <w:widowControl w:val="0"/>
        <w:autoSpaceDE w:val="0"/>
        <w:autoSpaceDN w:val="0"/>
        <w:spacing w:before="425" w:line="209" w:lineRule="exact"/>
        <w:rPr>
          <w:rFonts w:hAnsi="Calibri"/>
          <w:color w:val="000000"/>
          <w:sz w:val="21"/>
          <w:szCs w:val="22"/>
          <w:lang w:val="en-US" w:eastAsia="en-US" w:bidi="ar-SA"/>
        </w:rPr>
      </w:pPr>
      <w:r>
        <w:rPr>
          <w:rFonts w:ascii="SimSun" w:hAnsi="Calibri"/>
          <w:color w:val="000000"/>
          <w:sz w:val="21"/>
          <w:szCs w:val="22"/>
          <w:lang w:val="en-US" w:eastAsia="en-US" w:bidi="ar-SA"/>
        </w:rPr>
        <w:t>6</w:t>
      </w:r>
    </w:p>
    <w:p>
      <w:pPr>
        <w:framePr w:w="345" w:x="2129" w:y="9840"/>
        <w:widowControl w:val="0"/>
        <w:autoSpaceDE w:val="0"/>
        <w:autoSpaceDN w:val="0"/>
        <w:spacing w:before="425" w:line="209" w:lineRule="exact"/>
        <w:rPr>
          <w:rFonts w:hAnsi="Calibri"/>
          <w:color w:val="000000"/>
          <w:sz w:val="21"/>
          <w:szCs w:val="22"/>
          <w:lang w:val="en-US" w:eastAsia="en-US" w:bidi="ar-SA"/>
        </w:rPr>
      </w:pPr>
      <w:r>
        <w:rPr>
          <w:rFonts w:ascii="SimSun" w:hAnsi="Calibri"/>
          <w:color w:val="000000"/>
          <w:sz w:val="21"/>
          <w:szCs w:val="22"/>
          <w:lang w:val="en-US" w:eastAsia="en-US" w:bidi="ar-SA"/>
        </w:rPr>
        <w:t>7</w:t>
      </w:r>
    </w:p>
    <w:p>
      <w:pPr>
        <w:framePr w:w="658" w:x="4133" w:y="9840"/>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梯子</w:t>
      </w:r>
    </w:p>
    <w:p>
      <w:pPr>
        <w:framePr w:w="2916" w:x="6775" w:y="10318"/>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4.8</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2916" w:x="6775" w:y="10318"/>
        <w:widowControl w:val="0"/>
        <w:autoSpaceDE w:val="0"/>
        <w:autoSpaceDN w:val="0"/>
        <w:spacing w:before="103" w:line="209" w:lineRule="exact"/>
        <w:ind w:left="446"/>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869" w:x="4027" w:y="10474"/>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稳定性</w:t>
      </w:r>
    </w:p>
    <w:p>
      <w:pPr>
        <w:framePr w:w="2705" w:x="6881" w:y="10951"/>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24430.1-2009</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z w:val="21"/>
          <w:szCs w:val="22"/>
          <w:lang w:val="en-US" w:eastAsia="en-US" w:bidi="ar-SA"/>
        </w:rPr>
        <w:t>5</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2705" w:x="6881" w:y="10951"/>
        <w:widowControl w:val="0"/>
        <w:autoSpaceDE w:val="0"/>
        <w:autoSpaceDN w:val="0"/>
        <w:spacing w:before="103" w:line="209" w:lineRule="exact"/>
        <w:ind w:left="341"/>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24430.2-2009</w:t>
      </w:r>
    </w:p>
    <w:p>
      <w:pPr>
        <w:framePr w:w="1078" w:x="3922" w:y="11107"/>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用户指南</w:t>
      </w:r>
    </w:p>
    <w:p>
      <w:pPr>
        <w:framePr w:w="345" w:x="2129" w:y="11587"/>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8</w:t>
      </w:r>
    </w:p>
    <w:p>
      <w:pPr>
        <w:framePr w:w="345" w:x="2129" w:y="11587"/>
        <w:widowControl w:val="0"/>
        <w:autoSpaceDE w:val="0"/>
        <w:autoSpaceDN w:val="0"/>
        <w:spacing w:before="113" w:line="209" w:lineRule="exact"/>
        <w:rPr>
          <w:rFonts w:hAnsi="Calibri"/>
          <w:color w:val="000000"/>
          <w:sz w:val="21"/>
          <w:szCs w:val="22"/>
          <w:lang w:val="en-US" w:eastAsia="en-US" w:bidi="ar-SA"/>
        </w:rPr>
      </w:pPr>
      <w:r>
        <w:rPr>
          <w:rFonts w:ascii="SimSun" w:hAnsi="Calibri"/>
          <w:color w:val="000000"/>
          <w:sz w:val="21"/>
          <w:szCs w:val="22"/>
          <w:lang w:val="en-US" w:eastAsia="en-US" w:bidi="ar-SA"/>
        </w:rPr>
        <w:t>9</w:t>
      </w:r>
    </w:p>
    <w:p>
      <w:pPr>
        <w:framePr w:w="1289" w:x="3449" w:y="11587"/>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甲醛释放量</w:t>
      </w:r>
    </w:p>
    <w:p>
      <w:pPr>
        <w:framePr w:w="218" w:x="4553" w:y="11570"/>
        <w:widowControl w:val="0"/>
        <w:autoSpaceDE w:val="0"/>
        <w:autoSpaceDN w:val="0"/>
        <w:spacing w:line="106" w:lineRule="exact"/>
        <w:rPr>
          <w:rFonts w:hAnsi="Calibri"/>
          <w:color w:val="000000"/>
          <w:sz w:val="11"/>
          <w:szCs w:val="22"/>
          <w:lang w:val="en-US" w:eastAsia="en-US" w:bidi="ar-SA"/>
        </w:rPr>
      </w:pPr>
      <w:r>
        <w:rPr>
          <w:rFonts w:ascii="SimSun" w:hAnsi="Calibri"/>
          <w:color w:val="000000"/>
          <w:sz w:val="11"/>
          <w:szCs w:val="22"/>
          <w:lang w:val="en-US" w:eastAsia="en-US" w:bidi="ar-SA"/>
        </w:rPr>
        <w:t>a</w:t>
      </w:r>
    </w:p>
    <w:p>
      <w:pPr>
        <w:framePr w:w="870" w:x="4606" w:y="11587"/>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，mg/L</w:t>
      </w:r>
    </w:p>
    <w:p>
      <w:pPr>
        <w:framePr w:w="1604" w:x="7430" w:y="11587"/>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18584-2001</w:t>
      </w:r>
    </w:p>
    <w:p>
      <w:pPr>
        <w:framePr w:w="1918" w:x="3084" w:y="1190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可溶性重金属含量</w:t>
      </w:r>
    </w:p>
    <w:p>
      <w:pPr>
        <w:framePr w:w="1028" w:x="4814" w:y="11892"/>
        <w:widowControl w:val="0"/>
        <w:autoSpaceDE w:val="0"/>
        <w:autoSpaceDN w:val="0"/>
        <w:spacing w:line="106" w:lineRule="exact"/>
        <w:rPr>
          <w:rFonts w:hAnsi="Calibri"/>
          <w:color w:val="000000"/>
          <w:sz w:val="11"/>
          <w:szCs w:val="22"/>
          <w:lang w:val="en-US" w:eastAsia="en-US" w:bidi="ar-SA"/>
        </w:rPr>
      </w:pPr>
      <w:r>
        <w:rPr>
          <w:rFonts w:ascii="SimSun" w:hAnsi="Calibri"/>
          <w:color w:val="000000"/>
          <w:sz w:val="11"/>
          <w:szCs w:val="22"/>
          <w:lang w:val="en-US" w:eastAsia="en-US" w:bidi="ar-SA"/>
        </w:rPr>
        <w:t>a</w:t>
      </w:r>
    </w:p>
    <w:p>
      <w:pPr>
        <w:framePr w:w="1028" w:x="4814" w:y="11892"/>
        <w:widowControl w:val="0"/>
        <w:autoSpaceDE w:val="0"/>
        <w:autoSpaceDN w:val="0"/>
        <w:spacing w:line="209" w:lineRule="exact"/>
        <w:ind w:left="53"/>
        <w:rPr>
          <w:rFonts w:hAnsi="Calibri"/>
          <w:color w:val="000000"/>
          <w:sz w:val="21"/>
          <w:szCs w:val="22"/>
          <w:lang w:val="en-US" w:eastAsia="en-US" w:bidi="ar-SA"/>
        </w:rPr>
      </w:pPr>
      <w:r>
        <w:rPr>
          <w:rFonts w:ascii="SimSun" w:hAnsi="SimSun" w:cs="SimSun"/>
          <w:color w:val="000000"/>
          <w:sz w:val="21"/>
          <w:szCs w:val="22"/>
          <w:lang w:val="en-US" w:eastAsia="en-US" w:bidi="ar-SA"/>
        </w:rPr>
        <w:t>，mg/kg</w:t>
      </w:r>
    </w:p>
    <w:p>
      <w:pPr>
        <w:framePr w:w="1604" w:x="7430" w:y="11909"/>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18584-2001</w:t>
      </w:r>
    </w:p>
    <w:p>
      <w:pPr>
        <w:framePr w:w="4740" w:x="1795" w:y="12246"/>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注：金属双层床、钢木双层床产品不进行</w:t>
      </w:r>
      <w:r>
        <w:rPr>
          <w:rFonts w:hAnsi="Calibri"/>
          <w:color w:val="000000"/>
          <w:spacing w:val="1"/>
          <w:sz w:val="18"/>
          <w:szCs w:val="22"/>
          <w:lang w:val="en-US" w:eastAsia="en-US" w:bidi="ar-SA"/>
        </w:rPr>
        <w:t xml:space="preserve"> </w:t>
      </w:r>
      <w:r>
        <w:rPr>
          <w:rFonts w:ascii="SimSun" w:hAnsi="Calibri"/>
          <w:color w:val="000000"/>
          <w:sz w:val="18"/>
          <w:szCs w:val="22"/>
          <w:lang w:val="en-US" w:eastAsia="en-US" w:bidi="ar-SA"/>
        </w:rPr>
        <w:t>a</w:t>
      </w:r>
      <w:r>
        <w:rPr>
          <w:rFonts w:hAnsi="Calibri"/>
          <w:color w:val="000000"/>
          <w:spacing w:val="-1"/>
          <w:sz w:val="18"/>
          <w:szCs w:val="22"/>
          <w:lang w:val="en-US" w:eastAsia="en-US" w:bidi="ar-SA"/>
        </w:rPr>
        <w:t xml:space="preserve"> </w:t>
      </w:r>
      <w:r>
        <w:rPr>
          <w:rFonts w:ascii="SimSun" w:hAnsi="SimSun" w:cs="SimSun"/>
          <w:color w:val="000000"/>
          <w:sz w:val="18"/>
          <w:szCs w:val="22"/>
          <w:lang w:val="en-US" w:eastAsia="en-US" w:bidi="ar-SA"/>
        </w:rPr>
        <w:t>标项目检测。</w:t>
      </w:r>
    </w:p>
    <w:p>
      <w:pPr>
        <w:framePr w:w="8700" w:x="1879" w:y="12567"/>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pacing w:val="-1"/>
          <w:sz w:val="18"/>
          <w:szCs w:val="22"/>
          <w:lang w:val="en-US" w:eastAsia="en-US" w:bidi="ar-SA"/>
        </w:rPr>
        <w:t>注：1.上表所列检验项目是有关法律法规、标准等规定的，重点涉及健康、安全、节能、环保以及消费者、</w:t>
      </w:r>
    </w:p>
    <w:p>
      <w:pPr>
        <w:framePr w:w="8700" w:x="1879" w:y="12567"/>
        <w:widowControl w:val="0"/>
        <w:autoSpaceDE w:val="0"/>
        <w:autoSpaceDN w:val="0"/>
        <w:spacing w:before="132" w:line="180" w:lineRule="exact"/>
        <w:ind w:left="540"/>
        <w:rPr>
          <w:rFonts w:hAnsi="Calibri"/>
          <w:color w:val="000000"/>
          <w:sz w:val="18"/>
          <w:szCs w:val="22"/>
          <w:lang w:val="en-US" w:eastAsia="en-US" w:bidi="ar-SA"/>
        </w:rPr>
      </w:pPr>
      <w:r>
        <w:rPr>
          <w:rFonts w:ascii="SimSun" w:hAnsi="SimSun" w:cs="SimSun"/>
          <w:color w:val="000000"/>
          <w:sz w:val="18"/>
          <w:szCs w:val="22"/>
          <w:lang w:val="en-US" w:eastAsia="en-US" w:bidi="ar-SA"/>
        </w:rPr>
        <w:t>有关组织反映有质量问题的重要项目。</w:t>
      </w:r>
    </w:p>
    <w:p>
      <w:pPr>
        <w:framePr w:w="4020" w:x="2242" w:y="13191"/>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2.检验方法包括相关产品标准及试验方法标准。</w:t>
      </w:r>
    </w:p>
    <w:p>
      <w:pPr>
        <w:framePr w:w="8205" w:x="2239" w:y="13503"/>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pacing w:val="1"/>
          <w:sz w:val="18"/>
          <w:szCs w:val="22"/>
          <w:lang w:val="en-US" w:eastAsia="en-US" w:bidi="ar-SA"/>
        </w:rPr>
        <w:t>3.凡是注日期的文件，其随后所有的修改单（不包括勘误的内容）或修订版不适用于本细则。凡是不</w:t>
      </w:r>
    </w:p>
    <w:p>
      <w:pPr>
        <w:framePr w:w="8205" w:x="2239" w:y="13503"/>
        <w:widowControl w:val="0"/>
        <w:autoSpaceDE w:val="0"/>
        <w:autoSpaceDN w:val="0"/>
        <w:spacing w:before="132" w:line="180" w:lineRule="exact"/>
        <w:ind w:left="180"/>
        <w:rPr>
          <w:rFonts w:hAnsi="Calibri"/>
          <w:color w:val="000000"/>
          <w:sz w:val="18"/>
          <w:szCs w:val="22"/>
          <w:lang w:val="en-US" w:eastAsia="en-US" w:bidi="ar-SA"/>
        </w:rPr>
      </w:pPr>
      <w:r>
        <w:rPr>
          <w:rFonts w:ascii="SimSun" w:hAnsi="SimSun" w:cs="SimSun"/>
          <w:color w:val="000000"/>
          <w:sz w:val="18"/>
          <w:szCs w:val="22"/>
          <w:lang w:val="en-US" w:eastAsia="en-US" w:bidi="ar-SA"/>
        </w:rPr>
        <w:t>注日期的文件，其最新版本适用于本细则。</w:t>
      </w:r>
    </w:p>
    <w:p>
      <w:pPr>
        <w:framePr w:w="6360" w:x="2242" w:y="14127"/>
        <w:widowControl w:val="0"/>
        <w:autoSpaceDE w:val="0"/>
        <w:autoSpaceDN w:val="0"/>
        <w:spacing w:line="180" w:lineRule="exact"/>
        <w:rPr>
          <w:rFonts w:hAnsi="Calibri"/>
          <w:color w:val="000000"/>
          <w:sz w:val="18"/>
          <w:szCs w:val="22"/>
          <w:lang w:val="en-US" w:eastAsia="en-US" w:bidi="ar-SA"/>
        </w:rPr>
      </w:pPr>
      <w:r>
        <w:rPr>
          <w:rFonts w:ascii="SimSun" w:hAnsi="SimSun" w:cs="SimSun"/>
          <w:color w:val="000000"/>
          <w:sz w:val="18"/>
          <w:szCs w:val="22"/>
          <w:lang w:val="en-US" w:eastAsia="en-US" w:bidi="ar-SA"/>
        </w:rPr>
        <w:t>4.执行企业标准、团体标准、地方标准的产品，检验项目参照上述内容执行。</w:t>
      </w:r>
    </w:p>
    <w:p>
      <w:pPr>
        <w:framePr w:w="345" w:x="1702" w:y="14736"/>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3</w:t>
      </w:r>
    </w:p>
    <w:p>
      <w:pPr>
        <w:framePr w:w="1078" w:x="2016" w:y="14736"/>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判定规则</w:t>
      </w:r>
    </w:p>
    <w:p>
      <w:pPr>
        <w:framePr w:w="331" w:x="5906" w:y="15209"/>
        <w:widowControl w:val="0"/>
        <w:autoSpaceDE w:val="0"/>
        <w:autoSpaceDN w:val="0"/>
        <w:spacing w:line="188" w:lineRule="exact"/>
        <w:rPr>
          <w:rFonts w:hAnsi="Calibri"/>
          <w:color w:val="000000"/>
          <w:sz w:val="18"/>
          <w:szCs w:val="22"/>
          <w:lang w:val="en-US" w:eastAsia="en-US" w:bidi="ar-SA"/>
        </w:rPr>
      </w:pPr>
      <w:r>
        <w:rPr>
          <w:rFonts w:ascii="Calibri" w:hAnsi="Calibri"/>
          <w:color w:val="000000"/>
          <w:sz w:val="18"/>
          <w:szCs w:val="22"/>
          <w:lang w:val="en-US" w:eastAsia="en-US" w:bidi="ar-SA"/>
        </w:rPr>
        <w:t>1</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29.7pt;height:326.45pt;margin-top:300.35pt;margin-left:83.15pt;mso-position-horizontal-relative:page;mso-position-vertical-relative:page;position:absolute;z-index:-25165824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6221" w:x="1702" w:y="1452"/>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3.1</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依据标准</w:t>
      </w:r>
    </w:p>
    <w:p>
      <w:pPr>
        <w:framePr w:w="6221" w:x="1702" w:y="1452"/>
        <w:widowControl w:val="0"/>
        <w:autoSpaceDE w:val="0"/>
        <w:autoSpaceDN w:val="0"/>
        <w:spacing w:before="415" w:line="209" w:lineRule="exact"/>
        <w:ind w:left="42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18584-2001</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室内装饰装修材料</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木家具中有害物质限量</w:t>
      </w:r>
    </w:p>
    <w:p>
      <w:pPr>
        <w:framePr w:w="6329" w:x="2122" w:y="2388"/>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24430.1-2009</w:t>
      </w:r>
      <w:r>
        <w:rPr>
          <w:rFonts w:eastAsiaTheme="minorEastAsia" w:hAnsiTheme="minorHAnsi" w:cstheme="minorBidi"/>
          <w:color w:val="000000"/>
          <w:spacing w:val="154"/>
          <w:sz w:val="21"/>
          <w:szCs w:val="22"/>
          <w:lang w:val="en-US" w:eastAsia="en-US" w:bidi="ar-SA"/>
        </w:rPr>
        <w:t xml:space="preserve"> </w:t>
      </w:r>
      <w:r>
        <w:rPr>
          <w:rFonts w:ascii="SimSun" w:hAnsi="SimSun" w:eastAsiaTheme="minorEastAsia" w:cs="SimSun"/>
          <w:color w:val="000000"/>
          <w:sz w:val="21"/>
          <w:szCs w:val="22"/>
          <w:lang w:val="en-US" w:eastAsia="en-US" w:bidi="ar-SA"/>
        </w:rPr>
        <w:t>家用双层床</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pacing w:val="-1"/>
          <w:sz w:val="21"/>
          <w:szCs w:val="22"/>
          <w:lang w:val="en-US" w:eastAsia="en-US" w:bidi="ar-SA"/>
        </w:rPr>
        <w:t>安全</w:t>
      </w:r>
      <w:r>
        <w:rPr>
          <w:rFonts w:eastAsiaTheme="minorEastAsia" w:hAnsiTheme="minorHAnsi" w:cstheme="minorBidi"/>
          <w:color w:val="000000"/>
          <w:spacing w:val="161"/>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部分：要求</w:t>
      </w:r>
    </w:p>
    <w:p>
      <w:pPr>
        <w:framePr w:w="6329" w:x="2122" w:y="2388"/>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pacing w:val="1"/>
          <w:sz w:val="21"/>
          <w:szCs w:val="22"/>
          <w:lang w:val="en-US" w:eastAsia="en-US" w:bidi="ar-SA"/>
        </w:rPr>
        <w:t>GB</w:t>
      </w:r>
      <w:r>
        <w:rPr>
          <w:rFonts w:eastAsiaTheme="minorEastAsia" w:hAnsiTheme="minorHAnsi" w:cstheme="minorBidi"/>
          <w:color w:val="000000"/>
          <w:spacing w:val="5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24430.2-2009</w:t>
      </w:r>
      <w:r>
        <w:rPr>
          <w:rFonts w:eastAsiaTheme="minorEastAsia" w:hAnsiTheme="minorHAnsi" w:cstheme="minorBidi"/>
          <w:color w:val="000000"/>
          <w:spacing w:val="154"/>
          <w:sz w:val="21"/>
          <w:szCs w:val="22"/>
          <w:lang w:val="en-US" w:eastAsia="en-US" w:bidi="ar-SA"/>
        </w:rPr>
        <w:t xml:space="preserve"> </w:t>
      </w:r>
      <w:r>
        <w:rPr>
          <w:rFonts w:ascii="SimSun" w:hAnsi="SimSun" w:eastAsiaTheme="minorEastAsia" w:cs="SimSun"/>
          <w:color w:val="000000"/>
          <w:sz w:val="21"/>
          <w:szCs w:val="22"/>
          <w:lang w:val="en-US" w:eastAsia="en-US" w:bidi="ar-SA"/>
        </w:rPr>
        <w:t>家用双层床</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pacing w:val="-1"/>
          <w:sz w:val="21"/>
          <w:szCs w:val="22"/>
          <w:lang w:val="en-US" w:eastAsia="en-US" w:bidi="ar-SA"/>
        </w:rPr>
        <w:t>安全</w:t>
      </w:r>
      <w:r>
        <w:rPr>
          <w:rFonts w:eastAsiaTheme="minorEastAsia" w:hAnsiTheme="minorHAnsi" w:cstheme="minorBidi"/>
          <w:color w:val="000000"/>
          <w:spacing w:val="161"/>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部分：试验</w:t>
      </w:r>
    </w:p>
    <w:p>
      <w:pPr>
        <w:framePr w:w="6329" w:x="2122" w:y="2388"/>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现行有效的企业标准、团体标准、地方标准及产品明示质量要求。</w:t>
      </w:r>
    </w:p>
    <w:p>
      <w:pPr>
        <w:framePr w:w="1601" w:x="1702" w:y="363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3.2</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判定原则</w:t>
      </w:r>
    </w:p>
    <w:p>
      <w:pPr>
        <w:framePr w:w="8743" w:x="1702" w:y="4260"/>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经检验，检验项目全部合格，判定为被抽查产品所检项目未发现不合格；检验项目中任</w:t>
      </w:r>
    </w:p>
    <w:p>
      <w:pPr>
        <w:framePr w:w="8743" w:x="1702" w:y="4260"/>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一项或一项以上不合格，判定为被抽查产品不合格。</w:t>
      </w:r>
    </w:p>
    <w:p>
      <w:pPr>
        <w:framePr w:w="8743" w:x="1702" w:y="4260"/>
        <w:widowControl w:val="0"/>
        <w:autoSpaceDE w:val="0"/>
        <w:autoSpaceDN w:val="0"/>
        <w:spacing w:before="103"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若被检产品明示的质量要求高于本细则中检验项目依据的标准要求时，应按被检产品明</w:t>
      </w:r>
    </w:p>
    <w:p>
      <w:pPr>
        <w:framePr w:w="8743" w:x="1702" w:y="4260"/>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示的质量要求判定。</w:t>
      </w:r>
    </w:p>
    <w:p>
      <w:pPr>
        <w:framePr w:w="8743" w:x="1702" w:y="5508"/>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若被检产品明示的质量要求低于本细则中检验项目依据的强制性标准要求时，应按照强</w:t>
      </w:r>
    </w:p>
    <w:p>
      <w:pPr>
        <w:framePr w:w="8743" w:x="1702" w:y="5508"/>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743" w:x="1702" w:y="6132"/>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若被检产品明示的质量要求低于或包含本细则中检验项目依据的推荐性标准要求时，应</w:t>
      </w:r>
    </w:p>
    <w:p>
      <w:pPr>
        <w:framePr w:w="8743" w:x="1702" w:y="6132"/>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以被检产品明示的质量要求判定。</w:t>
      </w:r>
    </w:p>
    <w:p>
      <w:pPr>
        <w:framePr w:w="8743" w:x="1702" w:y="6756"/>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若被检产品明示的质量要求缺少本细则中检验项目依据的强制性标准要求时，应按照强</w:t>
      </w:r>
    </w:p>
    <w:p>
      <w:pPr>
        <w:framePr w:w="8743" w:x="1702" w:y="6756"/>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制性标准要求判定。</w:t>
      </w:r>
    </w:p>
    <w:p>
      <w:pPr>
        <w:framePr w:w="8743" w:x="1702" w:y="7380"/>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若被检产品明示的质量要求缺少本细则中检验项目依据的推荐性标准要求时，该项目不</w:t>
      </w:r>
    </w:p>
    <w:p>
      <w:pPr>
        <w:framePr w:w="8743" w:x="1702" w:y="7380"/>
        <w:widowControl w:val="0"/>
        <w:autoSpaceDE w:val="0"/>
        <w:autoSpaceDN w:val="0"/>
        <w:spacing w:before="103"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参与判定。</w:t>
      </w:r>
    </w:p>
    <w:p>
      <w:pPr>
        <w:framePr w:w="331" w:x="5906" w:y="15209"/>
        <w:widowControl w:val="0"/>
        <w:autoSpaceDE w:val="0"/>
        <w:autoSpaceDN w:val="0"/>
        <w:spacing w:line="188" w:lineRule="exact"/>
        <w:rPr>
          <w:rFonts w:eastAsiaTheme="minorEastAsia" w:hAnsiTheme="minorHAnsi" w:cstheme="minorBidi"/>
          <w:color w:val="000000"/>
          <w:sz w:val="18"/>
          <w:szCs w:val="22"/>
          <w:lang w:val="en-US" w:eastAsia="en-US" w:bidi="ar-SA"/>
        </w:rPr>
      </w:pPr>
      <w:r>
        <w:rPr>
          <w:rFonts w:ascii="Calibri" w:eastAsiaTheme="minorEastAsia" w:hAnsiTheme="minorHAnsi" w:cstheme="minorBidi"/>
          <w:color w:val="000000"/>
          <w:sz w:val="18"/>
          <w:szCs w:val="22"/>
          <w:lang w:val="en-US" w:eastAsia="en-US" w:bidi="ar-SA"/>
        </w:rPr>
        <w:t>2</w:t>
      </w:r>
    </w:p>
    <w:p>
      <w:pPr>
        <w:spacing w:line="0" w:lineRule="atLeast"/>
        <w:rPr>
          <w:rFonts w:ascii="Arial" w:eastAsiaTheme="minorEastAsia" w:hAnsiTheme="minorHAnsi" w:cstheme="minorBidi"/>
          <w:color w:val="FF0000"/>
          <w:sz w:val="2"/>
          <w:szCs w:val="22"/>
          <w:lang w:val="en-US" w:eastAsia="en-US" w:bidi="ar-SA"/>
        </w:rPr>
      </w:pPr>
    </w:p>
    <w:p>
      <w:pPr>
        <w:spacing w:line="0" w:lineRule="atLeast"/>
        <w:rPr>
          <w:rFonts w:ascii="Arial" w:eastAsiaTheme="minorEastAsia" w:hAnsiTheme="minorHAnsi" w:cstheme="minorBidi"/>
          <w:color w:val="FF0000"/>
          <w:sz w:val="2"/>
          <w:szCs w:val="22"/>
          <w:lang w:val="en-US" w:eastAsia="en-US" w:bidi="ar-SA"/>
        </w:rPr>
      </w:pPr>
    </w:p>
    <w:sectPr>
      <w:pgSz w:w="11900" w:h="1682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Hei">
    <w:panose1 w:val="00000000000000000000"/>
    <w:charset w:val="01"/>
    <w:family w:val="auto"/>
    <w:notTrueType/>
    <w:pitch w:val="default"/>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