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现行各级资质审批权限</w:t>
      </w:r>
    </w:p>
    <w:p>
      <w:pPr>
        <w:ind w:firstLine="632"/>
        <w:rPr>
          <w:color w:val="auto"/>
          <w:highlight w:val="none"/>
        </w:rPr>
      </w:pPr>
    </w:p>
    <w:p>
      <w:pPr>
        <w:pStyle w:val="3"/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一、部级建设工程企业资质审批权限</w:t>
      </w:r>
    </w:p>
    <w:p>
      <w:pPr>
        <w:ind w:firstLine="632"/>
        <w:rPr>
          <w:color w:val="auto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highlight w:val="none"/>
        </w:rPr>
        <w:t>工程勘察资质：</w:t>
      </w:r>
      <w:r>
        <w:rPr>
          <w:rFonts w:hint="eastAsia"/>
          <w:color w:val="auto"/>
          <w:highlight w:val="none"/>
        </w:rPr>
        <w:t>工程勘察综合、岩土工程、岩土工程勘察（分项）、岩土工程设计（分项）、岩土工程物探测试检测监测（分项）、水文地质勘察、工程测量专业甲级资质。</w:t>
      </w:r>
    </w:p>
    <w:p>
      <w:pPr>
        <w:ind w:firstLine="632"/>
        <w:rPr>
          <w:color w:val="auto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highlight w:val="none"/>
        </w:rPr>
        <w:t>工程设计资质：</w:t>
      </w:r>
      <w:r>
        <w:rPr>
          <w:rFonts w:hint="eastAsia"/>
          <w:color w:val="auto"/>
          <w:highlight w:val="none"/>
        </w:rPr>
        <w:t>工程设计综合甲级，工程设计（含铁路、交通、水利、信息产业、民航等方面的工程设计乙级）行业及专业甲级、建筑工程事务所资质、工程设计专项甲级资质。</w:t>
      </w:r>
    </w:p>
    <w:p>
      <w:pPr>
        <w:ind w:firstLine="632"/>
        <w:rPr>
          <w:color w:val="auto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highlight w:val="none"/>
        </w:rPr>
        <w:t>建筑业企业资质：</w:t>
      </w:r>
      <w:r>
        <w:rPr>
          <w:rFonts w:hint="eastAsia"/>
          <w:color w:val="auto"/>
          <w:highlight w:val="none"/>
        </w:rPr>
        <w:t>施工总承包资质序列特级资质、一级资质及铁路工程施工总承包二级资质；专业承包资质序列公路、水运、水利、铁路、民航方面的专业承包一级资质及铁路、民航方面的专业承包二级资质；涉及多个专业的专业承包一级资质。</w:t>
      </w:r>
    </w:p>
    <w:p>
      <w:pPr>
        <w:ind w:firstLine="632"/>
        <w:rPr>
          <w:rFonts w:hint="eastAsia" w:ascii="方正楷体_GBK" w:hAnsi="方正楷体_GBK" w:eastAsia="方正楷体_GBK" w:cs="方正楷体_GBK"/>
          <w:color w:val="auto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highlight w:val="none"/>
        </w:rPr>
        <w:t>监理企业资质：</w:t>
      </w:r>
      <w:r>
        <w:rPr>
          <w:rFonts w:hint="eastAsia"/>
          <w:color w:val="auto"/>
          <w:highlight w:val="none"/>
          <w:lang w:eastAsia="zh-CN"/>
        </w:rPr>
        <w:t>监理</w:t>
      </w:r>
      <w:r>
        <w:rPr>
          <w:rFonts w:hint="eastAsia"/>
          <w:color w:val="auto"/>
          <w:highlight w:val="none"/>
        </w:rPr>
        <w:t>综合资质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房屋建筑工程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冶炼工程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矿山工程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化工石油工程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电力工程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铁路工程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航天航空工程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通信工程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市政公用工程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机电安装工程</w:t>
      </w:r>
      <w:r>
        <w:rPr>
          <w:rFonts w:hint="eastAsia"/>
          <w:color w:val="auto"/>
          <w:highlight w:val="none"/>
          <w:lang w:eastAsia="zh-CN"/>
        </w:rPr>
        <w:t>专业甲级资质。</w:t>
      </w:r>
    </w:p>
    <w:p>
      <w:pPr>
        <w:pStyle w:val="3"/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二、市级建设工程企业资质审批权限</w:t>
      </w:r>
    </w:p>
    <w:p>
      <w:pPr>
        <w:ind w:firstLine="632"/>
        <w:rPr>
          <w:color w:val="auto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highlight w:val="none"/>
        </w:rPr>
        <w:t>工程勘察资质：</w:t>
      </w:r>
      <w:r>
        <w:rPr>
          <w:rFonts w:hint="eastAsia"/>
          <w:color w:val="auto"/>
          <w:highlight w:val="none"/>
        </w:rPr>
        <w:t>岩土工程、岩土工程勘察（分项）、岩土工程设计（分项）、岩土工程物探测试检测监测（分项）、水文地质勘察、工程测量专业乙级、劳务资质。</w:t>
      </w:r>
    </w:p>
    <w:p>
      <w:pPr>
        <w:ind w:firstLine="632"/>
        <w:rPr>
          <w:color w:val="auto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highlight w:val="none"/>
        </w:rPr>
        <w:t>工程设计资质：</w:t>
      </w:r>
      <w:r>
        <w:rPr>
          <w:rFonts w:hint="eastAsia"/>
          <w:color w:val="auto"/>
          <w:highlight w:val="none"/>
        </w:rPr>
        <w:t>工程设计乙级（涉及铁路、交通、水利、信息产业、民航等方面的工程设计乙级资质除外）资质。</w:t>
      </w:r>
    </w:p>
    <w:p>
      <w:pPr>
        <w:ind w:firstLine="632"/>
        <w:rPr>
          <w:color w:val="auto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highlight w:val="none"/>
        </w:rPr>
        <w:t>建筑业企业资质：</w:t>
      </w:r>
      <w:r>
        <w:rPr>
          <w:rFonts w:hint="eastAsia"/>
          <w:color w:val="auto"/>
          <w:highlight w:val="none"/>
        </w:rPr>
        <w:t>施工总承包资质序列二级资质及铁路、通信工程施工总承包三级资质；专业承包资质序列一级资质（不含公路、水运、水利、铁路、民航方面的专业承包一级资质及涉及多个专业的专业承包一级资质）；专业承包资质序列二级资质（不含铁路、民航方面的专业承包二级资质</w:t>
      </w:r>
      <w:r>
        <w:rPr>
          <w:rFonts w:hint="eastAsia"/>
          <w:color w:val="auto"/>
          <w:highlight w:val="none"/>
          <w:lang w:eastAsia="zh-CN"/>
        </w:rPr>
        <w:t>以</w:t>
      </w:r>
      <w:r>
        <w:rPr>
          <w:rFonts w:hint="eastAsia"/>
          <w:color w:val="auto"/>
          <w:highlight w:val="none"/>
        </w:rPr>
        <w:t>及下放给各区县的电子与智能化工程二级、消防设施工程二级、防水防腐保温工程二级、建筑装修装饰工程二级、建筑幕墙工程二级、特种工程资质）；铁路方面专业承包三级资质；特种工程专业承包资质。</w:t>
      </w:r>
    </w:p>
    <w:p>
      <w:pPr>
        <w:pStyle w:val="3"/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三、区（县）级建设工程企业资质审批权限</w:t>
      </w:r>
    </w:p>
    <w:p>
      <w:pPr>
        <w:ind w:firstLine="632"/>
        <w:rPr>
          <w:rFonts w:hint="eastAsia"/>
          <w:color w:val="auto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highlight w:val="none"/>
        </w:rPr>
        <w:t>建筑业企业资质：</w:t>
      </w:r>
      <w:r>
        <w:rPr>
          <w:rFonts w:hint="eastAsia"/>
          <w:color w:val="auto"/>
          <w:highlight w:val="none"/>
        </w:rPr>
        <w:t>施工劳务资质；电子与智能化工程二级、消防设施工程二级、防水防腐保温工程二级、建筑装修装饰工程二级、建筑幕墙工程二级、特种工程资质。</w:t>
      </w:r>
    </w:p>
    <w:p>
      <w:pPr>
        <w:ind w:firstLine="632"/>
        <w:rPr>
          <w:rFonts w:hint="eastAsia"/>
          <w:color w:val="auto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highlight w:val="none"/>
        </w:rPr>
        <w:t>监理企业资质：</w:t>
      </w:r>
      <w:r>
        <w:rPr>
          <w:rFonts w:hint="eastAsia"/>
          <w:color w:val="auto"/>
          <w:highlight w:val="none"/>
        </w:rPr>
        <w:t>房屋建筑工程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冶炼工程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矿山工程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化工石油工程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电力工程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铁路工程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航天航空工程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通信工程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市政公用工程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机电安装工程</w:t>
      </w:r>
      <w:r>
        <w:rPr>
          <w:rFonts w:hint="eastAsia"/>
          <w:color w:val="auto"/>
          <w:highlight w:val="none"/>
          <w:lang w:eastAsia="zh-CN"/>
        </w:rPr>
        <w:t>专业乙级资。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5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590" w:lineRule="exact"/>
      <w:ind w:firstLine="200" w:firstLineChars="200"/>
      <w:jc w:val="both"/>
    </w:pPr>
    <w:rPr>
      <w:rFonts w:ascii="Times New Roman" w:hAnsi="Times New Roman" w:eastAsia="方正仿宋_GBK" w:cstheme="minorBidi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outlineLvl w:val="0"/>
    </w:pPr>
    <w:rPr>
      <w:rFonts w:eastAsia="方正黑体_GBK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4">
    <w:name w:val="Title"/>
    <w:basedOn w:val="1"/>
    <w:next w:val="1"/>
    <w:qFormat/>
    <w:uiPriority w:val="10"/>
    <w:pPr>
      <w:ind w:firstLine="0" w:firstLineChars="0"/>
      <w:jc w:val="center"/>
      <w:outlineLvl w:val="0"/>
    </w:pPr>
    <w:rPr>
      <w:rFonts w:eastAsia="方正小标宋_GBK" w:cstheme="majorBidi"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2023-11-14T12:01:17Z</dcterms:created>
  <dc:creator>Administrator</dc:creator>
  <cp:lastModifiedBy>ping</cp:lastModifiedBy>
  <dcterms:modified xsi:type="dcterms:W3CDTF">2023-11-14T12:01:29Z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2457F00183AB484BA2CA7DD0A2D1C823</vt:lpwstr>
  </property>
</Properties>
</file>