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 xml:space="preserve">附件3 </w:t>
      </w:r>
    </w:p>
    <w:p>
      <w:pPr>
        <w:jc w:val="center"/>
        <w:rPr>
          <w:rFonts w:hint="eastAsia" w:asciiTheme="majorEastAsia" w:hAnsiTheme="majorEastAsia" w:eastAsiaTheme="majorEastAsia" w:cstheme="majorEastAsia"/>
          <w:b/>
          <w:bCs/>
          <w:sz w:val="32"/>
          <w:szCs w:val="40"/>
          <w:lang w:val="en-US" w:eastAsia="zh-CN"/>
        </w:rPr>
      </w:pPr>
      <w:r>
        <w:rPr>
          <w:rFonts w:hint="eastAsia" w:asciiTheme="majorEastAsia" w:hAnsiTheme="majorEastAsia" w:eastAsiaTheme="majorEastAsia" w:cstheme="majorEastAsia"/>
          <w:b/>
          <w:bCs/>
          <w:sz w:val="32"/>
          <w:szCs w:val="40"/>
          <w:lang w:val="en-US" w:eastAsia="zh-CN"/>
        </w:rPr>
        <w:t>绿色建筑专项验收记录表</w:t>
      </w:r>
    </w:p>
    <w:p>
      <w:pPr>
        <w:numPr>
          <w:ilvl w:val="0"/>
          <w:numId w:val="1"/>
        </w:numPr>
        <w:jc w:val="left"/>
        <w:rPr>
          <w:rFonts w:hint="default"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绿色建筑项目设计依据标准为GB/T50378-2014和DB21/T3163-2019时，采用附件3-1表；</w:t>
      </w:r>
    </w:p>
    <w:p>
      <w:pPr>
        <w:numPr>
          <w:ilvl w:val="0"/>
          <w:numId w:val="1"/>
        </w:numPr>
        <w:jc w:val="left"/>
        <w:rPr>
          <w:rFonts w:hint="default"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绿色建筑项目设计依据标准为GB/T50378-2019和DB2102/T0028-2021时，采用附件3-2表。</w:t>
      </w: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 xml:space="preserve">附件3-1           </w:t>
      </w:r>
    </w:p>
    <w:p>
      <w:pPr>
        <w:jc w:val="center"/>
        <w:rPr>
          <w:rFonts w:hint="default" w:ascii="仿宋_GB2312" w:hAnsi="仿宋_GB2312" w:eastAsia="仿宋_GB2312" w:cs="仿宋_GB2312"/>
          <w:b/>
          <w:bCs/>
          <w:sz w:val="28"/>
          <w:szCs w:val="36"/>
          <w:lang w:val="en-US" w:eastAsia="zh-CN"/>
        </w:rPr>
      </w:pPr>
      <w:r>
        <w:rPr>
          <w:rFonts w:hint="eastAsia" w:ascii="仿宋_GB2312" w:hAnsi="仿宋_GB2312" w:eastAsia="仿宋_GB2312" w:cs="仿宋_GB2312"/>
          <w:b/>
          <w:bCs/>
          <w:sz w:val="28"/>
          <w:szCs w:val="36"/>
          <w:lang w:val="en-US" w:eastAsia="zh-CN"/>
        </w:rPr>
        <w:t>绿色建筑专项验收记录表</w:t>
      </w:r>
    </w:p>
    <w:tbl>
      <w:tblPr>
        <w:tblStyle w:val="5"/>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656"/>
        <w:gridCol w:w="1602"/>
        <w:gridCol w:w="54"/>
        <w:gridCol w:w="1637"/>
        <w:gridCol w:w="19"/>
        <w:gridCol w:w="1658"/>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工程名称</w:t>
            </w:r>
          </w:p>
        </w:tc>
        <w:tc>
          <w:tcPr>
            <w:tcW w:w="6626" w:type="dxa"/>
            <w:gridSpan w:val="6"/>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建设单位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建筑面积</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设计单位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建筑类型</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施工单位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绿建星级</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监理单位</w:t>
            </w:r>
          </w:p>
        </w:tc>
        <w:tc>
          <w:tcPr>
            <w:tcW w:w="3258" w:type="dxa"/>
            <w:gridSpan w:val="2"/>
          </w:tcPr>
          <w:p>
            <w:pPr>
              <w:jc w:val="center"/>
              <w:rPr>
                <w:rFonts w:hint="default" w:ascii="Times New Roman" w:hAnsi="Times New Roman" w:eastAsia="仿宋_GB2312" w:cs="Times New Roman"/>
                <w:sz w:val="24"/>
              </w:rPr>
            </w:pPr>
          </w:p>
        </w:tc>
        <w:tc>
          <w:tcPr>
            <w:tcW w:w="1691" w:type="dxa"/>
            <w:gridSpan w:val="2"/>
            <w:vAlign w:val="center"/>
          </w:tcPr>
          <w:p>
            <w:pPr>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依据标准</w:t>
            </w:r>
          </w:p>
        </w:tc>
        <w:tc>
          <w:tcPr>
            <w:tcW w:w="1677" w:type="dxa"/>
            <w:gridSpan w:val="2"/>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对应</w:t>
            </w:r>
            <w:r>
              <w:rPr>
                <w:rFonts w:hint="eastAsia" w:ascii="仿宋_GB2312" w:hAnsi="仿宋_GB2312" w:eastAsia="仿宋_GB2312" w:cs="仿宋_GB2312"/>
                <w:sz w:val="21"/>
                <w:szCs w:val="21"/>
                <w:lang w:eastAsia="zh-CN"/>
              </w:rPr>
              <w:t>绿建专篇</w:t>
            </w:r>
            <w:r>
              <w:rPr>
                <w:rFonts w:hint="eastAsia" w:ascii="仿宋_GB2312" w:hAnsi="仿宋_GB2312" w:eastAsia="仿宋_GB2312" w:cs="仿宋_GB2312"/>
                <w:sz w:val="21"/>
                <w:szCs w:val="21"/>
              </w:rPr>
              <w:t>条</w:t>
            </w:r>
            <w:r>
              <w:rPr>
                <w:rFonts w:hint="eastAsia" w:ascii="仿宋_GB2312" w:hAnsi="仿宋_GB2312" w:eastAsia="仿宋_GB2312" w:cs="仿宋_GB2312"/>
                <w:sz w:val="21"/>
                <w:szCs w:val="21"/>
                <w:lang w:eastAsia="zh-CN"/>
              </w:rPr>
              <w:t>目</w:t>
            </w:r>
          </w:p>
        </w:tc>
        <w:tc>
          <w:tcPr>
            <w:tcW w:w="3258" w:type="dxa"/>
            <w:gridSpan w:val="2"/>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验收内容</w:t>
            </w:r>
          </w:p>
        </w:tc>
        <w:tc>
          <w:tcPr>
            <w:tcW w:w="1691" w:type="dxa"/>
            <w:gridSpan w:val="2"/>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设计要求</w:t>
            </w:r>
          </w:p>
        </w:tc>
        <w:tc>
          <w:tcPr>
            <w:tcW w:w="1677"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952" w:hRule="atLeast"/>
        </w:trPr>
        <w:tc>
          <w:tcPr>
            <w:tcW w:w="189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（例）4.2.2</w:t>
            </w:r>
          </w:p>
        </w:tc>
        <w:tc>
          <w:tcPr>
            <w:tcW w:w="3258"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绿地率</w:t>
            </w:r>
          </w:p>
        </w:tc>
        <w:tc>
          <w:tcPr>
            <w:tcW w:w="1691"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不小于30%</w:t>
            </w:r>
          </w:p>
        </w:tc>
        <w:tc>
          <w:tcPr>
            <w:tcW w:w="1677"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707" w:hRule="atLeast"/>
        </w:trPr>
        <w:tc>
          <w:tcPr>
            <w:tcW w:w="1896" w:type="dxa"/>
            <w:vMerge w:val="restart"/>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（例）4.2.4</w:t>
            </w:r>
          </w:p>
        </w:tc>
        <w:tc>
          <w:tcPr>
            <w:tcW w:w="3258"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玻璃幕墙光污染</w:t>
            </w:r>
          </w:p>
        </w:tc>
        <w:tc>
          <w:tcPr>
            <w:tcW w:w="1691"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无玻璃幕墙</w:t>
            </w:r>
          </w:p>
        </w:tc>
        <w:tc>
          <w:tcPr>
            <w:tcW w:w="1677"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892" w:hRule="atLeast"/>
        </w:trPr>
        <w:tc>
          <w:tcPr>
            <w:tcW w:w="1896" w:type="dxa"/>
            <w:vMerge w:val="continue"/>
            <w:vAlign w:val="center"/>
          </w:tcPr>
          <w:p>
            <w:pPr>
              <w:jc w:val="center"/>
              <w:rPr>
                <w:rFonts w:hint="eastAsia" w:ascii="仿宋_GB2312" w:hAnsi="仿宋_GB2312" w:eastAsia="仿宋_GB2312" w:cs="仿宋_GB2312"/>
                <w:sz w:val="24"/>
                <w:lang w:eastAsia="zh-CN"/>
              </w:rPr>
            </w:pPr>
          </w:p>
        </w:tc>
        <w:tc>
          <w:tcPr>
            <w:tcW w:w="3258"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夜景照明光污染</w:t>
            </w:r>
          </w:p>
        </w:tc>
        <w:tc>
          <w:tcPr>
            <w:tcW w:w="1691"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无夜景照明</w:t>
            </w:r>
          </w:p>
        </w:tc>
        <w:tc>
          <w:tcPr>
            <w:tcW w:w="1677" w:type="dxa"/>
            <w:gridSpan w:val="2"/>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052" w:hRule="atLeast"/>
        </w:trPr>
        <w:tc>
          <w:tcPr>
            <w:tcW w:w="1896" w:type="dxa"/>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w:t>
            </w:r>
          </w:p>
        </w:tc>
        <w:tc>
          <w:tcPr>
            <w:tcW w:w="3258" w:type="dxa"/>
            <w:gridSpan w:val="2"/>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w:t>
            </w:r>
          </w:p>
        </w:tc>
        <w:tc>
          <w:tcPr>
            <w:tcW w:w="1691" w:type="dxa"/>
            <w:gridSpan w:val="2"/>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w:t>
            </w:r>
          </w:p>
        </w:tc>
        <w:tc>
          <w:tcPr>
            <w:tcW w:w="1677" w:type="dxa"/>
            <w:gridSpan w:val="2"/>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89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验收结论</w:t>
            </w:r>
          </w:p>
        </w:tc>
        <w:tc>
          <w:tcPr>
            <w:tcW w:w="6630" w:type="dxa"/>
            <w:gridSpan w:val="7"/>
            <w:vAlign w:val="center"/>
          </w:tcPr>
          <w:p>
            <w:pPr>
              <w:ind w:firstLine="480" w:firstLineChars="2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该项目控制项全部符合标准要求；得分项共验收</w:t>
            </w:r>
            <w:r>
              <w:rPr>
                <w:rFonts w:hint="eastAsia" w:ascii="仿宋_GB2312" w:hAnsi="仿宋_GB2312" w:eastAsia="仿宋_GB2312" w:cs="仿宋_GB2312"/>
                <w:sz w:val="24"/>
                <w:lang w:val="en-US" w:eastAsia="zh-CN"/>
              </w:rPr>
              <w:t xml:space="preserve">   项，总得分为    分，符合设计和标准要求。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726" w:hRule="atLeast"/>
        </w:trPr>
        <w:tc>
          <w:tcPr>
            <w:tcW w:w="1896" w:type="dxa"/>
            <w:vMerge w:val="restart"/>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参加验收单位</w:t>
            </w: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建设单位</w:t>
            </w:r>
          </w:p>
        </w:tc>
        <w:tc>
          <w:tcPr>
            <w:tcW w:w="1656" w:type="dxa"/>
            <w:gridSpan w:val="2"/>
            <w:vAlign w:val="center"/>
          </w:tcPr>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设计单位</w:t>
            </w:r>
          </w:p>
          <w:p>
            <w:pPr>
              <w:jc w:val="center"/>
              <w:rPr>
                <w:rFonts w:hint="eastAsia" w:ascii="仿宋_GB2312" w:hAnsi="仿宋_GB2312" w:eastAsia="仿宋_GB2312" w:cs="仿宋_GB2312"/>
                <w:sz w:val="24"/>
              </w:rPr>
            </w:pPr>
          </w:p>
        </w:tc>
        <w:tc>
          <w:tcPr>
            <w:tcW w:w="1656"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监理单位</w:t>
            </w:r>
          </w:p>
        </w:tc>
        <w:tc>
          <w:tcPr>
            <w:tcW w:w="1658"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371" w:hRule="atLeast"/>
        </w:trPr>
        <w:tc>
          <w:tcPr>
            <w:tcW w:w="1896" w:type="dxa"/>
            <w:vMerge w:val="continue"/>
            <w:vAlign w:val="center"/>
          </w:tcPr>
          <w:p>
            <w:pPr>
              <w:jc w:val="center"/>
              <w:rPr>
                <w:rFonts w:hint="eastAsia" w:ascii="仿宋_GB2312" w:hAnsi="仿宋_GB2312" w:eastAsia="仿宋_GB2312" w:cs="仿宋_GB2312"/>
                <w:sz w:val="24"/>
                <w:lang w:val="en-US" w:eastAsia="zh-CN"/>
              </w:rPr>
            </w:pP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项目负责人</w:t>
            </w:r>
          </w:p>
        </w:tc>
        <w:tc>
          <w:tcPr>
            <w:tcW w:w="1656"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6"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8"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r>
    </w:tbl>
    <w:p>
      <w:pPr>
        <w:spacing w:line="240" w:lineRule="atLeast"/>
        <w:rPr>
          <w:rFonts w:hint="eastAsia" w:eastAsiaTheme="minorEastAsia"/>
          <w:lang w:eastAsia="zh-CN"/>
        </w:rPr>
      </w:pPr>
      <w:r>
        <w:rPr>
          <w:rFonts w:hint="eastAsia"/>
        </w:rPr>
        <w:t>注：1）绿建专篇条目示例；依据不同的标准时，条目号码不同，以绿建专篇的条目号码为准；绿建专篇中的控制项条目和得分项条目均应列于表中，作为绿建专项验收内容；当绿建专篇对应条目不得分时，该条目不列于表中，不作为绿建专项验收内容；2）验收内容示例；验收内容与绿建专篇条目一一对应，可简要表述</w:t>
      </w:r>
      <w:r>
        <w:rPr>
          <w:rFonts w:hint="eastAsia"/>
          <w:lang w:eastAsia="zh-CN"/>
        </w:rPr>
        <w:t>。</w:t>
      </w: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p>
    <w:p>
      <w:pPr>
        <w:jc w:val="both"/>
        <w:rPr>
          <w:rFonts w:hint="eastAsia"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 xml:space="preserve">附件3-2           </w:t>
      </w:r>
    </w:p>
    <w:p>
      <w:pPr>
        <w:jc w:val="center"/>
        <w:rPr>
          <w:rFonts w:ascii="仿宋_GB2312" w:hAnsi="仿宋_GB2312" w:eastAsia="仿宋_GB2312" w:cs="仿宋_GB2312"/>
          <w:sz w:val="28"/>
          <w:szCs w:val="36"/>
        </w:rPr>
      </w:pPr>
      <w:r>
        <w:rPr>
          <w:rFonts w:hint="eastAsia" w:ascii="仿宋_GB2312" w:hAnsi="仿宋_GB2312" w:eastAsia="仿宋_GB2312" w:cs="仿宋_GB2312"/>
          <w:b/>
          <w:bCs/>
          <w:sz w:val="28"/>
          <w:szCs w:val="36"/>
          <w:lang w:val="en-US" w:eastAsia="zh-CN"/>
        </w:rPr>
        <w:t>绿色建筑专项验收记录表1-安全耐久</w:t>
      </w:r>
      <w:r>
        <w:rPr>
          <w:rFonts w:hint="eastAsia" w:ascii="仿宋_GB2312" w:hAnsi="仿宋_GB2312" w:eastAsia="仿宋_GB2312" w:cs="仿宋_GB2312"/>
          <w:b/>
          <w:bCs/>
          <w:sz w:val="28"/>
          <w:szCs w:val="36"/>
          <w:lang w:eastAsia="zh-CN"/>
        </w:rPr>
        <w:t>指标</w:t>
      </w:r>
    </w:p>
    <w:tbl>
      <w:tblPr>
        <w:tblStyle w:val="5"/>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656"/>
        <w:gridCol w:w="1602"/>
        <w:gridCol w:w="54"/>
        <w:gridCol w:w="1656"/>
        <w:gridCol w:w="93"/>
        <w:gridCol w:w="1565"/>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工程名称</w:t>
            </w:r>
          </w:p>
        </w:tc>
        <w:tc>
          <w:tcPr>
            <w:tcW w:w="6626" w:type="dxa"/>
            <w:gridSpan w:val="6"/>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建设单位</w:t>
            </w:r>
          </w:p>
        </w:tc>
        <w:tc>
          <w:tcPr>
            <w:tcW w:w="3258" w:type="dxa"/>
            <w:gridSpan w:val="2"/>
          </w:tcPr>
          <w:p>
            <w:pPr>
              <w:jc w:val="center"/>
              <w:rPr>
                <w:rFonts w:hint="eastAsia" w:ascii="仿宋_GB2312" w:hAnsi="仿宋_GB2312" w:eastAsia="仿宋_GB2312" w:cs="仿宋_GB2312"/>
                <w:sz w:val="24"/>
              </w:rPr>
            </w:pPr>
          </w:p>
        </w:tc>
        <w:tc>
          <w:tcPr>
            <w:tcW w:w="1803" w:type="dxa"/>
            <w:gridSpan w:val="3"/>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建筑面积</w:t>
            </w:r>
          </w:p>
        </w:tc>
        <w:tc>
          <w:tcPr>
            <w:tcW w:w="1565" w:type="dxa"/>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设计单位</w:t>
            </w:r>
          </w:p>
        </w:tc>
        <w:tc>
          <w:tcPr>
            <w:tcW w:w="3258" w:type="dxa"/>
            <w:gridSpan w:val="2"/>
          </w:tcPr>
          <w:p>
            <w:pPr>
              <w:jc w:val="center"/>
              <w:rPr>
                <w:rFonts w:hint="eastAsia" w:ascii="仿宋_GB2312" w:hAnsi="仿宋_GB2312" w:eastAsia="仿宋_GB2312" w:cs="仿宋_GB2312"/>
                <w:sz w:val="24"/>
              </w:rPr>
            </w:pPr>
          </w:p>
        </w:tc>
        <w:tc>
          <w:tcPr>
            <w:tcW w:w="1803" w:type="dxa"/>
            <w:gridSpan w:val="3"/>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建筑类型</w:t>
            </w:r>
          </w:p>
        </w:tc>
        <w:tc>
          <w:tcPr>
            <w:tcW w:w="1565" w:type="dxa"/>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施工单位</w:t>
            </w:r>
          </w:p>
        </w:tc>
        <w:tc>
          <w:tcPr>
            <w:tcW w:w="3258" w:type="dxa"/>
            <w:gridSpan w:val="2"/>
          </w:tcPr>
          <w:p>
            <w:pPr>
              <w:jc w:val="center"/>
              <w:rPr>
                <w:rFonts w:hint="eastAsia" w:ascii="仿宋_GB2312" w:hAnsi="仿宋_GB2312" w:eastAsia="仿宋_GB2312" w:cs="仿宋_GB2312"/>
                <w:sz w:val="24"/>
              </w:rPr>
            </w:pPr>
          </w:p>
        </w:tc>
        <w:tc>
          <w:tcPr>
            <w:tcW w:w="1803" w:type="dxa"/>
            <w:gridSpan w:val="3"/>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绿建星级</w:t>
            </w:r>
          </w:p>
        </w:tc>
        <w:tc>
          <w:tcPr>
            <w:tcW w:w="1565" w:type="dxa"/>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监理单位</w:t>
            </w:r>
          </w:p>
        </w:tc>
        <w:tc>
          <w:tcPr>
            <w:tcW w:w="3258" w:type="dxa"/>
            <w:gridSpan w:val="2"/>
          </w:tcPr>
          <w:p>
            <w:pPr>
              <w:jc w:val="center"/>
              <w:rPr>
                <w:rFonts w:hint="default" w:ascii="Times New Roman" w:hAnsi="Times New Roman" w:eastAsia="仿宋_GB2312" w:cs="Times New Roman"/>
                <w:sz w:val="24"/>
              </w:rPr>
            </w:pPr>
          </w:p>
        </w:tc>
        <w:tc>
          <w:tcPr>
            <w:tcW w:w="1803" w:type="dxa"/>
            <w:gridSpan w:val="3"/>
            <w:vAlign w:val="center"/>
          </w:tcPr>
          <w:p>
            <w:pPr>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依据标准</w:t>
            </w:r>
          </w:p>
        </w:tc>
        <w:tc>
          <w:tcPr>
            <w:tcW w:w="1565" w:type="dxa"/>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对应GB/T50378-2019条文号</w:t>
            </w:r>
          </w:p>
        </w:tc>
        <w:tc>
          <w:tcPr>
            <w:tcW w:w="3258" w:type="dxa"/>
            <w:gridSpan w:val="2"/>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验收内容</w:t>
            </w:r>
          </w:p>
        </w:tc>
        <w:tc>
          <w:tcPr>
            <w:tcW w:w="1803" w:type="dxa"/>
            <w:gridSpan w:val="3"/>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核查资料</w:t>
            </w:r>
          </w:p>
        </w:tc>
        <w:tc>
          <w:tcPr>
            <w:tcW w:w="1565" w:type="dxa"/>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4.1.1</w:t>
            </w:r>
          </w:p>
          <w:p>
            <w:pPr>
              <w:jc w:val="center"/>
              <w:rPr>
                <w:rFonts w:hint="eastAsia" w:ascii="仿宋_GB2312" w:hAnsi="仿宋_GB2312" w:eastAsia="仿宋_GB2312" w:cs="仿宋_GB2312"/>
                <w:sz w:val="21"/>
                <w:szCs w:val="21"/>
                <w:lang w:val="en-US" w:eastAsia="zh-CN"/>
              </w:rPr>
            </w:pP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场地应避开滑坡、泥石流等地质危险地段，易发生洪涝地区应有可靠的防洪涝基础设施；场地应无危险化学品、易燃易爆危险源的威胁，应无电磁辐射、含氡土壤的危害。</w:t>
            </w:r>
          </w:p>
        </w:tc>
        <w:tc>
          <w:tcPr>
            <w:tcW w:w="1803" w:type="dxa"/>
            <w:gridSpan w:val="3"/>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□项目区位图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□场地地形图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□工程地质勘察报告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□土壤氡浓度检测报告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565" w:type="dxa"/>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4.1.2</w:t>
            </w:r>
          </w:p>
          <w:p>
            <w:pPr>
              <w:jc w:val="center"/>
              <w:rPr>
                <w:rFonts w:hint="eastAsia" w:ascii="仿宋_GB2312" w:hAnsi="仿宋_GB2312" w:eastAsia="仿宋_GB2312" w:cs="仿宋_GB2312"/>
                <w:sz w:val="21"/>
                <w:szCs w:val="21"/>
                <w:lang w:val="en-US" w:eastAsia="zh-CN"/>
              </w:rPr>
            </w:pP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建筑结构应满足承载力和建筑使用功能要求。建筑外墙、屋面、门窗、幕墙及外保温等围护结构应满足安全、耐久和防护的要求。</w:t>
            </w:r>
          </w:p>
        </w:tc>
        <w:tc>
          <w:tcPr>
            <w:tcW w:w="1803" w:type="dxa"/>
            <w:gridSpan w:val="3"/>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□主体结构</w:t>
            </w:r>
            <w:r>
              <w:rPr>
                <w:rFonts w:hint="eastAsia" w:ascii="仿宋_GB2312" w:hAnsi="仿宋_GB2312" w:eastAsia="仿宋_GB2312" w:cs="仿宋_GB2312"/>
                <w:sz w:val="21"/>
                <w:szCs w:val="21"/>
                <w:lang w:val="en-US" w:eastAsia="zh-CN"/>
              </w:rPr>
              <w:t>验收合格证明</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□门窗三性检测报告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□幕墙四性检测报告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□外保温系统性能检测报告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565" w:type="dxa"/>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3246" w:hRule="atLeast"/>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4.1.3</w:t>
            </w:r>
          </w:p>
          <w:p>
            <w:pPr>
              <w:jc w:val="center"/>
              <w:rPr>
                <w:rFonts w:hint="eastAsia" w:ascii="仿宋_GB2312" w:hAnsi="仿宋_GB2312" w:eastAsia="仿宋_GB2312" w:cs="仿宋_GB2312"/>
                <w:sz w:val="21"/>
                <w:szCs w:val="21"/>
                <w:lang w:eastAsia="zh-CN"/>
              </w:rPr>
            </w:pP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外遮阳、太阳能设施、空调室外机位、外墙花池等外部设施应与建筑主体结构统一设计、施工，并应具备安装、检修与维护条件。</w:t>
            </w:r>
          </w:p>
        </w:tc>
        <w:tc>
          <w:tcPr>
            <w:tcW w:w="1803" w:type="dxa"/>
            <w:gridSpan w:val="3"/>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w:t>
            </w:r>
            <w:r>
              <w:rPr>
                <w:rFonts w:hint="eastAsia" w:ascii="仿宋_GB2312" w:hAnsi="仿宋_GB2312" w:eastAsia="仿宋_GB2312" w:cs="仿宋_GB2312"/>
                <w:sz w:val="21"/>
                <w:szCs w:val="21"/>
                <w:lang w:eastAsia="zh-CN"/>
              </w:rPr>
              <w:t>、结构</w:t>
            </w:r>
            <w:r>
              <w:rPr>
                <w:rFonts w:hint="eastAsia" w:ascii="仿宋_GB2312" w:hAnsi="仿宋_GB2312" w:eastAsia="仿宋_GB2312" w:cs="仿宋_GB2312"/>
                <w:sz w:val="21"/>
                <w:szCs w:val="21"/>
              </w:rPr>
              <w:t>竣工图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□部品、部件的连接、构造、承载力设计文件、计算书</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□部品部件有关锚固件、预埋件的承载能力及螺栓连接、焊接连接等检测报告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p>
        </w:tc>
        <w:tc>
          <w:tcPr>
            <w:tcW w:w="1565" w:type="dxa"/>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4.1.4</w:t>
            </w:r>
          </w:p>
          <w:p>
            <w:pPr>
              <w:jc w:val="center"/>
              <w:rPr>
                <w:rFonts w:hint="eastAsia" w:ascii="仿宋_GB2312" w:hAnsi="仿宋_GB2312" w:eastAsia="仿宋_GB2312" w:cs="仿宋_GB2312"/>
                <w:sz w:val="21"/>
                <w:szCs w:val="21"/>
              </w:rPr>
            </w:pPr>
          </w:p>
        </w:tc>
        <w:tc>
          <w:tcPr>
            <w:tcW w:w="3258" w:type="dxa"/>
            <w:gridSpan w:val="2"/>
            <w:vAlign w:val="center"/>
          </w:tcPr>
          <w:p>
            <w:p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建筑内部的非结构构件、设备及附属设施等应连接牢固并能适应主体结构变形。</w:t>
            </w:r>
          </w:p>
        </w:tc>
        <w:tc>
          <w:tcPr>
            <w:tcW w:w="1803" w:type="dxa"/>
            <w:gridSpan w:val="3"/>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w:t>
            </w:r>
            <w:r>
              <w:rPr>
                <w:rFonts w:hint="eastAsia" w:ascii="仿宋_GB2312" w:hAnsi="仿宋_GB2312" w:eastAsia="仿宋_GB2312" w:cs="仿宋_GB2312"/>
                <w:sz w:val="21"/>
                <w:szCs w:val="21"/>
                <w:lang w:eastAsia="zh-CN"/>
              </w:rPr>
              <w:t>、结构</w:t>
            </w:r>
            <w:r>
              <w:rPr>
                <w:rFonts w:hint="eastAsia" w:ascii="仿宋_GB2312" w:hAnsi="仿宋_GB2312" w:eastAsia="仿宋_GB2312" w:cs="仿宋_GB2312"/>
                <w:sz w:val="21"/>
                <w:szCs w:val="21"/>
              </w:rPr>
              <w:t>竣工图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□部品、部件的连接、构造、承载力设计文件、计算书</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□部品部件有关锚固件、预埋件的承载能力及螺栓连接、焊接连接等检测报告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565" w:type="dxa"/>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4.1.5</w:t>
            </w: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建筑外门窗必须安装牢固，其抗风压性能和水密性能应符合国家现行有关标准的规定。</w:t>
            </w:r>
          </w:p>
        </w:tc>
        <w:tc>
          <w:tcPr>
            <w:tcW w:w="1803" w:type="dxa"/>
            <w:gridSpan w:val="3"/>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建筑竣工图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门窗三性检测报告</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p>
        </w:tc>
        <w:tc>
          <w:tcPr>
            <w:tcW w:w="1565" w:type="dxa"/>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4.1.6</w:t>
            </w: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卫生间、浴室的地面应设置防水层，墙面、顶棚应设置防潮层。</w:t>
            </w:r>
          </w:p>
        </w:tc>
        <w:tc>
          <w:tcPr>
            <w:tcW w:w="1803" w:type="dxa"/>
            <w:gridSpan w:val="3"/>
            <w:vAlign w:val="center"/>
          </w:tcPr>
          <w:p>
            <w:pPr>
              <w:jc w:val="left"/>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□卫生间防水材料检测报告</w:t>
            </w:r>
          </w:p>
          <w:p>
            <w:pPr>
              <w:jc w:val="left"/>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□卫生间闭水试验记录</w:t>
            </w:r>
          </w:p>
          <w:p>
            <w:pPr>
              <w:jc w:val="left"/>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w:t>
            </w:r>
          </w:p>
        </w:tc>
        <w:tc>
          <w:tcPr>
            <w:tcW w:w="1565" w:type="dxa"/>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4.1.7</w:t>
            </w: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走廊、疏散通道等通行空间应满足紧急疏散、应急救护等要求，且应保持畅通。</w:t>
            </w:r>
          </w:p>
        </w:tc>
        <w:tc>
          <w:tcPr>
            <w:tcW w:w="1803" w:type="dxa"/>
            <w:gridSpan w:val="3"/>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建筑竣工图</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相关影像资料</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565" w:type="dxa"/>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4.1.8</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应具有安全防护的警示和引导标识系统。</w:t>
            </w:r>
          </w:p>
        </w:tc>
        <w:tc>
          <w:tcPr>
            <w:tcW w:w="1803" w:type="dxa"/>
            <w:gridSpan w:val="3"/>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标识系统设计与设置说明文件</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相关影像资料</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565" w:type="dxa"/>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232" w:hRule="atLeast"/>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4.2.1</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采用基于性能的抗震设计并合理提高建筑的抗震性能。</w:t>
            </w:r>
          </w:p>
        </w:tc>
        <w:tc>
          <w:tcPr>
            <w:tcW w:w="1803"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□结构抗震性能化设计计算书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□主体结构验收合格证明</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56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4.2.2</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采取保障人员安全的防护措施。</w:t>
            </w:r>
          </w:p>
        </w:tc>
        <w:tc>
          <w:tcPr>
            <w:tcW w:w="1803"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防护栏杆等材料与构件的检测报告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□相关影像资料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56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4.2.3</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采用具有安全防护功能的产品或配件。</w:t>
            </w:r>
          </w:p>
        </w:tc>
        <w:tc>
          <w:tcPr>
            <w:tcW w:w="1803"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□安全玻璃检测报告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56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4.2.4</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室内外地面或路面设置防滑措施。</w:t>
            </w:r>
          </w:p>
        </w:tc>
        <w:tc>
          <w:tcPr>
            <w:tcW w:w="1803"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□防滑材料检测报告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56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4.2.5</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采取人车分流措施，且步行和自行车交通系统有充足照明。</w:t>
            </w:r>
          </w:p>
        </w:tc>
        <w:tc>
          <w:tcPr>
            <w:tcW w:w="1803"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□人行及非机动车交通系统夜间照明现场检测报告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eastAsia" w:ascii="Times New Roman" w:hAnsi="Times New Roman" w:eastAsia="仿宋" w:cs="Times New Roman"/>
                <w:sz w:val="21"/>
                <w:szCs w:val="21"/>
                <w:lang w:val="en-US" w:eastAsia="zh-CN"/>
              </w:rPr>
            </w:pPr>
            <w:r>
              <w:rPr>
                <w:rFonts w:hint="eastAsia" w:ascii="仿宋_GB2312" w:hAnsi="仿宋_GB2312" w:eastAsia="仿宋_GB2312" w:cs="仿宋_GB2312"/>
                <w:sz w:val="21"/>
                <w:szCs w:val="21"/>
                <w:lang w:val="en-US" w:eastAsia="zh-CN"/>
              </w:rPr>
              <w:t>□</w:t>
            </w:r>
          </w:p>
        </w:tc>
        <w:tc>
          <w:tcPr>
            <w:tcW w:w="1565"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4.2.6</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采取提升建筑适变性的措施。</w:t>
            </w:r>
          </w:p>
        </w:tc>
        <w:tc>
          <w:tcPr>
            <w:tcW w:w="1803"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□建筑适变性提升措施的专项设计说明</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569"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4.2.7</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采取提升建筑部品部件耐久性的措施。</w:t>
            </w:r>
          </w:p>
        </w:tc>
        <w:tc>
          <w:tcPr>
            <w:tcW w:w="1803"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□管材、管件检测报告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□电线、电缆检测报告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□门窗反复启闭性能检测报告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□遮阳产品机械耐久性能检测报告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□水嘴、阀门检测报告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569"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4.2.8</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提高建筑结构材料的耐久性。</w:t>
            </w:r>
          </w:p>
        </w:tc>
        <w:tc>
          <w:tcPr>
            <w:tcW w:w="1803"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□结构竣工图</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□相关产品说明及检测报告</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569"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4.2.9</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合理采用耐久性好、易维护的装饰装修材料。</w:t>
            </w:r>
          </w:p>
        </w:tc>
        <w:tc>
          <w:tcPr>
            <w:tcW w:w="1803"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□材料耐久性能检测报告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569"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89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验收结论</w:t>
            </w:r>
          </w:p>
        </w:tc>
        <w:tc>
          <w:tcPr>
            <w:tcW w:w="6630" w:type="dxa"/>
            <w:gridSpan w:val="7"/>
            <w:vAlign w:val="center"/>
          </w:tcPr>
          <w:p>
            <w:pPr>
              <w:ind w:firstLine="480" w:firstLineChars="2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该项目</w:t>
            </w:r>
            <w:r>
              <w:rPr>
                <w:rFonts w:hint="eastAsia" w:ascii="仿宋_GB2312" w:hAnsi="仿宋_GB2312" w:eastAsia="仿宋_GB2312" w:cs="仿宋_GB2312"/>
                <w:sz w:val="24"/>
                <w:lang w:val="en-US" w:eastAsia="zh-CN"/>
              </w:rPr>
              <w:t>安全耐久</w:t>
            </w:r>
            <w:r>
              <w:rPr>
                <w:rFonts w:hint="eastAsia" w:ascii="仿宋_GB2312" w:hAnsi="仿宋_GB2312" w:eastAsia="仿宋_GB2312" w:cs="仿宋_GB2312"/>
                <w:sz w:val="24"/>
                <w:lang w:eastAsia="zh-CN"/>
              </w:rPr>
              <w:t>指标验收控制项全部符合标准要求；得分项共验收</w:t>
            </w:r>
            <w:r>
              <w:rPr>
                <w:rFonts w:hint="eastAsia" w:ascii="仿宋_GB2312" w:hAnsi="仿宋_GB2312" w:eastAsia="仿宋_GB2312" w:cs="仿宋_GB2312"/>
                <w:sz w:val="24"/>
                <w:lang w:val="en-US" w:eastAsia="zh-CN"/>
              </w:rPr>
              <w:t xml:space="preserve">   项，总得分为    分，符合设计要求。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94" w:hRule="atLeast"/>
        </w:trPr>
        <w:tc>
          <w:tcPr>
            <w:tcW w:w="1896" w:type="dxa"/>
            <w:vMerge w:val="restart"/>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参加验收单位</w:t>
            </w: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建设单位</w:t>
            </w:r>
          </w:p>
        </w:tc>
        <w:tc>
          <w:tcPr>
            <w:tcW w:w="1656" w:type="dxa"/>
            <w:gridSpan w:val="2"/>
            <w:vAlign w:val="center"/>
          </w:tcPr>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设计单位</w:t>
            </w:r>
          </w:p>
          <w:p>
            <w:pPr>
              <w:jc w:val="center"/>
              <w:rPr>
                <w:rFonts w:hint="eastAsia" w:ascii="仿宋_GB2312" w:hAnsi="仿宋_GB2312" w:eastAsia="仿宋_GB2312" w:cs="仿宋_GB2312"/>
                <w:sz w:val="24"/>
              </w:rPr>
            </w:pPr>
          </w:p>
        </w:tc>
        <w:tc>
          <w:tcPr>
            <w:tcW w:w="165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监理单位</w:t>
            </w:r>
          </w:p>
        </w:tc>
        <w:tc>
          <w:tcPr>
            <w:tcW w:w="1658"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830" w:hRule="atLeast"/>
        </w:trPr>
        <w:tc>
          <w:tcPr>
            <w:tcW w:w="1896" w:type="dxa"/>
            <w:vMerge w:val="continue"/>
            <w:vAlign w:val="center"/>
          </w:tcPr>
          <w:p>
            <w:pPr>
              <w:jc w:val="center"/>
              <w:rPr>
                <w:rFonts w:hint="eastAsia" w:ascii="仿宋_GB2312" w:hAnsi="仿宋_GB2312" w:eastAsia="仿宋_GB2312" w:cs="仿宋_GB2312"/>
                <w:sz w:val="24"/>
                <w:lang w:val="en-US" w:eastAsia="zh-CN"/>
              </w:rPr>
            </w:pP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项目负责人</w:t>
            </w:r>
          </w:p>
        </w:tc>
        <w:tc>
          <w:tcPr>
            <w:tcW w:w="1656"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8"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r>
    </w:tbl>
    <w:p>
      <w:pPr>
        <w:rPr>
          <w:rFonts w:ascii="仿宋_GB2312" w:hAnsi="仿宋_GB2312" w:eastAsia="仿宋_GB2312" w:cs="仿宋_GB2312"/>
          <w:sz w:val="28"/>
          <w:szCs w:val="36"/>
        </w:rPr>
      </w:pPr>
    </w:p>
    <w:p>
      <w:pPr>
        <w:jc w:val="center"/>
        <w:rPr>
          <w:rFonts w:ascii="仿宋_GB2312" w:hAnsi="仿宋_GB2312" w:eastAsia="仿宋_GB2312" w:cs="仿宋_GB2312"/>
          <w:sz w:val="28"/>
          <w:szCs w:val="36"/>
        </w:rPr>
      </w:pPr>
      <w:r>
        <w:rPr>
          <w:rFonts w:hint="eastAsia" w:ascii="仿宋_GB2312" w:hAnsi="仿宋_GB2312" w:eastAsia="仿宋_GB2312" w:cs="仿宋_GB2312"/>
          <w:b/>
          <w:bCs/>
          <w:sz w:val="28"/>
          <w:szCs w:val="36"/>
          <w:lang w:val="en-US" w:eastAsia="zh-CN"/>
        </w:rPr>
        <w:t>绿色建筑专项验收记录表2-</w:t>
      </w:r>
      <w:r>
        <w:rPr>
          <w:rFonts w:hint="eastAsia" w:ascii="仿宋_GB2312" w:hAnsi="仿宋_GB2312" w:eastAsia="仿宋_GB2312" w:cs="仿宋_GB2312"/>
          <w:b/>
          <w:bCs/>
          <w:sz w:val="28"/>
          <w:szCs w:val="36"/>
          <w:lang w:eastAsia="zh-CN"/>
        </w:rPr>
        <w:t>健康舒适指标</w:t>
      </w:r>
    </w:p>
    <w:tbl>
      <w:tblPr>
        <w:tblStyle w:val="5"/>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656"/>
        <w:gridCol w:w="1602"/>
        <w:gridCol w:w="54"/>
        <w:gridCol w:w="1637"/>
        <w:gridCol w:w="19"/>
        <w:gridCol w:w="1658"/>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工程名称</w:t>
            </w:r>
          </w:p>
        </w:tc>
        <w:tc>
          <w:tcPr>
            <w:tcW w:w="6626" w:type="dxa"/>
            <w:gridSpan w:val="6"/>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建设单位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建筑面积</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设计单位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建筑类型</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施工单位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绿建星级</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监理单位</w:t>
            </w:r>
          </w:p>
        </w:tc>
        <w:tc>
          <w:tcPr>
            <w:tcW w:w="3258" w:type="dxa"/>
            <w:gridSpan w:val="2"/>
          </w:tcPr>
          <w:p>
            <w:pPr>
              <w:jc w:val="center"/>
              <w:rPr>
                <w:rFonts w:hint="default" w:ascii="Times New Roman" w:hAnsi="Times New Roman" w:eastAsia="仿宋_GB2312" w:cs="Times New Roman"/>
                <w:sz w:val="24"/>
              </w:rPr>
            </w:pPr>
          </w:p>
        </w:tc>
        <w:tc>
          <w:tcPr>
            <w:tcW w:w="1691" w:type="dxa"/>
            <w:gridSpan w:val="2"/>
            <w:vAlign w:val="center"/>
          </w:tcPr>
          <w:p>
            <w:pPr>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依据标准</w:t>
            </w:r>
          </w:p>
        </w:tc>
        <w:tc>
          <w:tcPr>
            <w:tcW w:w="1677" w:type="dxa"/>
            <w:gridSpan w:val="2"/>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对应GB/T50378-2019条文号</w:t>
            </w:r>
          </w:p>
        </w:tc>
        <w:tc>
          <w:tcPr>
            <w:tcW w:w="3258" w:type="dxa"/>
            <w:gridSpan w:val="2"/>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验收内容</w:t>
            </w:r>
          </w:p>
        </w:tc>
        <w:tc>
          <w:tcPr>
            <w:tcW w:w="1691"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核查资料</w:t>
            </w:r>
          </w:p>
        </w:tc>
        <w:tc>
          <w:tcPr>
            <w:tcW w:w="1677"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.1.1</w:t>
            </w:r>
          </w:p>
          <w:p>
            <w:pPr>
              <w:jc w:val="center"/>
              <w:rPr>
                <w:rFonts w:hint="eastAsia" w:ascii="仿宋_GB2312" w:hAnsi="仿宋_GB2312" w:eastAsia="仿宋_GB2312" w:cs="仿宋_GB2312"/>
                <w:sz w:val="21"/>
                <w:szCs w:val="21"/>
                <w:lang w:val="en-US" w:eastAsia="zh-CN"/>
              </w:rPr>
            </w:pP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室内空气中的氨、甲醛、苯、总挥发性有机物、氡等污染物浓度应符合现行国家标准《室内空气质量标准》</w:t>
            </w:r>
            <w:r>
              <w:rPr>
                <w:rFonts w:hint="eastAsia" w:ascii="仿宋_GB2312" w:hAnsi="仿宋_GB2312" w:eastAsia="仿宋_GB2312" w:cs="仿宋_GB2312"/>
                <w:sz w:val="21"/>
                <w:szCs w:val="21"/>
                <w:lang w:val="en-US" w:eastAsia="zh-CN"/>
              </w:rPr>
              <w:t>GB/T18883的有关规定。建筑室内和建筑主出入口处应禁止吸烟，并应在醒目位置设置禁烟标志。</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□室内环境检测报告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□禁烟标志影像资料</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.1.2</w:t>
            </w:r>
          </w:p>
          <w:p>
            <w:pPr>
              <w:jc w:val="center"/>
              <w:rPr>
                <w:rFonts w:hint="eastAsia" w:ascii="仿宋_GB2312" w:hAnsi="仿宋_GB2312" w:eastAsia="仿宋_GB2312" w:cs="仿宋_GB2312"/>
                <w:sz w:val="21"/>
                <w:szCs w:val="21"/>
                <w:lang w:val="en-US" w:eastAsia="zh-CN"/>
              </w:rPr>
            </w:pP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应采取措施避免厨房、餐厅、打印复印室、卫生间、地下车库等区域的空气和污染物串通到其他空间；应防止厨房、卫生间的排气倒灌。</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建筑、</w:t>
            </w:r>
            <w:r>
              <w:rPr>
                <w:rFonts w:hint="eastAsia" w:ascii="仿宋_GB2312" w:hAnsi="仿宋_GB2312" w:eastAsia="仿宋_GB2312" w:cs="仿宋_GB2312"/>
                <w:sz w:val="21"/>
                <w:szCs w:val="21"/>
              </w:rPr>
              <w:t>暖通竣工图</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相关影像资料</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.1.3</w:t>
            </w:r>
          </w:p>
          <w:p>
            <w:pPr>
              <w:jc w:val="center"/>
              <w:rPr>
                <w:rFonts w:hint="eastAsia" w:ascii="仿宋_GB2312" w:hAnsi="仿宋_GB2312" w:eastAsia="仿宋_GB2312" w:cs="仿宋_GB2312"/>
                <w:sz w:val="21"/>
                <w:szCs w:val="21"/>
                <w:lang w:eastAsia="zh-CN"/>
              </w:rPr>
            </w:pP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给水排水系统的设置应符合下列规定：</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 生活饮用水水质应满足现行国家标准《生活饮用水卫生标准》GB5749的要求；</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 应制定水池、水箱等储水设施定期清洗消毒计划并实施，且生活饮用水储水设施每半年清洗消毒不应少于1次；</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 应使用构造内自带水封的便器，且其水封深度不应小于50mm；</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 非传统水源管道和设备应设置明确、清晰的永久性标识。</w:t>
            </w:r>
          </w:p>
        </w:tc>
        <w:tc>
          <w:tcPr>
            <w:tcW w:w="1691"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给排水竣工图</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生活饮用水水质检测报告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□非传统水源管道和设备标识影像资料</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□生活饮用水水质检测</w:t>
            </w:r>
            <w:r>
              <w:rPr>
                <w:rFonts w:hint="eastAsia" w:ascii="仿宋_GB2312" w:hAnsi="仿宋_GB2312" w:eastAsia="仿宋_GB2312" w:cs="仿宋_GB2312"/>
                <w:sz w:val="21"/>
                <w:szCs w:val="21"/>
                <w:lang w:eastAsia="zh-CN"/>
              </w:rPr>
              <w:t>承诺书</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.1.4</w:t>
            </w:r>
          </w:p>
          <w:p>
            <w:pPr>
              <w:jc w:val="center"/>
              <w:rPr>
                <w:rFonts w:hint="eastAsia" w:ascii="仿宋_GB2312" w:hAnsi="仿宋_GB2312" w:eastAsia="仿宋_GB2312" w:cs="仿宋_GB2312"/>
                <w:sz w:val="21"/>
                <w:szCs w:val="21"/>
              </w:rPr>
            </w:pPr>
          </w:p>
        </w:tc>
        <w:tc>
          <w:tcPr>
            <w:tcW w:w="3258" w:type="dxa"/>
            <w:gridSpan w:val="2"/>
            <w:vAlign w:val="center"/>
          </w:tcPr>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主要功能房间的室内噪声级和隔声性能应符合下列规定：</w:t>
            </w:r>
          </w:p>
          <w:p>
            <w:pPr>
              <w:jc w:val="left"/>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 室内噪声级应满足现行国家标准《民用建筑隔声设计规范》GB50118中的低限要求；</w:t>
            </w:r>
          </w:p>
          <w:p>
            <w:p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 外墙、隔墙、楼板和门窗的隔声性能应满足现行国家标准《民用建筑隔声设计规范》GB50118中的低限要求。</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□建筑竣工图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□室内噪声级检测报告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□外窗空气声隔声性能检测报告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□分户墙空气声隔声性能检测报告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□楼板撞击声隔声性能检测报告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.1.5</w:t>
            </w: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建筑照明应符合下列规定：</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 照明数量和质量应符合现行国家标准《建筑照明设计标准》GB50034的规定；</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 人员长期停留的场所应采用复合现行国家标准《灯和灯系统的光生物安全性》GB/T20145规定的无危险类照明产品；</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 选用LED照明产品的光输出波形的波动深度应满足现行国家标准《LED室内照明应用技术要求》GB/T31831的规定。</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□电气竣工图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□照明灯具的产品检测报告</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.1.6</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应采取措施保障室内热环境。采用集中供暖空调系统的建筑，房间内的温度、湿度、新风量等设计参数应符合现行国家标准《民用建筑供暖通风与空气调节设计规范》</w:t>
            </w:r>
            <w:r>
              <w:rPr>
                <w:rFonts w:hint="eastAsia" w:ascii="仿宋_GB2312" w:hAnsi="仿宋_GB2312" w:eastAsia="仿宋_GB2312" w:cs="仿宋_GB2312"/>
                <w:sz w:val="21"/>
                <w:szCs w:val="21"/>
                <w:lang w:val="en-US" w:eastAsia="zh-CN"/>
              </w:rPr>
              <w:t>GB50736的有关规定；采用非集中供暖空调系统的建筑，应具有保障室内热环境的措施或预留条件。</w:t>
            </w:r>
          </w:p>
        </w:tc>
        <w:tc>
          <w:tcPr>
            <w:tcW w:w="1691" w:type="dxa"/>
            <w:gridSpan w:val="2"/>
            <w:vAlign w:val="center"/>
          </w:tcPr>
          <w:p>
            <w:pPr>
              <w:jc w:val="left"/>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val="en-US" w:eastAsia="zh-CN"/>
              </w:rPr>
              <w:t>暖通竣工图</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r>
              <w:rPr>
                <w:rFonts w:hint="default" w:ascii="仿宋_GB2312" w:hAnsi="仿宋_GB2312" w:eastAsia="仿宋_GB2312" w:cs="仿宋_GB2312"/>
                <w:sz w:val="21"/>
                <w:szCs w:val="21"/>
                <w:lang w:val="en-US" w:eastAsia="zh-CN"/>
              </w:rPr>
              <w:t>室内温湿度检测报告或承诺书</w:t>
            </w:r>
          </w:p>
          <w:p>
            <w:pPr>
              <w:jc w:val="left"/>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□室内二氧化碳浓度检测报告或承诺书</w:t>
            </w:r>
          </w:p>
          <w:p>
            <w:pPr>
              <w:jc w:val="left"/>
              <w:rPr>
                <w:rFonts w:hint="default"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.1.7</w:t>
            </w: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围护结构热工性能应符合下列规定：</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 在室内设计温、湿度条件下，建筑非透光围护结构内表面不得结露；</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 供暖建筑的屋面、外墙内部不应产生冷凝；</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 屋顶和外墙隔热性能应满足现行国家标准《民用建筑热工设计规范》GB50176的要求。</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□建筑竣工图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□建筑围护结构验算计算书</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□建筑围护结构内部冷凝验算计算书</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.1.8</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主要功能房间应具有现场独立控制的热环境调节装置。</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□暖通竣工图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□供暖、空调末端设备控制装置影像资料</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5.1.9</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地下车库应设置与排风设备联动的一氧化碳浓度监测装置。</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□暖通、电气竣工图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□CO检测系统和联动控制系统调试记录</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相关影像资料</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232" w:hRule="atLeast"/>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5.2.1</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控制室内主要空气污染物的浓度。</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□室内环境</w:t>
            </w:r>
            <w:r>
              <w:rPr>
                <w:rFonts w:hint="eastAsia" w:ascii="仿宋_GB2312" w:hAnsi="仿宋_GB2312" w:eastAsia="仿宋_GB2312" w:cs="仿宋_GB2312"/>
                <w:sz w:val="21"/>
                <w:szCs w:val="21"/>
                <w:lang w:eastAsia="zh-CN"/>
              </w:rPr>
              <w:t>污染物</w:t>
            </w:r>
            <w:r>
              <w:rPr>
                <w:rFonts w:hint="eastAsia" w:ascii="仿宋_GB2312" w:hAnsi="仿宋_GB2312" w:eastAsia="仿宋_GB2312" w:cs="仿宋_GB2312"/>
                <w:sz w:val="21"/>
                <w:szCs w:val="21"/>
              </w:rPr>
              <w:t>检测报告</w:t>
            </w:r>
          </w:p>
          <w:p>
            <w:pPr>
              <w:jc w:val="left"/>
              <w:rPr>
                <w:rFonts w:hint="eastAsia" w:ascii="Times New Roman" w:hAnsi="Times New Roman" w:eastAsia="仿宋_GB2312" w:cs="Times New Roman"/>
                <w:sz w:val="21"/>
                <w:szCs w:val="21"/>
                <w:vertAlign w:val="baseline"/>
                <w:lang w:val="en-US" w:eastAsia="zh-CN"/>
              </w:rPr>
            </w:pPr>
            <w:r>
              <w:rPr>
                <w:rFonts w:hint="eastAsia" w:ascii="仿宋_GB2312" w:hAnsi="仿宋_GB2312" w:eastAsia="仿宋_GB2312" w:cs="仿宋_GB2312"/>
                <w:sz w:val="21"/>
                <w:szCs w:val="21"/>
                <w:lang w:val="en-US" w:eastAsia="zh-CN"/>
              </w:rPr>
              <w:t>□室内</w:t>
            </w:r>
            <w:r>
              <w:rPr>
                <w:rFonts w:hint="default" w:ascii="Times New Roman" w:hAnsi="Times New Roman" w:eastAsia="仿宋_GB2312" w:cs="Times New Roman"/>
                <w:sz w:val="21"/>
                <w:szCs w:val="21"/>
                <w:lang w:val="en-US" w:eastAsia="zh-CN"/>
              </w:rPr>
              <w:t>PM</w:t>
            </w:r>
            <w:r>
              <w:rPr>
                <w:rFonts w:hint="eastAsia" w:ascii="Times New Roman" w:hAnsi="Times New Roman" w:eastAsia="仿宋_GB2312" w:cs="Times New Roman"/>
                <w:sz w:val="21"/>
                <w:szCs w:val="21"/>
                <w:vertAlign w:val="subscript"/>
                <w:lang w:val="en-US" w:eastAsia="zh-CN"/>
              </w:rPr>
              <w:t>2.5</w:t>
            </w:r>
            <w:r>
              <w:rPr>
                <w:rFonts w:hint="eastAsia" w:ascii="Times New Roman" w:hAnsi="Times New Roman" w:eastAsia="仿宋_GB2312" w:cs="Times New Roman"/>
                <w:sz w:val="21"/>
                <w:szCs w:val="21"/>
                <w:vertAlign w:val="baseline"/>
                <w:lang w:val="en-US" w:eastAsia="zh-CN"/>
              </w:rPr>
              <w:t>和PM</w:t>
            </w:r>
            <w:r>
              <w:rPr>
                <w:rFonts w:hint="eastAsia" w:ascii="Times New Roman" w:hAnsi="Times New Roman" w:eastAsia="仿宋_GB2312" w:cs="Times New Roman"/>
                <w:sz w:val="21"/>
                <w:szCs w:val="21"/>
                <w:vertAlign w:val="subscript"/>
                <w:lang w:val="en-US" w:eastAsia="zh-CN"/>
              </w:rPr>
              <w:t>10</w:t>
            </w:r>
            <w:r>
              <w:rPr>
                <w:rFonts w:hint="eastAsia" w:ascii="Times New Roman" w:hAnsi="Times New Roman" w:eastAsia="仿宋_GB2312" w:cs="Times New Roman"/>
                <w:sz w:val="21"/>
                <w:szCs w:val="21"/>
                <w:vertAlign w:val="baseline"/>
                <w:lang w:val="en-US" w:eastAsia="zh-CN"/>
              </w:rPr>
              <w:t>检测报告</w:t>
            </w:r>
          </w:p>
          <w:p>
            <w:pPr>
              <w:jc w:val="left"/>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5.2.2</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选用的装饰装修材料满足国家现行绿色产品评价标准中对有害物质限量的要求。</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绿色产品认证证书</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装饰装修材料有害物质检测报告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5.2.3</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直饮水、集中生活热水、游泳池水、采暖空调系统用水、景观水体的水质满足国家现行相关标准的要求。</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□给排水竣工图纸</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□相关水质检测报告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□相关水质检测承诺书</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5.2.4</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生活饮用水水池、水箱等储水设施采取措施满足卫生要求。</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□给排水竣工图纸</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□生活饮用水储水设施设备材料采购清单</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□成品水箱产品说明书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5.2.5</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所有给水排水管道、设备、设施设置明确、清晰的永久性标识。</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eastAsia" w:ascii="Times New Roman" w:hAnsi="Times New Roman" w:eastAsia="仿宋" w:cs="Times New Roman"/>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5.2.6</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采取措施优化主要功能房间的室内声环境。</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□室内噪声级检测报告</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5.2.7</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主要功能房间的隔声性能良好。</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□分户墙空气声隔声性能检测报告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□楼板撞击声隔声性能检测报告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5.2.8</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充分利用天然光。</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□动态采光计算书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□公共建筑内区及地下空间采光系数计算书或检测报告</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5.2.9</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具有良好的室内热湿环境。</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□室内温度模拟分析报告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□舒适温度预计达标比例分析报告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□PMV、PPD分析报告预计达标比例分析报告</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5.2.10</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优化建筑空间和平面布局，改善自然通风效果。</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□住宅建筑外窗可开启面积比例计算书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□公共建筑室内自然通风模拟分析报告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5.2.11</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设置可调节遮阳设施，改善室内热舒适。</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□遮阳装置产品说明书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□遮阳装置采购合同</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□可调节遮阳设施的面积占外窗透明部分比例计算书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89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验收结论</w:t>
            </w:r>
          </w:p>
        </w:tc>
        <w:tc>
          <w:tcPr>
            <w:tcW w:w="6630" w:type="dxa"/>
            <w:gridSpan w:val="7"/>
            <w:vAlign w:val="center"/>
          </w:tcPr>
          <w:p>
            <w:pPr>
              <w:ind w:firstLine="480" w:firstLineChars="2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该项目健康舒适指标验收控制项全部符合标准要求；得分项共验收</w:t>
            </w:r>
            <w:r>
              <w:rPr>
                <w:rFonts w:hint="eastAsia" w:ascii="仿宋_GB2312" w:hAnsi="仿宋_GB2312" w:eastAsia="仿宋_GB2312" w:cs="仿宋_GB2312"/>
                <w:sz w:val="24"/>
                <w:lang w:val="en-US" w:eastAsia="zh-CN"/>
              </w:rPr>
              <w:t xml:space="preserve">   项，总得分为    分，符合设计要求。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94" w:hRule="atLeast"/>
        </w:trPr>
        <w:tc>
          <w:tcPr>
            <w:tcW w:w="1896" w:type="dxa"/>
            <w:vMerge w:val="restart"/>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参加验收单位</w:t>
            </w: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建设单位</w:t>
            </w:r>
          </w:p>
        </w:tc>
        <w:tc>
          <w:tcPr>
            <w:tcW w:w="1656" w:type="dxa"/>
            <w:gridSpan w:val="2"/>
            <w:vAlign w:val="center"/>
          </w:tcPr>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设计单位</w:t>
            </w:r>
          </w:p>
          <w:p>
            <w:pPr>
              <w:jc w:val="center"/>
              <w:rPr>
                <w:rFonts w:hint="eastAsia" w:ascii="仿宋_GB2312" w:hAnsi="仿宋_GB2312" w:eastAsia="仿宋_GB2312" w:cs="仿宋_GB2312"/>
                <w:sz w:val="24"/>
              </w:rPr>
            </w:pPr>
          </w:p>
        </w:tc>
        <w:tc>
          <w:tcPr>
            <w:tcW w:w="1656"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监理单位</w:t>
            </w:r>
          </w:p>
        </w:tc>
        <w:tc>
          <w:tcPr>
            <w:tcW w:w="1658"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860" w:hRule="atLeast"/>
        </w:trPr>
        <w:tc>
          <w:tcPr>
            <w:tcW w:w="1896" w:type="dxa"/>
            <w:vMerge w:val="continue"/>
            <w:vAlign w:val="center"/>
          </w:tcPr>
          <w:p>
            <w:pPr>
              <w:jc w:val="center"/>
              <w:rPr>
                <w:rFonts w:hint="eastAsia" w:ascii="仿宋_GB2312" w:hAnsi="仿宋_GB2312" w:eastAsia="仿宋_GB2312" w:cs="仿宋_GB2312"/>
                <w:sz w:val="24"/>
                <w:lang w:val="en-US" w:eastAsia="zh-CN"/>
              </w:rPr>
            </w:pP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项目负责人</w:t>
            </w:r>
          </w:p>
        </w:tc>
        <w:tc>
          <w:tcPr>
            <w:tcW w:w="1656"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6"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8"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r>
    </w:tbl>
    <w:p>
      <w:pPr>
        <w:rPr>
          <w:rFonts w:ascii="仿宋_GB2312" w:hAnsi="仿宋_GB2312" w:eastAsia="仿宋_GB2312" w:cs="仿宋_GB2312"/>
          <w:sz w:val="28"/>
          <w:szCs w:val="36"/>
        </w:rPr>
      </w:pPr>
    </w:p>
    <w:p>
      <w:pPr>
        <w:jc w:val="center"/>
        <w:rPr>
          <w:rFonts w:ascii="仿宋_GB2312" w:hAnsi="仿宋_GB2312" w:eastAsia="仿宋_GB2312" w:cs="仿宋_GB2312"/>
          <w:sz w:val="28"/>
          <w:szCs w:val="36"/>
        </w:rPr>
      </w:pPr>
      <w:r>
        <w:rPr>
          <w:rFonts w:hint="eastAsia" w:ascii="仿宋_GB2312" w:hAnsi="仿宋_GB2312" w:eastAsia="仿宋_GB2312" w:cs="仿宋_GB2312"/>
          <w:b/>
          <w:bCs/>
          <w:sz w:val="28"/>
          <w:szCs w:val="36"/>
          <w:lang w:val="en-US" w:eastAsia="zh-CN"/>
        </w:rPr>
        <w:t>绿色建筑专项验收记录表3-</w:t>
      </w:r>
      <w:r>
        <w:rPr>
          <w:rFonts w:hint="eastAsia" w:ascii="仿宋_GB2312" w:hAnsi="仿宋_GB2312" w:eastAsia="仿宋_GB2312" w:cs="仿宋_GB2312"/>
          <w:b/>
          <w:bCs/>
          <w:sz w:val="28"/>
          <w:szCs w:val="36"/>
          <w:lang w:eastAsia="zh-CN"/>
        </w:rPr>
        <w:t>生活便利指标</w:t>
      </w:r>
    </w:p>
    <w:tbl>
      <w:tblPr>
        <w:tblStyle w:val="5"/>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656"/>
        <w:gridCol w:w="1602"/>
        <w:gridCol w:w="54"/>
        <w:gridCol w:w="1637"/>
        <w:gridCol w:w="19"/>
        <w:gridCol w:w="1658"/>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工程名称</w:t>
            </w:r>
          </w:p>
        </w:tc>
        <w:tc>
          <w:tcPr>
            <w:tcW w:w="6626" w:type="dxa"/>
            <w:gridSpan w:val="6"/>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建设单位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建筑面积</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设计单位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建筑类型</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施工单位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绿建星级</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监理单位</w:t>
            </w:r>
          </w:p>
        </w:tc>
        <w:tc>
          <w:tcPr>
            <w:tcW w:w="3258" w:type="dxa"/>
            <w:gridSpan w:val="2"/>
          </w:tcPr>
          <w:p>
            <w:pPr>
              <w:jc w:val="center"/>
              <w:rPr>
                <w:rFonts w:hint="default" w:ascii="Times New Roman" w:hAnsi="Times New Roman" w:eastAsia="仿宋_GB2312" w:cs="Times New Roman"/>
                <w:sz w:val="24"/>
              </w:rPr>
            </w:pPr>
          </w:p>
        </w:tc>
        <w:tc>
          <w:tcPr>
            <w:tcW w:w="1691" w:type="dxa"/>
            <w:gridSpan w:val="2"/>
            <w:vAlign w:val="center"/>
          </w:tcPr>
          <w:p>
            <w:pPr>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依据标准</w:t>
            </w:r>
          </w:p>
        </w:tc>
        <w:tc>
          <w:tcPr>
            <w:tcW w:w="1677" w:type="dxa"/>
            <w:gridSpan w:val="2"/>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对应GB/T50378-2019条文号</w:t>
            </w:r>
          </w:p>
        </w:tc>
        <w:tc>
          <w:tcPr>
            <w:tcW w:w="3258" w:type="dxa"/>
            <w:gridSpan w:val="2"/>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验收内容</w:t>
            </w:r>
          </w:p>
        </w:tc>
        <w:tc>
          <w:tcPr>
            <w:tcW w:w="1691"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核查资料</w:t>
            </w:r>
          </w:p>
        </w:tc>
        <w:tc>
          <w:tcPr>
            <w:tcW w:w="1677"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.1.1</w:t>
            </w:r>
          </w:p>
          <w:p>
            <w:pPr>
              <w:jc w:val="center"/>
              <w:rPr>
                <w:rFonts w:hint="eastAsia" w:ascii="仿宋_GB2312" w:hAnsi="仿宋_GB2312" w:eastAsia="仿宋_GB2312" w:cs="仿宋_GB2312"/>
                <w:sz w:val="21"/>
                <w:szCs w:val="21"/>
                <w:lang w:val="en-US" w:eastAsia="zh-CN"/>
              </w:rPr>
            </w:pP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建筑、室外场地、公共绿地、城市道路相互之间应设置连贯的无障碍步行系统。</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无障碍步行系统影像资料</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.1.2</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场地人行出入口500m内应设有公共交通站点或配备联系公共交通站点的专用接驳车。</w:t>
            </w:r>
          </w:p>
        </w:tc>
        <w:tc>
          <w:tcPr>
            <w:tcW w:w="1691"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项目场地出入口与公交站点的实际距离的证明资料</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.1.3</w:t>
            </w:r>
          </w:p>
          <w:p>
            <w:pPr>
              <w:jc w:val="center"/>
              <w:rPr>
                <w:rFonts w:hint="eastAsia" w:ascii="仿宋_GB2312" w:hAnsi="仿宋_GB2312" w:eastAsia="仿宋_GB2312" w:cs="仿宋_GB2312"/>
                <w:sz w:val="21"/>
                <w:szCs w:val="21"/>
                <w:lang w:eastAsia="zh-CN"/>
              </w:rPr>
            </w:pP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停车场应具有电动汽车充电设施或具备充电设施的安装条件，并应合理设置电动汽车和无障碍汽车停车位。</w:t>
            </w:r>
          </w:p>
        </w:tc>
        <w:tc>
          <w:tcPr>
            <w:tcW w:w="1691"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建筑、电气竣工图</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无障碍停车位和电动汽车停车位的影像资料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.1.4</w:t>
            </w:r>
          </w:p>
          <w:p>
            <w:pPr>
              <w:jc w:val="center"/>
              <w:rPr>
                <w:rFonts w:hint="eastAsia" w:ascii="仿宋_GB2312" w:hAnsi="仿宋_GB2312" w:eastAsia="仿宋_GB2312" w:cs="仿宋_GB2312"/>
                <w:sz w:val="21"/>
                <w:szCs w:val="21"/>
              </w:rPr>
            </w:pPr>
          </w:p>
        </w:tc>
        <w:tc>
          <w:tcPr>
            <w:tcW w:w="3258" w:type="dxa"/>
            <w:gridSpan w:val="2"/>
            <w:vAlign w:val="center"/>
          </w:tcPr>
          <w:p>
            <w:p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自行车停车场所应位置合理、方便出入。</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不适宜使用自行车作为交通工具的视为本条通过。</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.1.5</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建筑设备管理系统应具有自动监控管理功能。</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□电气竣工图</w:t>
            </w:r>
          </w:p>
          <w:p>
            <w:pPr>
              <w:jc w:val="left"/>
              <w:rPr>
                <w:rFonts w:hint="default" w:ascii="仿宋_GB2312" w:hAnsi="仿宋_GB2312" w:eastAsia="仿宋_GB2312" w:cs="仿宋_GB2312"/>
                <w:sz w:val="21"/>
                <w:szCs w:val="21"/>
                <w:lang w:val="en-US" w:eastAsia="zh-CN"/>
              </w:rPr>
            </w:pPr>
            <w:r>
              <w:rPr>
                <w:rFonts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风机水泵变频控制影像资料</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.1.6</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建筑应设置信息网络系统。</w:t>
            </w:r>
          </w:p>
        </w:tc>
        <w:tc>
          <w:tcPr>
            <w:tcW w:w="1691"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建筑智能化检测报告</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232" w:hRule="atLeast"/>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6.2.1</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场地与公共交通站点联系便捷。</w:t>
            </w:r>
          </w:p>
        </w:tc>
        <w:tc>
          <w:tcPr>
            <w:tcW w:w="1691"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□建筑出入口与公交站点的实际距离</w:t>
            </w:r>
            <w:r>
              <w:rPr>
                <w:rFonts w:hint="eastAsia" w:ascii="仿宋_GB2312" w:hAnsi="仿宋_GB2312" w:eastAsia="仿宋_GB2312" w:cs="仿宋_GB2312"/>
                <w:sz w:val="21"/>
                <w:szCs w:val="21"/>
                <w:lang w:eastAsia="zh-CN"/>
              </w:rPr>
              <w:t>和</w:t>
            </w:r>
            <w:r>
              <w:rPr>
                <w:rFonts w:hint="eastAsia" w:ascii="仿宋_GB2312" w:hAnsi="仿宋_GB2312" w:eastAsia="仿宋_GB2312" w:cs="仿宋_GB2312"/>
                <w:sz w:val="21"/>
                <w:szCs w:val="21"/>
              </w:rPr>
              <w:t>公交线路的设置情况</w:t>
            </w:r>
            <w:r>
              <w:rPr>
                <w:rFonts w:hint="eastAsia" w:ascii="仿宋_GB2312" w:hAnsi="仿宋_GB2312" w:eastAsia="仿宋_GB2312" w:cs="仿宋_GB2312"/>
                <w:sz w:val="21"/>
                <w:szCs w:val="21"/>
                <w:lang w:eastAsia="zh-CN"/>
              </w:rPr>
              <w:t>的证明材料</w:t>
            </w:r>
          </w:p>
          <w:p>
            <w:pPr>
              <w:jc w:val="left"/>
              <w:rPr>
                <w:rFonts w:hint="default" w:ascii="Times New Roman" w:hAnsi="Times New Roman" w:eastAsia="仿宋_GB2312" w:cs="Times New Roman"/>
                <w:sz w:val="21"/>
                <w:szCs w:val="21"/>
                <w:vertAlign w:val="baseline"/>
                <w:lang w:val="en-US" w:eastAsia="zh-CN"/>
              </w:rPr>
            </w:pPr>
            <w:r>
              <w:rPr>
                <w:rFonts w:hint="eastAsia" w:ascii="Times New Roman" w:hAnsi="Times New Roman" w:eastAsia="仿宋_GB2312" w:cs="Times New Roman"/>
                <w:sz w:val="21"/>
                <w:szCs w:val="21"/>
                <w:vertAlign w:val="baseline"/>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6.2.2</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建筑室内外公共区域满足全龄化设计要求。</w:t>
            </w:r>
          </w:p>
        </w:tc>
        <w:tc>
          <w:tcPr>
            <w:tcW w:w="1691"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相关影像资料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□无障碍电梯产品说明书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6.2.3</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提供便利的公共服务。</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□建筑总平面图</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□位置标识图</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□公共服务设施布局图</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□符合条款的相关证明材料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6.2.4</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城市绿地、广场及公共运动场地等开敞空间，步行可达。</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□位置标识图</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□距离说明文件</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6.2.5</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合理设置健身场地和空间。</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□相关竣工图纸</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6.2.6</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设置分类、分级用能自动远传计量系统，且设置能源管理系统实现对建筑能耗的监测、数据分析和管理。</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□电气竣工图</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□计量装置产品质量证明</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□系统调试记录</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□数据校核记录</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□试运转记录</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□系统说明书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□操作手册</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6.2.7</w:t>
            </w:r>
          </w:p>
        </w:tc>
        <w:tc>
          <w:tcPr>
            <w:tcW w:w="3258" w:type="dxa"/>
            <w:gridSpan w:val="2"/>
            <w:vAlign w:val="center"/>
          </w:tcPr>
          <w:p>
            <w:pPr>
              <w:jc w:val="left"/>
              <w:rPr>
                <w:rFonts w:hint="default" w:ascii="Times New Roman" w:hAnsi="Times New Roman" w:eastAsia="仿宋_GB2312" w:cs="Times New Roman"/>
                <w:sz w:val="21"/>
                <w:szCs w:val="21"/>
                <w:vertAlign w:val="baseline"/>
                <w:lang w:val="en-US" w:eastAsia="zh-CN"/>
              </w:rPr>
            </w:pPr>
            <w:r>
              <w:rPr>
                <w:rFonts w:hint="eastAsia" w:ascii="仿宋_GB2312" w:hAnsi="仿宋_GB2312" w:eastAsia="仿宋_GB2312" w:cs="仿宋_GB2312"/>
                <w:sz w:val="21"/>
                <w:szCs w:val="21"/>
                <w:lang w:val="en-US" w:eastAsia="zh-CN"/>
              </w:rPr>
              <w:t>设置</w:t>
            </w:r>
            <w:r>
              <w:rPr>
                <w:rFonts w:hint="eastAsia" w:ascii="Times New Roman" w:hAnsi="Times New Roman" w:eastAsia="仿宋_GB2312" w:cs="Times New Roman"/>
                <w:sz w:val="21"/>
                <w:szCs w:val="21"/>
                <w:lang w:val="en-US" w:eastAsia="zh-CN"/>
              </w:rPr>
              <w:t>PM</w:t>
            </w:r>
            <w:r>
              <w:rPr>
                <w:rFonts w:hint="eastAsia" w:ascii="Times New Roman" w:hAnsi="Times New Roman" w:eastAsia="仿宋_GB2312" w:cs="Times New Roman"/>
                <w:sz w:val="21"/>
                <w:szCs w:val="21"/>
                <w:vertAlign w:val="subscript"/>
                <w:lang w:val="en-US" w:eastAsia="zh-CN"/>
              </w:rPr>
              <w:t>10</w:t>
            </w:r>
            <w:r>
              <w:rPr>
                <w:rFonts w:hint="eastAsia" w:ascii="Times New Roman" w:hAnsi="Times New Roman" w:eastAsia="仿宋_GB2312" w:cs="Times New Roman"/>
                <w:sz w:val="21"/>
                <w:szCs w:val="21"/>
                <w:vertAlign w:val="baseline"/>
                <w:lang w:val="en-US" w:eastAsia="zh-CN"/>
              </w:rPr>
              <w:t>、</w:t>
            </w:r>
            <w:r>
              <w:rPr>
                <w:rFonts w:hint="eastAsia" w:ascii="Times New Roman" w:hAnsi="Times New Roman" w:eastAsia="仿宋_GB2312" w:cs="Times New Roman"/>
                <w:sz w:val="21"/>
                <w:szCs w:val="21"/>
                <w:lang w:val="en-US" w:eastAsia="zh-CN"/>
              </w:rPr>
              <w:t>PM</w:t>
            </w:r>
            <w:r>
              <w:rPr>
                <w:rFonts w:hint="eastAsia" w:ascii="Times New Roman" w:hAnsi="Times New Roman" w:eastAsia="仿宋_GB2312" w:cs="Times New Roman"/>
                <w:sz w:val="21"/>
                <w:szCs w:val="21"/>
                <w:vertAlign w:val="subscript"/>
                <w:lang w:val="en-US" w:eastAsia="zh-CN"/>
              </w:rPr>
              <w:t>2.5</w:t>
            </w:r>
            <w:r>
              <w:rPr>
                <w:rFonts w:hint="eastAsia" w:ascii="Times New Roman" w:hAnsi="Times New Roman" w:eastAsia="仿宋_GB2312" w:cs="Times New Roman"/>
                <w:sz w:val="21"/>
                <w:szCs w:val="21"/>
                <w:vertAlign w:val="baseline"/>
                <w:lang w:val="en-US" w:eastAsia="zh-CN"/>
              </w:rPr>
              <w:t>、CO</w:t>
            </w:r>
            <w:r>
              <w:rPr>
                <w:rFonts w:hint="eastAsia" w:ascii="Times New Roman" w:hAnsi="Times New Roman" w:eastAsia="仿宋_GB2312" w:cs="Times New Roman"/>
                <w:sz w:val="21"/>
                <w:szCs w:val="21"/>
                <w:vertAlign w:val="subscript"/>
                <w:lang w:val="en-US" w:eastAsia="zh-CN"/>
              </w:rPr>
              <w:t>2</w:t>
            </w:r>
            <w:r>
              <w:rPr>
                <w:rFonts w:hint="eastAsia" w:ascii="Times New Roman" w:hAnsi="Times New Roman" w:eastAsia="仿宋_GB2312" w:cs="Times New Roman"/>
                <w:sz w:val="21"/>
                <w:szCs w:val="21"/>
                <w:vertAlign w:val="baseline"/>
                <w:lang w:val="en-US" w:eastAsia="zh-CN"/>
              </w:rPr>
              <w:t>浓度的空气质量监测系统，且具有存储至少一年的监测数据和实时显示等功能。</w:t>
            </w:r>
          </w:p>
        </w:tc>
        <w:tc>
          <w:tcPr>
            <w:tcW w:w="1691"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暖通、电气竣工图</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□传感器产品质量证明</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□系统调试记录</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□数据校核记录</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□试运转记录</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□系统说明书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□操作手册</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6.2.8</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设置用水远传计量系统、水质在线监测系统。</w:t>
            </w:r>
          </w:p>
        </w:tc>
        <w:tc>
          <w:tcPr>
            <w:tcW w:w="1691"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给排水、电气竣工图</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□计量监测装置产品质量证明</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□系统调试记录</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□数据校核记录</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□试运转记录</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□系统说明书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□操作手册</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6.2.9</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具有智能化服务系统。</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□建筑智能化服务系统深化图纸</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□说明书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□操作手册</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89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验收结论</w:t>
            </w:r>
          </w:p>
        </w:tc>
        <w:tc>
          <w:tcPr>
            <w:tcW w:w="6630" w:type="dxa"/>
            <w:gridSpan w:val="7"/>
            <w:vAlign w:val="center"/>
          </w:tcPr>
          <w:p>
            <w:pPr>
              <w:ind w:firstLine="480" w:firstLineChars="2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该项目生活便利指标验收控制项全部符合标准要求；得分项共验收</w:t>
            </w:r>
            <w:r>
              <w:rPr>
                <w:rFonts w:hint="eastAsia" w:ascii="仿宋_GB2312" w:hAnsi="仿宋_GB2312" w:eastAsia="仿宋_GB2312" w:cs="仿宋_GB2312"/>
                <w:sz w:val="24"/>
                <w:lang w:val="en-US" w:eastAsia="zh-CN"/>
              </w:rPr>
              <w:t xml:space="preserve">   项，总得分为    分，符合设计要求。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94" w:hRule="atLeast"/>
        </w:trPr>
        <w:tc>
          <w:tcPr>
            <w:tcW w:w="1896" w:type="dxa"/>
            <w:vMerge w:val="restart"/>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参加验收单位</w:t>
            </w: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建设单位</w:t>
            </w:r>
          </w:p>
        </w:tc>
        <w:tc>
          <w:tcPr>
            <w:tcW w:w="1656" w:type="dxa"/>
            <w:gridSpan w:val="2"/>
            <w:vAlign w:val="center"/>
          </w:tcPr>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设计单位</w:t>
            </w:r>
          </w:p>
          <w:p>
            <w:pPr>
              <w:jc w:val="center"/>
              <w:rPr>
                <w:rFonts w:hint="eastAsia" w:ascii="仿宋_GB2312" w:hAnsi="仿宋_GB2312" w:eastAsia="仿宋_GB2312" w:cs="仿宋_GB2312"/>
                <w:sz w:val="24"/>
              </w:rPr>
            </w:pPr>
          </w:p>
        </w:tc>
        <w:tc>
          <w:tcPr>
            <w:tcW w:w="1656"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监理单位</w:t>
            </w:r>
          </w:p>
        </w:tc>
        <w:tc>
          <w:tcPr>
            <w:tcW w:w="1658"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995" w:hRule="atLeast"/>
        </w:trPr>
        <w:tc>
          <w:tcPr>
            <w:tcW w:w="1896" w:type="dxa"/>
            <w:vMerge w:val="continue"/>
            <w:vAlign w:val="center"/>
          </w:tcPr>
          <w:p>
            <w:pPr>
              <w:jc w:val="center"/>
              <w:rPr>
                <w:rFonts w:hint="eastAsia" w:ascii="仿宋_GB2312" w:hAnsi="仿宋_GB2312" w:eastAsia="仿宋_GB2312" w:cs="仿宋_GB2312"/>
                <w:sz w:val="24"/>
                <w:lang w:val="en-US" w:eastAsia="zh-CN"/>
              </w:rPr>
            </w:pP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项目负责人</w:t>
            </w:r>
          </w:p>
        </w:tc>
        <w:tc>
          <w:tcPr>
            <w:tcW w:w="1656"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6"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8"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r>
    </w:tbl>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jc w:val="center"/>
        <w:rPr>
          <w:rFonts w:hint="eastAsia" w:ascii="仿宋_GB2312" w:hAnsi="仿宋_GB2312" w:eastAsia="仿宋_GB2312" w:cs="仿宋_GB2312"/>
          <w:b/>
          <w:bCs/>
          <w:sz w:val="28"/>
          <w:szCs w:val="36"/>
        </w:rPr>
      </w:pPr>
      <w:r>
        <w:rPr>
          <w:rFonts w:hint="eastAsia" w:ascii="仿宋_GB2312" w:hAnsi="仿宋_GB2312" w:eastAsia="仿宋_GB2312" w:cs="仿宋_GB2312"/>
          <w:b/>
          <w:bCs/>
          <w:sz w:val="28"/>
          <w:szCs w:val="36"/>
          <w:lang w:val="en-US" w:eastAsia="zh-CN"/>
        </w:rPr>
        <w:t>绿色建筑专项验收记录表4-</w:t>
      </w:r>
      <w:r>
        <w:rPr>
          <w:rFonts w:hint="eastAsia" w:ascii="仿宋_GB2312" w:hAnsi="仿宋_GB2312" w:eastAsia="仿宋_GB2312" w:cs="仿宋_GB2312"/>
          <w:b/>
          <w:bCs/>
          <w:sz w:val="28"/>
          <w:szCs w:val="36"/>
          <w:lang w:eastAsia="zh-CN"/>
        </w:rPr>
        <w:t>资源节约指标</w:t>
      </w:r>
    </w:p>
    <w:tbl>
      <w:tblPr>
        <w:tblStyle w:val="5"/>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656"/>
        <w:gridCol w:w="1602"/>
        <w:gridCol w:w="54"/>
        <w:gridCol w:w="1637"/>
        <w:gridCol w:w="19"/>
        <w:gridCol w:w="1658"/>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工程名称</w:t>
            </w:r>
          </w:p>
        </w:tc>
        <w:tc>
          <w:tcPr>
            <w:tcW w:w="6626" w:type="dxa"/>
            <w:gridSpan w:val="6"/>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建设单位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建筑面积</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设计单位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建筑类型</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施工单位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绿建星级</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监理单位</w:t>
            </w:r>
          </w:p>
        </w:tc>
        <w:tc>
          <w:tcPr>
            <w:tcW w:w="3258" w:type="dxa"/>
            <w:gridSpan w:val="2"/>
          </w:tcPr>
          <w:p>
            <w:pPr>
              <w:jc w:val="center"/>
              <w:rPr>
                <w:rFonts w:hint="default" w:ascii="Times New Roman" w:hAnsi="Times New Roman" w:eastAsia="仿宋_GB2312" w:cs="Times New Roman"/>
                <w:sz w:val="24"/>
              </w:rPr>
            </w:pPr>
          </w:p>
        </w:tc>
        <w:tc>
          <w:tcPr>
            <w:tcW w:w="1691" w:type="dxa"/>
            <w:gridSpan w:val="2"/>
            <w:vAlign w:val="center"/>
          </w:tcPr>
          <w:p>
            <w:pPr>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依据标准</w:t>
            </w:r>
          </w:p>
        </w:tc>
        <w:tc>
          <w:tcPr>
            <w:tcW w:w="1677" w:type="dxa"/>
            <w:gridSpan w:val="2"/>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对应GB/T50378-2019条文号</w:t>
            </w:r>
          </w:p>
        </w:tc>
        <w:tc>
          <w:tcPr>
            <w:tcW w:w="3258" w:type="dxa"/>
            <w:gridSpan w:val="2"/>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验收内容</w:t>
            </w:r>
          </w:p>
        </w:tc>
        <w:tc>
          <w:tcPr>
            <w:tcW w:w="1691"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核查资料</w:t>
            </w:r>
          </w:p>
        </w:tc>
        <w:tc>
          <w:tcPr>
            <w:tcW w:w="1677"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.1.1</w:t>
            </w:r>
          </w:p>
          <w:p>
            <w:pPr>
              <w:jc w:val="center"/>
              <w:rPr>
                <w:rFonts w:hint="eastAsia" w:ascii="仿宋_GB2312" w:hAnsi="仿宋_GB2312" w:eastAsia="仿宋_GB2312" w:cs="仿宋_GB2312"/>
                <w:sz w:val="21"/>
                <w:szCs w:val="21"/>
                <w:lang w:val="en-US" w:eastAsia="zh-CN"/>
              </w:rPr>
            </w:pP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应结合场地自然条件和建筑功能需求，对建筑的体形、平面布局、空间尺度、围护结构等进行节能设计，且应符合国家有关节能设计的要求。</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□建筑节能计算书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.1.2</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应采取措施降低部分负荷、部分空间使用下的供暖、空调系统能耗，并应符合下列规定：</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 应区分房间的朝向细分供暖、空调区域，并应对系统进行分区控制；</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 空调冷源的部分负荷性能系数（</w:t>
            </w:r>
            <w:r>
              <w:rPr>
                <w:rFonts w:hint="eastAsia" w:ascii="仿宋_GB2312" w:hAnsi="仿宋_GB2312" w:eastAsia="仿宋_GB2312" w:cs="仿宋_GB2312"/>
                <w:i/>
                <w:iCs/>
                <w:sz w:val="21"/>
                <w:szCs w:val="21"/>
                <w:lang w:val="en-US" w:eastAsia="zh-CN"/>
              </w:rPr>
              <w:t>IPLV</w:t>
            </w:r>
            <w:r>
              <w:rPr>
                <w:rFonts w:hint="eastAsia" w:ascii="仿宋_GB2312" w:hAnsi="仿宋_GB2312" w:eastAsia="仿宋_GB2312" w:cs="仿宋_GB2312"/>
                <w:sz w:val="21"/>
                <w:szCs w:val="21"/>
                <w:lang w:val="en-US" w:eastAsia="zh-CN"/>
              </w:rPr>
              <w:t>）、电冷源综合制冷性能系数（</w:t>
            </w:r>
            <w:r>
              <w:rPr>
                <w:rFonts w:hint="eastAsia" w:ascii="仿宋_GB2312" w:hAnsi="仿宋_GB2312" w:eastAsia="仿宋_GB2312" w:cs="仿宋_GB2312"/>
                <w:i/>
                <w:iCs/>
                <w:sz w:val="21"/>
                <w:szCs w:val="21"/>
                <w:lang w:val="en-US" w:eastAsia="zh-CN"/>
              </w:rPr>
              <w:t>SCOP</w:t>
            </w:r>
            <w:r>
              <w:rPr>
                <w:rFonts w:hint="eastAsia" w:ascii="仿宋_GB2312" w:hAnsi="仿宋_GB2312" w:eastAsia="仿宋_GB2312" w:cs="仿宋_GB2312"/>
                <w:sz w:val="21"/>
                <w:szCs w:val="21"/>
                <w:lang w:val="en-US" w:eastAsia="zh-CN"/>
              </w:rPr>
              <w:t>）应符合现行国家标准《公共建筑节能设计标准》GB50189的规定。</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□暖通竣工图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□部分负荷性能系数计算书</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□电冷源综合制冷性能系数计算书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.1.3</w:t>
            </w:r>
          </w:p>
          <w:p>
            <w:pPr>
              <w:jc w:val="center"/>
              <w:rPr>
                <w:rFonts w:hint="eastAsia" w:ascii="仿宋_GB2312" w:hAnsi="仿宋_GB2312" w:eastAsia="仿宋_GB2312" w:cs="仿宋_GB2312"/>
                <w:sz w:val="21"/>
                <w:szCs w:val="21"/>
                <w:lang w:eastAsia="zh-CN"/>
              </w:rPr>
            </w:pP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应根据建筑空间功能设置分区温度，合理降低室内过渡区空间的温度设定标准。</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□暖通竣工图</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.1.4</w:t>
            </w:r>
          </w:p>
          <w:p>
            <w:pPr>
              <w:jc w:val="center"/>
              <w:rPr>
                <w:rFonts w:hint="eastAsia" w:ascii="仿宋_GB2312" w:hAnsi="仿宋_GB2312" w:eastAsia="仿宋_GB2312" w:cs="仿宋_GB2312"/>
                <w:sz w:val="21"/>
                <w:szCs w:val="21"/>
              </w:rPr>
            </w:pPr>
          </w:p>
        </w:tc>
        <w:tc>
          <w:tcPr>
            <w:tcW w:w="3258" w:type="dxa"/>
            <w:gridSpan w:val="2"/>
            <w:vAlign w:val="center"/>
          </w:tcPr>
          <w:p>
            <w:p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主要功能房间的照明功率密度值不应高于现行国家标准《建筑照明设计标准》GB50034规定的现行值；公共区域的照明系统应采用分区、定时、感应等节能控制；采光区域的照明控制应独立于其他区域的照明控制。</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□照明系统节能性能检测报告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□照明控制系统影像资料</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.1.5</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冷热源、输配系统和照明等各部分能耗应进行独立分项计量。</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□电气竣工图</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rPr>
              <w:t>.1.6</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垂直电梯应采取群控、变频调速或能量反馈等节能措施；自动扶梯应采用变频感应启动等节能控制措施。</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□电梯节能控制影像资料</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产品型式检验报告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7.1.7</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应制定水资源利用方案，统筹利用各种水资源，并应符合下列规定：</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 应按使用用途、付费或管理单元，分别设置用水计量装置；</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 用水点处水压大于0.2MPa的配水支管应设置减压设施，并应满足给水配件最低工作压力的要求；</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 用水器具和设备应满足节水产品的要求。</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□给排水竣工图</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□用水计量装置影像资料</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□用水器具节水性能检测报告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□用水器具采用节水产品承诺书</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64" w:hRule="atLeast"/>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7.1.8</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不应采用建筑形体和布置严重不规则的建筑结构。</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□建筑形体规则性判定报告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7.1.9</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建筑造型要素应简约，应无大量装饰性构件，并应符合下列规定：</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 住宅建筑的装饰性构件造价占建筑总造价的比例不应大于2%;</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 公共建筑的装饰性构件造价占建筑总造价的比例不应大于1%。</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□装饰性构件造价计算书</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7.1.10</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选用的建筑材料应符合下列规定：</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1 500km以内生产的建筑材料重量占建筑材料总重量的比例应大于60%；</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 现浇混凝土应采用预拌混凝土，建筑砂浆应采用预拌砂浆。</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□预拌混凝土和预拌砂浆购买合同</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232" w:hRule="atLeast"/>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7.2.1</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节约集约利用土地。</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□用地指标计算书</w:t>
            </w:r>
          </w:p>
          <w:p>
            <w:pPr>
              <w:jc w:val="left"/>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7.2.2</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合理开发利用地下空间。</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□地下空间利用计算书</w:t>
            </w:r>
          </w:p>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7.2.3</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采用机械式停车设施、地下停车库或地面停车楼等方式。</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□地面停车率计算书</w:t>
            </w:r>
          </w:p>
          <w:p>
            <w:pPr>
              <w:jc w:val="left"/>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7.2.4</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优化建筑围护结构的热工性能。</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□建筑节能计算书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□供暖空调全年计算负荷分析报告</w:t>
            </w:r>
          </w:p>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7.2.5</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供暖空调系统的冷、热源机组能效由于现行国家标准《公共建筑节能设计标准》GB50189的规定以及现行有关国家标准能效限定值的要求。</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□冷热源机组产品说明书</w:t>
            </w:r>
          </w:p>
          <w:p>
            <w:pPr>
              <w:jc w:val="left"/>
              <w:rPr>
                <w:rFonts w:ascii="仿宋_GB2312" w:hAnsi="仿宋_GB2312" w:eastAsia="仿宋_GB2312" w:cs="仿宋_GB2312"/>
                <w:sz w:val="21"/>
                <w:szCs w:val="21"/>
              </w:rPr>
            </w:pPr>
            <w:r>
              <w:rPr>
                <w:rFonts w:ascii="仿宋_GB2312" w:hAnsi="仿宋_GB2312" w:eastAsia="仿宋_GB2312" w:cs="仿宋_GB2312"/>
                <w:sz w:val="21"/>
                <w:szCs w:val="21"/>
              </w:rPr>
              <w:t>□</w:t>
            </w:r>
            <w:r>
              <w:rPr>
                <w:rFonts w:hint="eastAsia" w:ascii="仿宋_GB2312" w:hAnsi="仿宋_GB2312" w:eastAsia="仿宋_GB2312" w:cs="仿宋_GB2312"/>
                <w:sz w:val="21"/>
                <w:szCs w:val="21"/>
              </w:rPr>
              <w:t>产品型式检验报告</w:t>
            </w:r>
          </w:p>
          <w:p>
            <w:pPr>
              <w:jc w:val="left"/>
              <w:rPr>
                <w:rFonts w:hint="eastAsia" w:ascii="仿宋_GB2312" w:hAnsi="仿宋_GB2312" w:eastAsia="仿宋_GB2312" w:cs="仿宋_GB2312"/>
                <w:kern w:val="2"/>
                <w:sz w:val="21"/>
                <w:szCs w:val="21"/>
                <w:lang w:val="en-US" w:eastAsia="zh-CN" w:bidi="ar-SA"/>
              </w:rPr>
            </w:pPr>
            <w:r>
              <w:rPr>
                <w:rFonts w:ascii="仿宋_GB2312" w:hAnsi="仿宋_GB2312" w:eastAsia="仿宋_GB2312" w:cs="仿宋_GB2312"/>
                <w:sz w:val="21"/>
                <w:szCs w:val="21"/>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7.2.6</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采用有效措施降低供暖空调系统的末端系统及输配系统的能耗。</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□风机、水泵产品型式检验报告</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□供暖通风空调系统能耗计算书</w:t>
            </w:r>
          </w:p>
          <w:p>
            <w:pPr>
              <w:jc w:val="left"/>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7.2.7</w:t>
            </w:r>
          </w:p>
        </w:tc>
        <w:tc>
          <w:tcPr>
            <w:tcW w:w="3258" w:type="dxa"/>
            <w:gridSpan w:val="2"/>
            <w:vAlign w:val="center"/>
          </w:tcPr>
          <w:p>
            <w:pPr>
              <w:jc w:val="left"/>
              <w:rPr>
                <w:rFonts w:hint="default" w:ascii="Times New Roman" w:hAnsi="Times New Roman" w:eastAsia="仿宋_GB2312" w:cs="Times New Roman"/>
                <w:sz w:val="21"/>
                <w:szCs w:val="21"/>
                <w:vertAlign w:val="baseline"/>
                <w:lang w:val="en-US" w:eastAsia="zh-CN"/>
              </w:rPr>
            </w:pPr>
            <w:r>
              <w:rPr>
                <w:rFonts w:hint="eastAsia" w:ascii="仿宋_GB2312" w:hAnsi="仿宋_GB2312" w:eastAsia="仿宋_GB2312" w:cs="仿宋_GB2312"/>
                <w:sz w:val="21"/>
                <w:szCs w:val="21"/>
                <w:lang w:val="en-US" w:eastAsia="zh-CN"/>
              </w:rPr>
              <w:t>采用节能型电气设备及节能控制措施。</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□照明功率密度现场检测报告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□产品型式检验报告</w:t>
            </w:r>
          </w:p>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7.2.8</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采取措施降低建筑能耗。</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□暖通空调能耗模拟计算书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□照明能耗模拟计算书</w:t>
            </w:r>
          </w:p>
          <w:p>
            <w:pPr>
              <w:jc w:val="left"/>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7.2.9</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结合当地气候和自然资源条件合理利用可再生能源。</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□可再生能源计算分析报告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□产品型式检验报告</w:t>
            </w:r>
          </w:p>
          <w:p>
            <w:pPr>
              <w:jc w:val="left"/>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7.2.10</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使用较高用水效率等级的卫生器具。</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□节水器具产品说明书</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□产品节水性能检测报告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□用水器具采用节水产品承诺书</w:t>
            </w:r>
          </w:p>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7.2.11</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绿化灌溉及空调冷却水系统采用节水设备或技术。</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□灌溉给水和电气控制竣工图</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□节水产品说明书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□空调冷却水水处理设备产品说明书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□产品节水性能检测报告</w:t>
            </w:r>
          </w:p>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7.2.12</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结合雨水综合利用设施营造室外景观水体，室外景观水体利用雨水的补水量大于水体蒸发量的60%，且采用保障水体水质的生态水处理技术。</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□景观竣工图</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□水景补水水量平衡计算书</w:t>
            </w:r>
          </w:p>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7.2.13</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使用非传统水源。</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□给水排水竣工图</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□水资源利用方案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□非传统水源利用计算书</w:t>
            </w:r>
          </w:p>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7.2.14</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建筑所有区域实施土建工程与装修工程一体化设计及施工。</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建筑</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电气</w:t>
            </w:r>
            <w:r>
              <w:rPr>
                <w:rFonts w:hint="eastAsia" w:ascii="仿宋_GB2312" w:hAnsi="仿宋_GB2312" w:eastAsia="仿宋_GB2312" w:cs="仿宋_GB2312"/>
                <w:sz w:val="21"/>
                <w:szCs w:val="21"/>
              </w:rPr>
              <w:t>、装修竣工图</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□验收报告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□施工过程记录</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□实景照片</w:t>
            </w:r>
          </w:p>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7.2.15</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合理选用建筑结构材料与构件。</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结构</w:t>
            </w:r>
            <w:r>
              <w:rPr>
                <w:rFonts w:hint="eastAsia" w:ascii="仿宋_GB2312" w:hAnsi="仿宋_GB2312" w:eastAsia="仿宋_GB2312" w:cs="仿宋_GB2312"/>
                <w:sz w:val="21"/>
                <w:szCs w:val="21"/>
              </w:rPr>
              <w:t>竣工图</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各类材料用量比例计算书</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各类高强材料购销合同、检测报告、进场记录</w:t>
            </w:r>
          </w:p>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7.2.16</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建筑装修选用工业化内装部品。</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□工业化内装部品用量比例计算书</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相关影响资料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7.2.17</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选用可再循环材料、可再利用材料及利废建材。</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可再循环材料、可再利用材料及利废建材用量比例计算书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相关材料购销合同、检测报告、进场记录</w:t>
            </w:r>
          </w:p>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7.2.18</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选用绿色建材。</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□建筑、</w:t>
            </w:r>
            <w:r>
              <w:rPr>
                <w:rFonts w:hint="eastAsia" w:ascii="仿宋_GB2312" w:hAnsi="仿宋_GB2312" w:eastAsia="仿宋_GB2312" w:cs="仿宋_GB2312"/>
                <w:sz w:val="21"/>
                <w:szCs w:val="21"/>
                <w:lang w:eastAsia="zh-CN"/>
              </w:rPr>
              <w:t>电气</w:t>
            </w:r>
            <w:r>
              <w:rPr>
                <w:rFonts w:hint="eastAsia" w:ascii="仿宋_GB2312" w:hAnsi="仿宋_GB2312" w:eastAsia="仿宋_GB2312" w:cs="仿宋_GB2312"/>
                <w:sz w:val="21"/>
                <w:szCs w:val="21"/>
              </w:rPr>
              <w:t>、装修竣工图</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□绿色建材应用比例计算分析报告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□产品性能检测报告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□绿色建材标识证书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□施工记录</w:t>
            </w:r>
          </w:p>
          <w:p>
            <w:p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89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验收结论</w:t>
            </w:r>
          </w:p>
        </w:tc>
        <w:tc>
          <w:tcPr>
            <w:tcW w:w="6630" w:type="dxa"/>
            <w:gridSpan w:val="7"/>
            <w:vAlign w:val="center"/>
          </w:tcPr>
          <w:p>
            <w:pPr>
              <w:ind w:firstLine="480" w:firstLineChars="2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该项目资源节约指标验收控制项全部符合标准要求；得分项共验收</w:t>
            </w:r>
            <w:r>
              <w:rPr>
                <w:rFonts w:hint="eastAsia" w:ascii="仿宋_GB2312" w:hAnsi="仿宋_GB2312" w:eastAsia="仿宋_GB2312" w:cs="仿宋_GB2312"/>
                <w:sz w:val="24"/>
                <w:lang w:val="en-US" w:eastAsia="zh-CN"/>
              </w:rPr>
              <w:t xml:space="preserve">   项，总得分为    分，符合设计要求。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94" w:hRule="atLeast"/>
        </w:trPr>
        <w:tc>
          <w:tcPr>
            <w:tcW w:w="1896" w:type="dxa"/>
            <w:vMerge w:val="restart"/>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参加验收单位</w:t>
            </w: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建设单位</w:t>
            </w:r>
          </w:p>
        </w:tc>
        <w:tc>
          <w:tcPr>
            <w:tcW w:w="1656" w:type="dxa"/>
            <w:gridSpan w:val="2"/>
            <w:vAlign w:val="center"/>
          </w:tcPr>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设计单位</w:t>
            </w:r>
          </w:p>
          <w:p>
            <w:pPr>
              <w:jc w:val="center"/>
              <w:rPr>
                <w:rFonts w:hint="eastAsia" w:ascii="仿宋_GB2312" w:hAnsi="仿宋_GB2312" w:eastAsia="仿宋_GB2312" w:cs="仿宋_GB2312"/>
                <w:sz w:val="24"/>
              </w:rPr>
            </w:pPr>
          </w:p>
        </w:tc>
        <w:tc>
          <w:tcPr>
            <w:tcW w:w="1656"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监理单位</w:t>
            </w:r>
          </w:p>
        </w:tc>
        <w:tc>
          <w:tcPr>
            <w:tcW w:w="1658"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995" w:hRule="atLeast"/>
        </w:trPr>
        <w:tc>
          <w:tcPr>
            <w:tcW w:w="1896" w:type="dxa"/>
            <w:vMerge w:val="continue"/>
            <w:vAlign w:val="center"/>
          </w:tcPr>
          <w:p>
            <w:pPr>
              <w:jc w:val="center"/>
              <w:rPr>
                <w:rFonts w:hint="eastAsia" w:ascii="仿宋_GB2312" w:hAnsi="仿宋_GB2312" w:eastAsia="仿宋_GB2312" w:cs="仿宋_GB2312"/>
                <w:sz w:val="24"/>
                <w:lang w:val="en-US" w:eastAsia="zh-CN"/>
              </w:rPr>
            </w:pP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项目负责人</w:t>
            </w:r>
          </w:p>
        </w:tc>
        <w:tc>
          <w:tcPr>
            <w:tcW w:w="1656"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6"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8"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r>
    </w:tbl>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rPr>
          <w:rFonts w:ascii="仿宋_GB2312" w:hAnsi="仿宋_GB2312" w:eastAsia="仿宋_GB2312" w:cs="仿宋_GB2312"/>
          <w:sz w:val="28"/>
          <w:szCs w:val="36"/>
        </w:rPr>
      </w:pPr>
    </w:p>
    <w:p>
      <w:pPr>
        <w:jc w:val="center"/>
        <w:rPr>
          <w:rFonts w:hint="eastAsia" w:ascii="仿宋_GB2312" w:hAnsi="仿宋_GB2312" w:eastAsia="仿宋_GB2312" w:cs="仿宋_GB2312"/>
          <w:b/>
          <w:bCs/>
          <w:sz w:val="28"/>
          <w:szCs w:val="36"/>
        </w:rPr>
      </w:pPr>
      <w:r>
        <w:rPr>
          <w:rFonts w:hint="eastAsia" w:ascii="仿宋_GB2312" w:hAnsi="仿宋_GB2312" w:eastAsia="仿宋_GB2312" w:cs="仿宋_GB2312"/>
          <w:b/>
          <w:bCs/>
          <w:sz w:val="28"/>
          <w:szCs w:val="36"/>
          <w:lang w:val="en-US" w:eastAsia="zh-CN"/>
        </w:rPr>
        <w:t>绿色建筑专项验收记录表5-</w:t>
      </w:r>
      <w:r>
        <w:rPr>
          <w:rFonts w:hint="eastAsia" w:ascii="仿宋_GB2312" w:hAnsi="仿宋_GB2312" w:eastAsia="仿宋_GB2312" w:cs="仿宋_GB2312"/>
          <w:b/>
          <w:bCs/>
          <w:sz w:val="28"/>
          <w:szCs w:val="36"/>
          <w:lang w:val="en-US" w:eastAsia="zh-CN"/>
        </w:rPr>
        <w:t>环境宜居</w:t>
      </w:r>
      <w:r>
        <w:rPr>
          <w:rFonts w:hint="eastAsia" w:ascii="仿宋_GB2312" w:hAnsi="仿宋_GB2312" w:eastAsia="仿宋_GB2312" w:cs="仿宋_GB2312"/>
          <w:b/>
          <w:bCs/>
          <w:sz w:val="28"/>
          <w:szCs w:val="36"/>
          <w:lang w:eastAsia="zh-CN"/>
        </w:rPr>
        <w:t>指标</w:t>
      </w:r>
    </w:p>
    <w:tbl>
      <w:tblPr>
        <w:tblStyle w:val="5"/>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1656"/>
        <w:gridCol w:w="1602"/>
        <w:gridCol w:w="54"/>
        <w:gridCol w:w="1637"/>
        <w:gridCol w:w="19"/>
        <w:gridCol w:w="1658"/>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工程名称</w:t>
            </w:r>
          </w:p>
        </w:tc>
        <w:tc>
          <w:tcPr>
            <w:tcW w:w="6626" w:type="dxa"/>
            <w:gridSpan w:val="6"/>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建设单位</w:t>
            </w:r>
          </w:p>
        </w:tc>
        <w:tc>
          <w:tcPr>
            <w:tcW w:w="3258" w:type="dxa"/>
            <w:gridSpan w:val="2"/>
          </w:tcPr>
          <w:p>
            <w:pPr>
              <w:jc w:val="center"/>
              <w:rPr>
                <w:rFonts w:hint="eastAsia" w:ascii="仿宋_GB2312" w:hAnsi="仿宋_GB2312" w:eastAsia="仿宋_GB2312" w:cs="仿宋_GB2312"/>
                <w:sz w:val="24"/>
              </w:rPr>
            </w:pPr>
            <w:bookmarkStart w:id="0" w:name="_GoBack"/>
            <w:bookmarkEnd w:id="0"/>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建筑面积</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设计单位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建筑类型</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施工单位</w:t>
            </w:r>
          </w:p>
        </w:tc>
        <w:tc>
          <w:tcPr>
            <w:tcW w:w="3258" w:type="dxa"/>
            <w:gridSpan w:val="2"/>
          </w:tcPr>
          <w:p>
            <w:pPr>
              <w:jc w:val="center"/>
              <w:rPr>
                <w:rFonts w:hint="eastAsia" w:ascii="仿宋_GB2312" w:hAnsi="仿宋_GB2312" w:eastAsia="仿宋_GB2312" w:cs="仿宋_GB2312"/>
                <w:sz w:val="24"/>
              </w:rPr>
            </w:pPr>
          </w:p>
        </w:tc>
        <w:tc>
          <w:tcPr>
            <w:tcW w:w="1691" w:type="dxa"/>
            <w:gridSpan w:val="2"/>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eastAsia="zh-CN"/>
              </w:rPr>
              <w:t>绿建星级</w:t>
            </w:r>
          </w:p>
        </w:tc>
        <w:tc>
          <w:tcPr>
            <w:tcW w:w="1677" w:type="dxa"/>
            <w:gridSpan w:val="2"/>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00" w:hRule="atLeast"/>
        </w:trPr>
        <w:tc>
          <w:tcPr>
            <w:tcW w:w="1896" w:type="dxa"/>
            <w:vAlign w:val="center"/>
          </w:tcPr>
          <w:p>
            <w:pPr>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监理单位</w:t>
            </w:r>
          </w:p>
        </w:tc>
        <w:tc>
          <w:tcPr>
            <w:tcW w:w="3258" w:type="dxa"/>
            <w:gridSpan w:val="2"/>
          </w:tcPr>
          <w:p>
            <w:pPr>
              <w:jc w:val="center"/>
              <w:rPr>
                <w:rFonts w:hint="default" w:ascii="Times New Roman" w:hAnsi="Times New Roman" w:eastAsia="仿宋_GB2312" w:cs="Times New Roman"/>
                <w:sz w:val="24"/>
              </w:rPr>
            </w:pPr>
          </w:p>
        </w:tc>
        <w:tc>
          <w:tcPr>
            <w:tcW w:w="1691" w:type="dxa"/>
            <w:gridSpan w:val="2"/>
            <w:vAlign w:val="center"/>
          </w:tcPr>
          <w:p>
            <w:pPr>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依据标准</w:t>
            </w:r>
          </w:p>
        </w:tc>
        <w:tc>
          <w:tcPr>
            <w:tcW w:w="1677" w:type="dxa"/>
            <w:gridSpan w:val="2"/>
          </w:tcPr>
          <w:p>
            <w:pPr>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对应GB/T50378-2019条文号</w:t>
            </w:r>
          </w:p>
        </w:tc>
        <w:tc>
          <w:tcPr>
            <w:tcW w:w="3258" w:type="dxa"/>
            <w:gridSpan w:val="2"/>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验收内容</w:t>
            </w:r>
          </w:p>
        </w:tc>
        <w:tc>
          <w:tcPr>
            <w:tcW w:w="1691"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核查资料</w:t>
            </w:r>
          </w:p>
        </w:tc>
        <w:tc>
          <w:tcPr>
            <w:tcW w:w="1677" w:type="dxa"/>
            <w:gridSpan w:val="2"/>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8.1.1</w:t>
            </w: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建筑规划布局应满足日照标准，且不得降低周边建筑的日照标准。</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□建筑竣工图</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□日照模拟分析报告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8.1.2</w:t>
            </w: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室外热环境应满足国家现行有关标准的要求。</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□场地热环境计算报告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8.1.3</w:t>
            </w: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配建的绿地应符合所在地城乡规划的要求，应合理选择绿化方式，植物种植应适应当地气候和土壤，且应无毒害、易维护，种植区域覆土深度和排水能力应满足植物生产需求，并应采用复层绿化方式。</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□景观竣工图</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8.1.4</w:t>
            </w:r>
          </w:p>
        </w:tc>
        <w:tc>
          <w:tcPr>
            <w:tcW w:w="3258" w:type="dxa"/>
            <w:gridSpan w:val="2"/>
            <w:vAlign w:val="center"/>
          </w:tcPr>
          <w:p>
            <w:pPr>
              <w:jc w:val="left"/>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lang w:eastAsia="zh-CN"/>
              </w:rPr>
              <w:t>场地的竖向设计应有利于雨水的收集或排放，应有效组织雨水的下渗、滞蓄或再利用；对大于</w:t>
            </w:r>
            <w:r>
              <w:rPr>
                <w:rFonts w:hint="eastAsia" w:ascii="仿宋_GB2312" w:hAnsi="仿宋_GB2312" w:eastAsia="仿宋_GB2312" w:cs="仿宋_GB2312"/>
                <w:sz w:val="21"/>
                <w:szCs w:val="21"/>
                <w:lang w:val="en-US" w:eastAsia="zh-CN"/>
              </w:rPr>
              <w:t>10</w:t>
            </w:r>
            <w:r>
              <w:rPr>
                <w:rFonts w:hint="default" w:ascii="Times New Roman" w:hAnsi="Times New Roman" w:eastAsia="仿宋_GB2312" w:cs="Times New Roman"/>
                <w:sz w:val="21"/>
                <w:szCs w:val="21"/>
                <w:lang w:val="en-US" w:eastAsia="zh-CN"/>
              </w:rPr>
              <w:t>hm</w:t>
            </w:r>
            <w:r>
              <w:rPr>
                <w:rFonts w:hint="default" w:ascii="Times New Roman" w:hAnsi="Times New Roman" w:eastAsia="仿宋_GB2312" w:cs="Times New Roman"/>
                <w:sz w:val="21"/>
                <w:szCs w:val="21"/>
                <w:vertAlign w:val="superscript"/>
                <w:lang w:val="en-US" w:eastAsia="zh-CN"/>
              </w:rPr>
              <w:t>2</w:t>
            </w:r>
            <w:r>
              <w:rPr>
                <w:rFonts w:hint="eastAsia" w:ascii="Times New Roman" w:hAnsi="Times New Roman" w:eastAsia="仿宋_GB2312" w:cs="Times New Roman"/>
                <w:sz w:val="21"/>
                <w:szCs w:val="21"/>
                <w:vertAlign w:val="baseline"/>
                <w:lang w:val="en-US" w:eastAsia="zh-CN"/>
              </w:rPr>
              <w:t>的场地应进行雨水控制利用专项设计。</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□给排水竣工图</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□年径流总量控制率计算书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□设计控制雨量计算书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8.1.5</w:t>
            </w: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建筑内外均应设置便于识别和使用的标识系统。</w:t>
            </w:r>
          </w:p>
        </w:tc>
        <w:tc>
          <w:tcPr>
            <w:tcW w:w="1691"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标识系统设计文件</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□建筑内外标识系统影像资料</w:t>
            </w:r>
          </w:p>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8.1.6</w:t>
            </w: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场地内不应有排放超标的污染源。</w:t>
            </w:r>
          </w:p>
        </w:tc>
        <w:tc>
          <w:tcPr>
            <w:tcW w:w="1691"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环评报告书（表）或环境影响自评估报告</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8.1.7</w:t>
            </w:r>
          </w:p>
        </w:tc>
        <w:tc>
          <w:tcPr>
            <w:tcW w:w="3258"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生活垃圾应分类收集，垃圾容器和收集点的设置应合理并应与周围景观协调。</w:t>
            </w:r>
          </w:p>
        </w:tc>
        <w:tc>
          <w:tcPr>
            <w:tcW w:w="1691" w:type="dxa"/>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□生活垃圾分类影像资料</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8.2.1</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充分保护或修复场地生态环境，合理布局建筑及景观</w:t>
            </w:r>
          </w:p>
        </w:tc>
        <w:tc>
          <w:tcPr>
            <w:tcW w:w="1691" w:type="dxa"/>
            <w:gridSpan w:val="2"/>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□相关影像资料</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677"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符合</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□不</w:t>
            </w:r>
            <w:r>
              <w:rPr>
                <w:rFonts w:hint="eastAsia" w:ascii="仿宋_GB2312" w:hAnsi="仿宋_GB2312" w:eastAsia="仿宋_GB2312" w:cs="仿宋_GB2312"/>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232" w:hRule="atLeast"/>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8.2.2</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规划场地地表和屋面雨水径流，对场地雨水实施外排总量控制</w:t>
            </w:r>
          </w:p>
        </w:tc>
        <w:tc>
          <w:tcPr>
            <w:tcW w:w="1691" w:type="dxa"/>
            <w:gridSpan w:val="2"/>
            <w:vAlign w:val="center"/>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CN"/>
              </w:rPr>
              <w:t>年径流总量控制率计算书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□设计控制雨量计算书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□场地雨水综合利用设施完工情况影像资料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8.2.3</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充分利用场地设置绿化用地</w:t>
            </w:r>
          </w:p>
        </w:tc>
        <w:tc>
          <w:tcPr>
            <w:tcW w:w="1691"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现场绿化实施情况影像资料</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□相关影像资料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8.2.4</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室外吸烟区位置布局合理</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8.2.5</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利用场地空间设置绿色雨水基础设施</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□绿地及透水铺装比例计算书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Pr>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8.2.6</w:t>
            </w:r>
          </w:p>
        </w:tc>
        <w:tc>
          <w:tcPr>
            <w:tcW w:w="3258" w:type="dxa"/>
            <w:gridSpan w:val="2"/>
            <w:vAlign w:val="center"/>
          </w:tcPr>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场地内的环境噪声优于现行国家标准《声环境质量标准》GB3096的要求</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Times New Roman" w:hAnsi="Times New Roman" w:eastAsia="仿宋" w:cs="Times New Roman"/>
                <w:sz w:val="21"/>
                <w:szCs w:val="21"/>
                <w:lang w:val="en-US" w:eastAsia="zh-CN"/>
              </w:rPr>
              <w:sym w:font="Wingdings 2" w:char="00A3"/>
            </w:r>
            <w:r>
              <w:rPr>
                <w:rFonts w:hint="eastAsia" w:ascii="仿宋_GB2312" w:hAnsi="仿宋_GB2312" w:eastAsia="仿宋_GB2312" w:cs="仿宋_GB2312"/>
                <w:sz w:val="21"/>
                <w:szCs w:val="21"/>
                <w:lang w:val="en-US" w:eastAsia="zh-CN"/>
              </w:rPr>
              <w:t>场地环境噪声检测报告</w:t>
            </w:r>
          </w:p>
          <w:p>
            <w:pPr>
              <w:jc w:val="left"/>
              <w:rPr>
                <w:rFonts w:hint="eastAsia" w:ascii="Times New Roman" w:hAnsi="Times New Roman" w:eastAsia="仿宋" w:cs="Times New Roman"/>
                <w:sz w:val="21"/>
                <w:szCs w:val="21"/>
                <w:lang w:val="en-US" w:eastAsia="zh-CN"/>
              </w:rPr>
            </w:pPr>
            <w:r>
              <w:rPr>
                <w:rFonts w:hint="eastAsia" w:ascii="仿宋_GB2312" w:hAnsi="仿宋_GB2312" w:eastAsia="仿宋_GB2312" w:cs="仿宋_GB2312"/>
                <w:sz w:val="21"/>
                <w:szCs w:val="21"/>
                <w:lang w:val="en-US" w:eastAsia="zh-CN"/>
              </w:rPr>
              <w:t>□</w:t>
            </w:r>
          </w:p>
        </w:tc>
        <w:tc>
          <w:tcPr>
            <w:tcW w:w="1677" w:type="dxa"/>
            <w:gridSpan w:val="2"/>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8.2.7</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建筑及照明设计避免产生光污染</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□玻璃幕墙光污染分析报告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□玻璃幕墙可见光反射比检测报告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□建筑立面照明竣工图纸</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□室外景观照明竣工图纸</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8.2.8</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场地内风环境有利于室外行走、活动舒适和建筑的自然通风</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□室外风环境模拟分析报告</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6" w:type="dxa"/>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8.2.9</w:t>
            </w:r>
          </w:p>
        </w:tc>
        <w:tc>
          <w:tcPr>
            <w:tcW w:w="3258"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采取措施降低热岛强度</w:t>
            </w:r>
          </w:p>
        </w:tc>
        <w:tc>
          <w:tcPr>
            <w:tcW w:w="1691" w:type="dxa"/>
            <w:gridSpan w:val="2"/>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□景观竣工图</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□户外活动场地遮荫面积比例计算书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□相关影像资料</w:t>
            </w:r>
          </w:p>
          <w:p>
            <w:pPr>
              <w:jc w:val="lef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w:t>
            </w:r>
          </w:p>
        </w:tc>
        <w:tc>
          <w:tcPr>
            <w:tcW w:w="1681" w:type="dxa"/>
            <w:gridSpan w:val="3"/>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得分：</w:t>
            </w:r>
          </w:p>
          <w:p>
            <w:pPr>
              <w:jc w:val="both"/>
              <w:rPr>
                <w:rFonts w:hint="default" w:ascii="仿宋_GB2312" w:hAnsi="仿宋_GB2312" w:eastAsia="仿宋_GB2312" w:cs="仿宋_GB2312"/>
                <w:sz w:val="21"/>
                <w:szCs w:val="21"/>
                <w:lang w:val="en-US"/>
              </w:rPr>
            </w:pP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lang w:val="en-US" w:eastAsia="zh-CN"/>
              </w:rPr>
              <w:t>符合</w:t>
            </w:r>
          </w:p>
          <w:p>
            <w:p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89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验收结论</w:t>
            </w:r>
          </w:p>
        </w:tc>
        <w:tc>
          <w:tcPr>
            <w:tcW w:w="6630" w:type="dxa"/>
            <w:gridSpan w:val="7"/>
            <w:vAlign w:val="center"/>
          </w:tcPr>
          <w:p>
            <w:pPr>
              <w:ind w:firstLine="480" w:firstLineChars="20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eastAsia="zh-CN"/>
              </w:rPr>
              <w:t>该项目</w:t>
            </w:r>
            <w:r>
              <w:rPr>
                <w:rFonts w:hint="eastAsia" w:ascii="仿宋_GB2312" w:hAnsi="仿宋_GB2312" w:eastAsia="仿宋_GB2312" w:cs="仿宋_GB2312"/>
                <w:sz w:val="24"/>
                <w:lang w:val="en-US" w:eastAsia="zh-CN"/>
              </w:rPr>
              <w:t>环境宜居</w:t>
            </w:r>
            <w:r>
              <w:rPr>
                <w:rFonts w:hint="eastAsia" w:ascii="仿宋_GB2312" w:hAnsi="仿宋_GB2312" w:eastAsia="仿宋_GB2312" w:cs="仿宋_GB2312"/>
                <w:sz w:val="24"/>
                <w:lang w:eastAsia="zh-CN"/>
              </w:rPr>
              <w:t>指标验收控制项全部符合标准要求；得分项共验收</w:t>
            </w:r>
            <w:r>
              <w:rPr>
                <w:rFonts w:hint="eastAsia" w:ascii="仿宋_GB2312" w:hAnsi="仿宋_GB2312" w:eastAsia="仿宋_GB2312" w:cs="仿宋_GB2312"/>
                <w:sz w:val="24"/>
                <w:lang w:val="en-US" w:eastAsia="zh-CN"/>
              </w:rPr>
              <w:t xml:space="preserve">   项，总得分为    分，符合设计要求。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94" w:hRule="atLeast"/>
        </w:trPr>
        <w:tc>
          <w:tcPr>
            <w:tcW w:w="1896" w:type="dxa"/>
            <w:vMerge w:val="restart"/>
            <w:vAlign w:val="center"/>
          </w:tcPr>
          <w:p>
            <w:pPr>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参加验收单位</w:t>
            </w: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建设单位</w:t>
            </w:r>
          </w:p>
        </w:tc>
        <w:tc>
          <w:tcPr>
            <w:tcW w:w="1656" w:type="dxa"/>
            <w:gridSpan w:val="2"/>
            <w:vAlign w:val="center"/>
          </w:tcPr>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设计单位</w:t>
            </w:r>
          </w:p>
          <w:p>
            <w:pPr>
              <w:jc w:val="center"/>
              <w:rPr>
                <w:rFonts w:hint="eastAsia" w:ascii="仿宋_GB2312" w:hAnsi="仿宋_GB2312" w:eastAsia="仿宋_GB2312" w:cs="仿宋_GB2312"/>
                <w:sz w:val="24"/>
              </w:rPr>
            </w:pPr>
          </w:p>
        </w:tc>
        <w:tc>
          <w:tcPr>
            <w:tcW w:w="1656"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监理单位</w:t>
            </w:r>
          </w:p>
        </w:tc>
        <w:tc>
          <w:tcPr>
            <w:tcW w:w="1658"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995" w:hRule="atLeast"/>
        </w:trPr>
        <w:tc>
          <w:tcPr>
            <w:tcW w:w="1896" w:type="dxa"/>
            <w:vMerge w:val="continue"/>
            <w:vAlign w:val="center"/>
          </w:tcPr>
          <w:p>
            <w:pPr>
              <w:jc w:val="center"/>
              <w:rPr>
                <w:rFonts w:hint="eastAsia" w:ascii="仿宋_GB2312" w:hAnsi="仿宋_GB2312" w:eastAsia="仿宋_GB2312" w:cs="仿宋_GB2312"/>
                <w:sz w:val="24"/>
                <w:lang w:val="en-US" w:eastAsia="zh-CN"/>
              </w:rPr>
            </w:pPr>
          </w:p>
        </w:tc>
        <w:tc>
          <w:tcPr>
            <w:tcW w:w="1656"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项目负责人</w:t>
            </w:r>
          </w:p>
        </w:tc>
        <w:tc>
          <w:tcPr>
            <w:tcW w:w="1656"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6" w:type="dxa"/>
            <w:gridSpan w:val="2"/>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c>
          <w:tcPr>
            <w:tcW w:w="1658" w:type="dxa"/>
            <w:vAlign w:val="center"/>
          </w:tcPr>
          <w:p>
            <w:pPr>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（公章）</w:t>
            </w:r>
          </w:p>
          <w:p>
            <w:pPr>
              <w:jc w:val="center"/>
              <w:rPr>
                <w:rFonts w:hint="eastAsia" w:ascii="仿宋_GB2312" w:hAnsi="仿宋_GB2312" w:eastAsia="仿宋_GB2312" w:cs="仿宋_GB2312"/>
                <w:sz w:val="24"/>
                <w:lang w:val="en-US" w:eastAsia="zh-CN"/>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项目负责人</w:t>
            </w:r>
          </w:p>
        </w:tc>
      </w:tr>
    </w:tbl>
    <w:p>
      <w:pPr>
        <w:rPr>
          <w:rFonts w:ascii="仿宋_GB2312" w:hAnsi="仿宋_GB2312" w:eastAsia="仿宋_GB2312" w:cs="仿宋_GB2312"/>
          <w:sz w:val="28"/>
          <w:szCs w:val="36"/>
        </w:rPr>
      </w:pPr>
    </w:p>
    <w:p>
      <w:pPr>
        <w:rPr>
          <w:rFonts w:ascii="仿宋_GB2312" w:hAnsi="仿宋_GB2312" w:eastAsia="仿宋_GB2312" w:cs="仿宋_GB2312"/>
          <w:sz w:val="28"/>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62DA89"/>
    <w:multiLevelType w:val="singleLevel"/>
    <w:tmpl w:val="7162DA8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lOWU0NTdkYjQwZWZkNzE3ZTU1ODM4Y2RjMmY2NmUifQ=="/>
  </w:docVars>
  <w:rsids>
    <w:rsidRoot w:val="00FE4345"/>
    <w:rsid w:val="0073709C"/>
    <w:rsid w:val="00E54393"/>
    <w:rsid w:val="00FE4345"/>
    <w:rsid w:val="019C66C4"/>
    <w:rsid w:val="0B955598"/>
    <w:rsid w:val="0E4B22D1"/>
    <w:rsid w:val="11D23D71"/>
    <w:rsid w:val="18510AEB"/>
    <w:rsid w:val="18CC648A"/>
    <w:rsid w:val="1F2E4FA0"/>
    <w:rsid w:val="1F9A2BDE"/>
    <w:rsid w:val="230711DE"/>
    <w:rsid w:val="2B0E1A0D"/>
    <w:rsid w:val="2FBE036A"/>
    <w:rsid w:val="3D0F66A9"/>
    <w:rsid w:val="3DFB09DB"/>
    <w:rsid w:val="3E2E2B5F"/>
    <w:rsid w:val="3F2B4494"/>
    <w:rsid w:val="40D52EBA"/>
    <w:rsid w:val="45FE72BB"/>
    <w:rsid w:val="4FA340D4"/>
    <w:rsid w:val="51B74A17"/>
    <w:rsid w:val="53D32120"/>
    <w:rsid w:val="541303D5"/>
    <w:rsid w:val="57AA2DFF"/>
    <w:rsid w:val="59486D73"/>
    <w:rsid w:val="5EF34FFB"/>
    <w:rsid w:val="60743317"/>
    <w:rsid w:val="61003189"/>
    <w:rsid w:val="6BFF1513"/>
    <w:rsid w:val="6DDE0E28"/>
    <w:rsid w:val="7030782D"/>
    <w:rsid w:val="70553DF8"/>
    <w:rsid w:val="724A6091"/>
    <w:rsid w:val="78747CA5"/>
    <w:rsid w:val="7C5FA9FE"/>
    <w:rsid w:val="7D3C5330"/>
    <w:rsid w:val="7F9E4E03"/>
    <w:rsid w:val="BFDFF9E3"/>
    <w:rsid w:val="D6FC1ED3"/>
    <w:rsid w:val="FBBC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21</Pages>
  <Words>8212</Words>
  <Characters>8903</Characters>
  <Lines>3</Lines>
  <Paragraphs>1</Paragraphs>
  <TotalTime>1</TotalTime>
  <ScaleCrop>false</ScaleCrop>
  <LinksUpToDate>false</LinksUpToDate>
  <CharactersWithSpaces>9000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2022-01-19T03:45:00Z</dcterms:created>
  <dc:creator>hp</dc:creator>
  <cp:lastModifiedBy>fm2020zjj054</cp:lastModifiedBy>
  <dcterms:modified xsi:type="dcterms:W3CDTF">2023-02-23T15:34:18Z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05F460C8FF84487B899A649A60DB2B3A</vt:lpwstr>
  </property>
</Properties>
</file>