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</w:pPr>
      <w:bookmarkStart w:id="0" w:name="_Toc79701152"/>
      <w:bookmarkStart w:id="64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val="en-US" w:eastAsia="zh-CN"/>
        </w:rPr>
        <w:t xml:space="preserve">第一章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 xml:space="preserve"> </w:t>
      </w:r>
      <w:bookmarkStart w:id="1" w:name="_Toc88"/>
      <w:bookmarkStart w:id="2" w:name="_Toc17999"/>
      <w:bookmarkStart w:id="3" w:name="_Toc19001"/>
      <w:bookmarkStart w:id="4" w:name="_Toc92179944"/>
      <w:bookmarkStart w:id="5" w:name="_Toc28161"/>
      <w:bookmarkStart w:id="6" w:name="_Toc20812"/>
      <w:bookmarkStart w:id="7" w:name="_Toc27180"/>
      <w:bookmarkStart w:id="8" w:name="_Toc3684"/>
      <w:bookmarkStart w:id="9" w:name="_Toc7849"/>
      <w:bookmarkStart w:id="10" w:name="_Toc2500"/>
      <w:bookmarkStart w:id="11" w:name="_Toc26162"/>
      <w:bookmarkStart w:id="12" w:name="_Toc31974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现状形势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bookmarkEnd w:id="64"/>
    <w:p>
      <w:pPr>
        <w:pStyle w:val="4"/>
        <w:numPr>
          <w:ilvl w:val="1"/>
          <w:numId w:val="0"/>
        </w:numPr>
        <w:shd w:val="clear" w:color="auto" w:fill="auto"/>
        <w:ind w:left="640" w:leftChars="0"/>
        <w:rPr>
          <w:rFonts w:hint="eastAsia" w:ascii="楷体" w:hAnsi="楷体"/>
          <w:color w:val="auto"/>
          <w:highlight w:val="none"/>
          <w:u w:val="single"/>
          <w:lang w:val="en-US" w:eastAsia="zh-CN"/>
        </w:rPr>
      </w:pPr>
      <w:bookmarkStart w:id="13" w:name="_Toc17096"/>
      <w:bookmarkStart w:id="14" w:name="_Toc7199"/>
      <w:bookmarkStart w:id="15" w:name="_Toc28210"/>
      <w:bookmarkStart w:id="16" w:name="_Toc15844"/>
      <w:bookmarkStart w:id="17" w:name="_Toc3534"/>
      <w:bookmarkStart w:id="18" w:name="_Toc9068"/>
      <w:bookmarkStart w:id="19" w:name="_Toc92179945"/>
      <w:bookmarkStart w:id="20" w:name="_Toc6775"/>
      <w:bookmarkStart w:id="21" w:name="_Toc25295"/>
      <w:bookmarkStart w:id="22" w:name="_Toc5470"/>
      <w:bookmarkStart w:id="23" w:name="_Toc30261"/>
      <w:bookmarkStart w:id="24" w:name="_Toc13191"/>
      <w:bookmarkStart w:id="25" w:name="_Toc3013"/>
      <w:r>
        <w:rPr>
          <w:rFonts w:hint="eastAsia" w:ascii="楷体" w:hAnsi="楷体"/>
          <w:color w:val="auto"/>
          <w:highlight w:val="none"/>
          <w:lang w:val="en-US" w:eastAsia="zh-CN"/>
        </w:rPr>
        <w:t>一、</w:t>
      </w:r>
      <w:r>
        <w:rPr>
          <w:rFonts w:hint="eastAsia" w:ascii="楷体" w:hAnsi="楷体"/>
          <w:color w:val="auto"/>
          <w:highlight w:val="none"/>
        </w:rPr>
        <w:t>发展现状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>
      <w:pPr>
        <w:adjustRightInd w:val="0"/>
        <w:snapToGrid w:val="0"/>
        <w:spacing w:line="560" w:lineRule="exact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/>
        </w:rPr>
      </w:pPr>
      <w:bookmarkStart w:id="26" w:name="_Toc16364"/>
      <w:bookmarkStart w:id="27" w:name="_Toc92179946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全面衔接北京市智慧城市建设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划和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实施要求的基础上，大兴区智慧城市建设始终立足于市民、企业和政府的智慧化需求，在信息基础设施建设、民生服务、城市治理、产业经济、生态宜居等方面取得了显著成效，形成了“一云两平台+N应用”智慧城市总体框架，以筑基为核心的智慧城市1.0建设已基本完成，为全面迈向智慧城市2.0奠定了坚实的基础。</w:t>
      </w:r>
    </w:p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b w:val="0"/>
          <w:bCs w:val="0"/>
          <w:color w:val="auto"/>
          <w:highlight w:val="none"/>
        </w:rPr>
      </w:pPr>
      <w:bookmarkStart w:id="28" w:name="_Toc6205"/>
      <w:bookmarkStart w:id="29" w:name="_Hlk50554667"/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（一）找差距、补短板，城市数字底座基本建成</w:t>
      </w:r>
      <w:bookmarkEnd w:id="28"/>
    </w:p>
    <w:p>
      <w:pPr>
        <w:pStyle w:val="6"/>
        <w:numPr>
          <w:ilvl w:val="3"/>
          <w:numId w:val="0"/>
        </w:numPr>
        <w:bidi w:val="0"/>
        <w:ind w:leftChars="200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1.城市物联感知体系逐步完善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城市影像感知能力不断提升，全区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各类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视频监控3万余路，基本实现辖区道路及重点场所监控全覆盖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全区统一的视频资源共享平台，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联网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整合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及社会单位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万路视频监控资源，为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全区各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部门提供视频资源共享服务。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城市脉博感知能力得到加强，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建设覆盖智慧灯杆、消防栓、易涝点、空气质量检测、煤改清洁能源监测等数十类感知设备近13万套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建成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大兴区物联网资源服务平台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区内各领域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Hans"/>
        </w:rPr>
        <w:t>30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多种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传感设备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的统一接入管理、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标识寻址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</w:rPr>
        <w:t>数据标准化处理</w:t>
      </w:r>
      <w:r>
        <w:rPr>
          <w:rFonts w:hint="eastAsia" w:ascii="仿宋_GB2312" w:hAnsi="仿宋_GB2312" w:eastAsia="仿宋_GB2312" w:cs="仿宋_GB2312"/>
          <w:color w:val="auto"/>
          <w:szCs w:val="32"/>
          <w:highlight w:val="none"/>
          <w:lang w:eastAsia="zh-CN"/>
        </w:rPr>
        <w:t>。</w:t>
      </w:r>
    </w:p>
    <w:p>
      <w:pPr>
        <w:pStyle w:val="6"/>
        <w:numPr>
          <w:ilvl w:val="3"/>
          <w:numId w:val="0"/>
        </w:numPr>
        <w:bidi w:val="0"/>
        <w:ind w:leftChars="200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2.城市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  <w:t>基础通信网络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持续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  <w:t>优化</w:t>
      </w:r>
    </w:p>
    <w:p>
      <w:pPr>
        <w:pStyle w:val="10"/>
        <w:numPr>
          <w:ilvl w:val="0"/>
          <w:numId w:val="0"/>
        </w:numPr>
        <w:spacing w:after="0"/>
        <w:ind w:firstLine="640" w:firstLineChars="200"/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全区宽带光纤网络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改造完成，实现全区光纤网络100%覆盖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，以及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“千兆到户，万兆到楼”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接入能力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5G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eastAsia="zh-Hans"/>
        </w:rPr>
        <w:t>网络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逐步拓展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累计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5G基站2466个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大兴国际机场、新媒体基地等重点区域5G信号精准覆盖。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政务外网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持续优化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，形成双汇聚、双核心、双链路、多节点及核心冗余的环网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实现了区、镇(街)、村(社区)三级政务网全覆盖，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全区政务公共服务区域无线网络全覆盖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全区物联专网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建成，实现公安、民防、园林、教育等视频网络并网运行，为全区物联感知设备提供基础网络。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行业专网持续升级，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eastAsia="zh-Hans"/>
        </w:rPr>
        <w:t>教育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专网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万兆骨干、千兆到学校，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联网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接入单位达到216个，基本实现宽带网络校校通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6"/>
        <w:numPr>
          <w:ilvl w:val="3"/>
          <w:numId w:val="0"/>
        </w:numPr>
        <w:bidi w:val="0"/>
        <w:ind w:leftChars="200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3.政务云服务体系已初步建成</w:t>
      </w:r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建成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Hans"/>
        </w:rPr>
        <w:t>大兴区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统一的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Hans"/>
        </w:rPr>
        <w:t>政务云平台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，为各单位业务系统部署提供计算、存储、网络、安全等云服务，用户云主机800多台，累计服务单位37家，入云系统60个；开展政务云日常运维监管、云平台漏洞扫描、云平台渗透测试、隐患排查、应急演练等一系列安全监管工作，确保各单位入云系统安全可靠、稳定运行。教育云平台持续扩容升级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Hans"/>
        </w:rPr>
        <w:t>虚拟服务器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达到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Hans"/>
        </w:rPr>
        <w:t>400余台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，为全区教育信息化提供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Hans"/>
        </w:rPr>
        <w:t>集中统一的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云端部署及管理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Hans"/>
        </w:rPr>
        <w:t>。</w:t>
      </w:r>
    </w:p>
    <w:p>
      <w:pPr>
        <w:pStyle w:val="6"/>
        <w:numPr>
          <w:ilvl w:val="3"/>
          <w:numId w:val="0"/>
        </w:numPr>
        <w:bidi w:val="0"/>
        <w:ind w:leftChars="200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highlight w:val="none"/>
        </w:rPr>
        <w:t>数据整合共享力度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highlight w:val="none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highlight w:val="none"/>
        </w:rPr>
        <w:t>加大</w:t>
      </w:r>
    </w:p>
    <w:p>
      <w:pPr>
        <w:adjustRightInd w:val="0"/>
        <w:snapToGrid w:val="0"/>
        <w:spacing w:line="560" w:lineRule="exact"/>
        <w:jc w:val="left"/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建成区级大数据平台，持续推动数据资源汇聚，已实现全区44家单位、5081项数据资源目录上链工作；建立和完善人口、法人两大基础库，汇聚人口数据181万条、法人数据14.4万条；形成城市运行主题库和信用主题库，汇聚城市运行数据211万条和信用数据6万条。建成全区时空信息平台，采集兴趣点数据24类5.6万条、地名地址数据18万条、三维倾斜摄影135平方公里、专题图层251个，为18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单位27个平台提供地图服务。联通市大数据平台，共享市级11个部门2.14亿条数据；基于手机信令数据，为全区人口监测、疫情防控等提供数据服务和支撑。</w:t>
      </w:r>
    </w:p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  <w:bookmarkStart w:id="30" w:name="_Toc24833"/>
      <w:r>
        <w:rPr>
          <w:rFonts w:hint="eastAsia" w:cs="Times New Roman"/>
          <w:b w:val="0"/>
          <w:bCs w:val="0"/>
          <w:color w:val="auto"/>
          <w:highlight w:val="none"/>
          <w:lang w:val="en-US" w:eastAsia="zh-CN"/>
        </w:rPr>
        <w:t>（二）</w:t>
      </w:r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推改革、促创新，惠民利企服务不断</w:t>
      </w:r>
      <w:bookmarkEnd w:id="30"/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升级</w:t>
      </w:r>
    </w:p>
    <w:p>
      <w:pPr>
        <w:pStyle w:val="6"/>
        <w:numPr>
          <w:ilvl w:val="3"/>
          <w:numId w:val="0"/>
        </w:numPr>
        <w:bidi w:val="0"/>
        <w:ind w:leftChars="200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1.初步形成跨部门公共服务框架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auto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建成大兴区公共服务平台，作为全区政务服务和公共服务资源的通用基础平台，提供跨部门的公共服务框架。依托该平台汇聚全区350个政务服务资源和12个公共服务资源，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Hans"/>
        </w:rPr>
        <w:t>并通过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Hans"/>
        </w:rPr>
        <w:t>北京大兴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Hans"/>
        </w:rPr>
        <w:t>APP为市民提供基于一站式、广覆盖、多渠道的便捷公共服务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Hans"/>
        </w:rPr>
        <w:t>解决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政务服务和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Hans"/>
        </w:rPr>
        <w:t>公共服务资源分散、数据壁垒、业务割裂等问题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Hans"/>
        </w:rPr>
        <w:t>提高了支撑便民、惠企、政府效能提升的公共服务建设和“一网通办、全程网办”的政务事项办理能力。</w:t>
      </w:r>
    </w:p>
    <w:p>
      <w:pPr>
        <w:pStyle w:val="6"/>
        <w:numPr>
          <w:ilvl w:val="3"/>
          <w:numId w:val="0"/>
        </w:numPr>
        <w:bidi w:val="0"/>
        <w:ind w:leftChars="200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  <w:t>“互联网+”政务服务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提档升级</w:t>
      </w:r>
    </w:p>
    <w:p>
      <w:pPr>
        <w:ind w:firstLine="726" w:firstLineChars="0"/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基本建成区、镇街、村(社区)三级政务服务接件受理体系，依托综合窗口三级联动平台，实现区级政务服务事项“一窗办”。建成区级电子证照分发中心，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highlight w:val="none"/>
          <w:lang w:val="en-US" w:eastAsia="zh-CN"/>
        </w:rPr>
        <w:t>支持与市级证照库的对接，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依托区块链技术，实现电子证照与居民人脸信息的关联，实现7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highlight w:val="none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服务事项可直接刷脸办理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22"/>
          <w:highlight w:val="none"/>
          <w:lang w:val="en-US" w:eastAsia="zh-CN"/>
        </w:rPr>
        <w:t>，减少纸质材料比例约18%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。完善推广“北京大兴”APP，1713个区级政务服务事项、1619个镇街政务服务事项、7项主题化办事指南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highlight w:val="none"/>
          <w:lang w:eastAsia="zh-CN"/>
        </w:rPr>
        <w:t>实现移动端在线办理、查询，“指尖办”服务水平大幅提升。</w:t>
      </w:r>
    </w:p>
    <w:p>
      <w:pPr>
        <w:pStyle w:val="6"/>
        <w:numPr>
          <w:ilvl w:val="3"/>
          <w:numId w:val="0"/>
        </w:numPr>
        <w:bidi w:val="0"/>
        <w:ind w:leftChars="200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3.公共服务更加普惠便捷</w:t>
      </w:r>
    </w:p>
    <w:p>
      <w:pPr>
        <w:adjustRightInd w:val="0"/>
        <w:snapToGrid w:val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t>建成人口健康、数字教育和数字文化馆等项目，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提升了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卫生、教育、文化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就业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资源的便捷化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均等化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水平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。人口健康信息平台建设完成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，建立了以居民电子健康档案、电子病历、全员人口库三大数据库为核心的数据中心，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实现医疗资源高度共享，提升医院综合管理水平。教育数字平台建成上线，推进远程协同教育教学与在线资源共享，创新“线下+线上”相结合的教学模式。数字文化馆建设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一期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初步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实现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区</w:t>
      </w:r>
      <w:r>
        <w:rPr>
          <w:rFonts w:hint="eastAsia" w:ascii="仿宋_GB2312" w:hAnsi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>部分镇、部分村三级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文化馆资源采集、管理、体验、展示等应用。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全区就业信息服务平台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满足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企业快速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精准获取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人才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的需求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有效保证了新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机场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新冠肺炎影响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复工复产等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方面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就业形势稳定。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“两镇一街”智慧养老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点建设，建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成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养老服务信息管理系统，实现镇街养老机构日常运营监管及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养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老服务商统一管理，为建立全区统一的智慧养老系统奠定基础。</w:t>
      </w:r>
    </w:p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  <w:bookmarkStart w:id="31" w:name="_Toc4111"/>
      <w:r>
        <w:rPr>
          <w:rFonts w:hint="eastAsia" w:cs="Times New Roman"/>
          <w:b w:val="0"/>
          <w:bCs w:val="0"/>
          <w:color w:val="auto"/>
          <w:highlight w:val="none"/>
          <w:lang w:val="en-US" w:eastAsia="zh-CN"/>
        </w:rPr>
        <w:t>（三）</w:t>
      </w:r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抓治理、保和谐，城市治理能力持续提升</w:t>
      </w:r>
      <w:bookmarkEnd w:id="31"/>
    </w:p>
    <w:bookmarkEnd w:id="29"/>
    <w:p>
      <w:pPr>
        <w:pStyle w:val="6"/>
        <w:numPr>
          <w:ilvl w:val="3"/>
          <w:numId w:val="0"/>
        </w:numPr>
        <w:bidi w:val="0"/>
        <w:ind w:leftChars="200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</w:pPr>
      <w:bookmarkStart w:id="32" w:name="_Toc10664"/>
      <w:bookmarkStart w:id="33" w:name="_Toc5287"/>
      <w:bookmarkStart w:id="34" w:name="_Toc9464"/>
      <w:bookmarkStart w:id="35" w:name="_Toc778"/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22"/>
          <w:highlight w:val="none"/>
          <w:lang w:val="en-US" w:eastAsia="zh-CN" w:bidi="ar-SA"/>
        </w:rPr>
        <w:t>1.初步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构建跨部门协同治理框架</w:t>
      </w:r>
    </w:p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建成大兴区城市运行管理平台，作为领导驾驶舱核心工具，提供对城市要素的监测预警、辅助决策、协调分转、调度指挥服务，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网格、气象、环保、视频监控、物联网设备等27类实时数据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81个业务系统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接入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，初步实现城市运行态势感知和实时监测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综治维稳、接诉即办、经济运行、卫生健康、政务服务、产业发展等15个应用场景建设，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创新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“平急结合”运作模式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各级领导科学决策和调度指挥提供有力支撑，提升了跨部门协同治理服务水平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。</w:t>
      </w:r>
    </w:p>
    <w:p>
      <w:pPr>
        <w:pStyle w:val="6"/>
        <w:numPr>
          <w:ilvl w:val="3"/>
          <w:numId w:val="0"/>
        </w:numPr>
        <w:bidi w:val="0"/>
        <w:ind w:leftChars="200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2.交通治理能力持续提升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完成大兴、亦庄、新航城三城交通联络线的170个路口交通信号控制设备智能化改造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对现有道路交通信号控制平台进行智能化升级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交通拥堵得到有效缓解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。建成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公交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监控调度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指挥平台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，实现对全区73个公交场站、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600台公交车及300台出租车实时监控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调度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公共交通服务水平及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群众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满意度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显著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对各级道路两侧59处停车诱导屏进行</w:t>
      </w:r>
      <w:r>
        <w:rPr>
          <w:rFonts w:hint="eastAsia" w:ascii="仿宋_GB2312" w:hAnsi="仿宋_GB2312" w:cs="仿宋_GB2312"/>
          <w:b w:val="0"/>
          <w:bCs/>
          <w:color w:val="auto"/>
          <w:highlight w:val="none"/>
          <w:lang w:val="en-US" w:eastAsia="zh-CN"/>
        </w:rPr>
        <w:t>设备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升级，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新城地区18条道路3655个路侧车位实现自动电子收费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大兴区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公共自行车租借服务智慧化水平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持续提升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。</w:t>
      </w:r>
    </w:p>
    <w:p>
      <w:pPr>
        <w:pStyle w:val="6"/>
        <w:numPr>
          <w:ilvl w:val="3"/>
          <w:numId w:val="0"/>
        </w:numPr>
        <w:bidi w:val="0"/>
        <w:ind w:left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3.生态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2"/>
          <w:highlight w:val="none"/>
        </w:rPr>
        <w:t>环境管控能力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22"/>
          <w:highlight w:val="none"/>
          <w:lang w:val="en-US" w:eastAsia="zh-CN"/>
        </w:rPr>
        <w:t>显著增强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按照智慧生态顶层规划设计，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“智慧生态”工程，充分利用卫星遥感、VOCs常态化走航、颗粒物雷达扫描、道路积尘负荷监测等创新科技，打造大气治理“空天地”一体化科技支撑体系。建成固定式遥测、VOCs排放企业在线、重点污染源监管等8个智能化监管系统，实现对水资源、土壤、大气、重点企业等对象全面监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highlight w:val="none"/>
        </w:rPr>
        <w:t>建设“大兴区煤改清洁能源信息管控系统”，通过综合应用自组网、物联网、智能节能技术，实现对全区5万余户空气源热泵用户数据采集、远端监测、故障报警及部分节能降耗等功能，进一步提升供暖设备运维管理水平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highlight w:val="none"/>
          <w:lang w:val="en-US" w:eastAsia="zh-CN"/>
        </w:rPr>
        <w:t>实现绿色节能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6"/>
          <w:sz w:val="32"/>
          <w:szCs w:val="32"/>
          <w:highlight w:val="none"/>
        </w:rPr>
        <w:t>。</w:t>
      </w:r>
    </w:p>
    <w:bookmarkEnd w:id="32"/>
    <w:bookmarkEnd w:id="33"/>
    <w:bookmarkEnd w:id="34"/>
    <w:bookmarkEnd w:id="35"/>
    <w:p>
      <w:pPr>
        <w:pStyle w:val="6"/>
        <w:numPr>
          <w:ilvl w:val="3"/>
          <w:numId w:val="0"/>
        </w:numPr>
        <w:bidi w:val="0"/>
        <w:ind w:leftChars="200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</w:pPr>
      <w:bookmarkStart w:id="36" w:name="_Toc19524"/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4.城市公共安全更加可靠</w:t>
      </w:r>
    </w:p>
    <w:p>
      <w:pP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t>“雪亮工程”成效不断显现，基本实现“全域覆盖、全网共享、全时可用、全程可控”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打造具有大兴特色的立体化社会治安防控体系。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  <w:t>建立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危化品安全</w:t>
      </w:r>
      <w:r>
        <w:rPr>
          <w:rFonts w:hint="eastAsia" w:ascii="仿宋_GB2312" w:hAnsi="仿宋_GB2312" w:cs="仿宋_GB2312"/>
          <w:b w:val="0"/>
          <w:bCs/>
          <w:color w:val="auto"/>
          <w:highlight w:val="none"/>
          <w:lang w:val="en-US" w:eastAsia="zh-CN"/>
        </w:rPr>
        <w:t>监管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  <w:t>平台，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进一步强化了对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  <w:t>危化品生产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  <w:t>重点监控企业、重点监控区域、安全隐患点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的监控效能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建成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区社会治安综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合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治理平台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全区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个社区/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村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的安全治理和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84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个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平安小区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建设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，大幅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Hans"/>
        </w:rPr>
        <w:t>提高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社区/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村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Hans"/>
        </w:rPr>
        <w:t>预防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和应对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Hans"/>
        </w:rPr>
        <w:t>突发事件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Hans"/>
        </w:rPr>
        <w:t>能力，实现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Hans"/>
        </w:rPr>
        <w:t>人防到技防的转变。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eastAsia="zh-Hans"/>
        </w:rPr>
        <w:t>应急值守系统升级改造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防汛、防火指挥等方面提供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有力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支撑。</w:t>
      </w:r>
    </w:p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highlight w:val="none"/>
          <w:lang w:val="en-US" w:eastAsia="zh-CN"/>
        </w:rPr>
        <w:t>（四）</w:t>
      </w:r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转方式、调结构，数字产业发展全面提速</w:t>
      </w:r>
      <w:bookmarkEnd w:id="36"/>
    </w:p>
    <w:p>
      <w:pPr>
        <w:pStyle w:val="6"/>
        <w:numPr>
          <w:ilvl w:val="3"/>
          <w:numId w:val="0"/>
        </w:numPr>
        <w:bidi w:val="0"/>
        <w:ind w:leftChars="200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1.产业服务环境持续优化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t>建成产业服务数字化平台，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将大数据与产业服务相结合，聚合各类产业数据，实行清单式管理，建立产业数据“一本账”、产业资源“一张图”，为不同类型用户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Hans"/>
        </w:rPr>
        <w:t>多维度、准确的企业运行监测和经济决策服务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政企通平台上线运行，畅通政府和企业联系渠道，优化营商环境。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搭建了投资促进平台，实现对产业用地、厂房等产业空间资源动态监控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6"/>
        <w:numPr>
          <w:ilvl w:val="3"/>
          <w:numId w:val="0"/>
        </w:numPr>
        <w:bidi w:val="0"/>
        <w:ind w:leftChars="200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2.产业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</w:rPr>
        <w:t>数字转型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成效显现</w:t>
      </w:r>
    </w:p>
    <w:p>
      <w:pPr>
        <w:ind w:firstLineChars="0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制造业智能化升级成效显著，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培育汇聚艾默生、华科仪、麦邦光电、维冠机电等智能制造企业32家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引导近50家企业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智能化改造，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推动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利亚德、美巢、博泽、海纳川李尔等4家企业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成为北京市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智能制造标杆企业。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数字农业取得长足发展，建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成农业生产经营主体征信评价系统、农产品质量追溯平台系统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实现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农产品全生命周期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管理，提升售后服务水平及满意度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完成48600亩的“数字菜田”建设，全区菜田信息化应用覆盖率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达到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促进农业产业结构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转型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升级。</w:t>
      </w:r>
    </w:p>
    <w:p>
      <w:pPr>
        <w:pStyle w:val="6"/>
        <w:numPr>
          <w:ilvl w:val="3"/>
          <w:numId w:val="0"/>
        </w:numPr>
        <w:ind w:leftChars="200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3.产业创新成果有效转化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t>科技创新活力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得到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全面激活，全区专利申请、授权等数量大幅增加。科技成果转化步伐显著加快，建设医药成果中试熟化和产业转化基地公共服务平台，形成产学研一体化全产业链闭环。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三元基因、中科芯电以及九院十三所等创新骨干企业在药物研发、先进医疗设备制造、先进装备等领域创新成果不断涌现。</w:t>
      </w:r>
    </w:p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Times New Roman" w:hAnsi="Times New Roman" w:cs="Times New Roman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 w:val="0"/>
          <w:bCs/>
          <w:color w:val="auto"/>
          <w:highlight w:val="none"/>
          <w:lang w:val="en-US" w:eastAsia="zh-CN"/>
        </w:rPr>
        <w:t>（五）重统筹、强协作，配套体制机制突破创新</w:t>
      </w:r>
    </w:p>
    <w:p>
      <w:pPr>
        <w:pStyle w:val="6"/>
        <w:numPr>
          <w:ilvl w:val="3"/>
          <w:numId w:val="0"/>
        </w:numPr>
        <w:bidi w:val="0"/>
        <w:ind w:leftChars="200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1.完善智慧城市区级议事协调机制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为更好地统筹协调推进全区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新型智慧城市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规划建设管理，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成立了由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区长负责的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大兴区新型智慧城市建设工作领导小组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主管副区长兼任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主任的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领导小组办公室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。</w:t>
      </w:r>
    </w:p>
    <w:p>
      <w:pPr>
        <w:pStyle w:val="6"/>
        <w:numPr>
          <w:ilvl w:val="3"/>
          <w:numId w:val="0"/>
        </w:numPr>
        <w:bidi w:val="0"/>
        <w:ind w:leftChars="200"/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2.创新各领域智慧城市应用机制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cs="Times New Roman"/>
          <w:b w:val="0"/>
          <w:bCs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区委政法委积极探索“1+1+N”的智治新路径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；区生态环境局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成立科技应用事务中心，构建智慧生态智库，充分发挥专家团队在生态环境智慧化领域的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CN"/>
        </w:rPr>
        <w:t>技术支撑</w:t>
      </w:r>
      <w:r>
        <w:rPr>
          <w:rFonts w:hint="eastAsia" w:ascii="仿宋_GB2312" w:hAnsi="仿宋_GB2312" w:eastAsia="仿宋_GB2312" w:cs="仿宋_GB2312"/>
          <w:b w:val="0"/>
          <w:bCs/>
          <w:color w:val="auto"/>
          <w:highlight w:val="none"/>
          <w:lang w:val="en-US" w:eastAsia="zh-Hans"/>
        </w:rPr>
        <w:t>作用。</w:t>
      </w:r>
    </w:p>
    <w:p>
      <w:pPr>
        <w:pStyle w:val="4"/>
        <w:numPr>
          <w:ilvl w:val="1"/>
          <w:numId w:val="0"/>
        </w:numPr>
        <w:ind w:left="640" w:leftChars="0"/>
        <w:rPr>
          <w:color w:val="auto"/>
          <w:highlight w:val="none"/>
        </w:rPr>
      </w:pPr>
      <w:bookmarkStart w:id="37" w:name="_Toc6982"/>
      <w:bookmarkStart w:id="38" w:name="_Toc8950"/>
      <w:bookmarkStart w:id="39" w:name="_Toc23067"/>
      <w:bookmarkStart w:id="40" w:name="_Toc14426"/>
      <w:bookmarkStart w:id="41" w:name="_Toc5893"/>
      <w:bookmarkStart w:id="42" w:name="_Toc25785"/>
      <w:bookmarkStart w:id="43" w:name="_Toc6928"/>
      <w:bookmarkStart w:id="44" w:name="_Toc17346"/>
      <w:bookmarkStart w:id="45" w:name="_Toc30925"/>
      <w:bookmarkStart w:id="46" w:name="_Toc8239"/>
      <w:bookmarkStart w:id="47" w:name="_Toc17128"/>
      <w:r>
        <w:rPr>
          <w:rFonts w:hint="eastAsia" w:ascii="楷体" w:hAnsi="楷体"/>
          <w:color w:val="auto"/>
          <w:highlight w:val="none"/>
          <w:lang w:val="en-US" w:eastAsia="zh-CN"/>
        </w:rPr>
        <w:t>二、</w:t>
      </w:r>
      <w:r>
        <w:rPr>
          <w:rFonts w:hint="eastAsia" w:ascii="楷体" w:hAnsi="楷体"/>
          <w:color w:val="auto"/>
          <w:highlight w:val="none"/>
        </w:rPr>
        <w:t>发展形势</w:t>
      </w:r>
      <w:bookmarkEnd w:id="26"/>
      <w:bookmarkEnd w:id="27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spacing w:beforeLines="0" w:afterLines="0"/>
        <w:jc w:val="both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bookmarkStart w:id="48" w:name="_Toc5662"/>
      <w:bookmarkStart w:id="49" w:name="_Toc92179947"/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以习近平同志为核心的党中央高度重视智慧城市建设工作，党的十九大、十九届五中全会等多次提出要建设网络强国、数字中国、数字社会、数字政府，提升公共服务、社会治理等智能化水平。“十四五”开局之年，国家部委和北京市陆续出台了智慧城市、数字政府、数字经济等一系列政策文件和规划，为大兴区新型智慧城市建设指明了方向。</w:t>
      </w:r>
    </w:p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highlight w:val="none"/>
          <w:lang w:val="en-US" w:eastAsia="zh-CN"/>
        </w:rPr>
        <w:t>（一）</w:t>
      </w:r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“云网边端智”融合共享成为新基建的主要方向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新基建作为支撑智慧城市可持续发展的基石，驱动着高新科技更广泛应用于城市治理、社会服务、经济发展等各领域。同时，物联网、区块链、大数据、AI等技术的发展，对网络、云、算力基础设施的实时响应和高速计算能力提出了更高要求。《“十四五”数字经济发展规划》明确提出要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建设高速泛在、天地一体、云网融合、智能敏捷、绿色低碳、安全可控的智能化综合性数字信息基础设施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推进云网协同和算网融合发展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；《“十四五”推进国家政务信息化规划》提出，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加快网络融合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和技术融合，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构建“数网云”一体融合的智能化政务云平台体系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通过云、AI、5G等不同技术和不同领域联合创新，建设“云网边端智”充分融合共享的基础设施，推动智慧城市数字底座更加稳固。</w:t>
      </w:r>
    </w:p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highlight w:val="none"/>
          <w:lang w:val="en-US" w:eastAsia="zh-CN"/>
        </w:rPr>
        <w:t>（二）</w:t>
      </w:r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“多跨融合”应用创新成为推动城市协同服务和治理水平提升的必然途径</w:t>
      </w:r>
    </w:p>
    <w:p>
      <w:pPr>
        <w:bidi w:val="0"/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随着我国社会经济水平的快速发展，人民群众对城市治理和社会服务的要求越来越高，尤其是新冠疫情爆发的当下，疫情防控和复工复产对非接触式、智能在线的城市服务，以及全方位、全链条的城市治理提出了更高的要求。政府只有通过集成式改革的思维和整合协同的方式，建立健全城市治理事件的协同联动机制，提高跨部门、跨区域、跨层级的风险预警识别、信息流转、会商决策、协同应对、政务服务</w:t>
      </w:r>
      <w:r>
        <w:rPr>
          <w:rFonts w:hint="eastAsia" w:ascii="仿宋_GB2312" w:hAnsi="仿宋_GB2312" w:cs="仿宋_GB2312"/>
          <w:color w:val="auto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能力，才能应对新形势城市综合治理和公共服务的需求。《“十四五”推进国家政务信息化规划》明确提出，到2025 年，跨部门、跨地区、跨层级的技术融合、数据融合、业务融合成为政务信息化创新的主要路径，逐步形成平台化协同、在线化服务、数据化决策、智能化监管的新型数字政府治理模式。《北京市“十四五”时期智慧城市建设控制性规划要求</w:t>
      </w:r>
      <w:r>
        <w:rPr>
          <w:rFonts w:hint="eastAsia" w:ascii="仿宋_GB2312" w:hAnsi="仿宋_GB2312" w:cs="仿宋_GB2312"/>
          <w:color w:val="auto"/>
          <w:highlight w:val="none"/>
          <w:lang w:val="en-US" w:eastAsia="zh-CN"/>
        </w:rPr>
        <w:t>（试行）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》提出，着力推进跨部门、跨层级、跨领域应用，促进部门协同联动、条块有机结合，推动城市协同服务和治理水平提升。</w:t>
      </w:r>
    </w:p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highlight w:val="none"/>
          <w:lang w:val="en-US" w:eastAsia="zh-CN"/>
        </w:rPr>
        <w:t>（三）</w:t>
      </w:r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“集约共建、场景带动”成为行业领域智能化均衡发展的新动力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多年来智慧城市建设“纵强横弱”、区域发展不平衡、信息孤岛等问题突出，为此，无论是国家层面、地方层面还是行业层面，不断加大智慧城市建设区域统筹、行业统筹力度，推进共性基础设施和数据资源的集约共建、开放共享，探索通过应用场景驱动，带动行业领域和区域智慧城市建设的均衡发展。在国家以及各省市已发布的智慧城市规划和行动方案中，“应用场景牵引”“技术、数据和应用场景融合”“场景开放”等建设思路成为标配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《北京市“十四五”时期智慧城市发展行动纲要》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也多次提到要</w:t>
      </w:r>
      <w:r>
        <w:rPr>
          <w:rFonts w:hint="eastAsia" w:ascii="仿宋_GB2312" w:hAnsi="仿宋_GB2312" w:cs="仿宋_GB2312"/>
          <w:color w:val="auto"/>
          <w:highlight w:val="none"/>
        </w:rPr>
        <w:t>加强共性</w:t>
      </w:r>
      <w:r>
        <w:rPr>
          <w:rFonts w:ascii="仿宋_GB2312" w:hAnsi="仿宋_GB2312" w:cs="仿宋_GB2312"/>
          <w:color w:val="auto"/>
          <w:highlight w:val="none"/>
        </w:rPr>
        <w:t>基础设施统建共用</w:t>
      </w:r>
      <w:r>
        <w:rPr>
          <w:rFonts w:hint="eastAsia" w:ascii="仿宋_GB2312" w:hAnsi="仿宋_GB2312" w:cs="仿宋_GB2312"/>
          <w:color w:val="auto"/>
          <w:highlight w:val="none"/>
          <w:lang w:val="en-US" w:eastAsia="zh-CN"/>
        </w:rPr>
        <w:t>和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行业领域的应用场景建设</w:t>
      </w:r>
      <w:r>
        <w:rPr>
          <w:rFonts w:hint="eastAsia" w:ascii="仿宋_GB2312" w:hAnsi="仿宋_GB2312" w:cs="仿宋_GB2312"/>
          <w:color w:val="auto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推动行业领域智能化均衡发展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cs="仿宋_GB2312"/>
          <w:color w:val="auto"/>
          <w:highlight w:val="none"/>
        </w:rPr>
        <w:t>形成以用促建、以用促改的发展新格局</w:t>
      </w:r>
      <w:r>
        <w:rPr>
          <w:rFonts w:hint="eastAsia" w:ascii="仿宋_GB2312" w:hAnsi="仿宋_GB2312" w:cs="仿宋_GB2312"/>
          <w:color w:val="auto"/>
          <w:highlight w:val="none"/>
          <w:lang w:eastAsia="zh-CN"/>
        </w:rPr>
        <w:t>。</w:t>
      </w:r>
    </w:p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highlight w:val="none"/>
          <w:lang w:val="en-US" w:eastAsia="zh-CN"/>
        </w:rPr>
        <w:t>（四）</w:t>
      </w:r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“产业数字化、数字产业化”成为数字经济发展的新引擎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在全球经济增长乏力背景下，数字经济作为撬动经济增长的新杠杆，成为加速全球经济复苏、重塑世界经济格局的关键引擎。我国将数字经济上升为国家战略，相关部委先后出台了《关于发展数字经济稳定并扩大就业的指导意见》等政策举措，北京市也出台了数字经济专项政策。促进农业、工业、服务业等传统产业数字化转型，利用数字技术改善文化教育、健康医疗、环境保护、城市规划和其他公共服务，推广远程医疗、远程教育等数字化新应用，培育数字经济新模式新业态，成为数字经济发展的重点。</w:t>
      </w:r>
    </w:p>
    <w:p>
      <w:pPr>
        <w:pStyle w:val="4"/>
        <w:numPr>
          <w:ilvl w:val="1"/>
          <w:numId w:val="0"/>
        </w:numPr>
        <w:ind w:left="640" w:leftChars="0"/>
        <w:rPr>
          <w:rFonts w:hint="eastAsia" w:ascii="楷体" w:hAnsi="楷体" w:cs="Times New Roman"/>
          <w:color w:val="auto"/>
          <w:highlight w:val="none"/>
        </w:rPr>
      </w:pPr>
      <w:bookmarkStart w:id="50" w:name="_Toc21835"/>
      <w:bookmarkStart w:id="51" w:name="_Toc8795"/>
      <w:bookmarkStart w:id="52" w:name="_Toc8866"/>
      <w:bookmarkStart w:id="53" w:name="_Toc2079"/>
      <w:bookmarkStart w:id="54" w:name="_Toc24005"/>
      <w:bookmarkStart w:id="55" w:name="_Toc28606"/>
      <w:bookmarkStart w:id="56" w:name="_Toc20528"/>
      <w:bookmarkStart w:id="57" w:name="_Toc11247"/>
      <w:bookmarkStart w:id="58" w:name="_Toc14392"/>
      <w:bookmarkStart w:id="59" w:name="_Toc6833"/>
      <w:bookmarkStart w:id="60" w:name="_Toc2877"/>
      <w:r>
        <w:rPr>
          <w:rFonts w:hint="eastAsia" w:ascii="楷体" w:hAnsi="楷体" w:cs="Times New Roman"/>
          <w:color w:val="auto"/>
          <w:highlight w:val="none"/>
          <w:lang w:val="en-US" w:eastAsia="zh-CN"/>
        </w:rPr>
        <w:t>三、</w:t>
      </w:r>
      <w:r>
        <w:rPr>
          <w:rFonts w:hint="eastAsia" w:ascii="楷体" w:hAnsi="楷体" w:cs="Times New Roman"/>
          <w:color w:val="auto"/>
          <w:highlight w:val="none"/>
        </w:rPr>
        <w:t>主要问题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highlight w:val="none"/>
          <w:lang w:val="en-US" w:eastAsia="zh-CN"/>
        </w:rPr>
        <w:t>（一）数字底座</w:t>
      </w:r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基础支撑能力不足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全区感知体系缺乏统筹规划，感知前端建设底数不清、标准不一；城市重点领域感知终端覆盖不全、复用不足等现象较为突出。全区5G网络覆盖广度和深度有待进一步提升，政务网络承载能力有待加强，互联网、政务网、行业专网等网络</w:t>
      </w:r>
      <w:r>
        <w:rPr>
          <w:rFonts w:hint="eastAsia" w:ascii="仿宋_GB2312" w:hAnsi="仿宋_GB2312" w:cs="仿宋_GB2312"/>
          <w:color w:val="auto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融合有待进一步推进，数据跨网传输能力不足；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面向未来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大数据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人工智能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区块链、边缘计算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应用的云平台与计算支撑能力有待进一步提升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已建的区级物联网平台、大数据平台、时空信息平台等共性支撑平台推广应用不足，AI、数字孪生等共性能力统筹规划建设不足</w:t>
      </w:r>
      <w:r>
        <w:rPr>
          <w:rFonts w:hint="eastAsia" w:ascii="仿宋_GB2312" w:hAnsi="仿宋_GB2312" w:eastAsia="仿宋_GB2312" w:cs="仿宋_GB2312"/>
          <w:color w:val="auto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部门数据接入汇聚不全面，对互联网数据整合不足；数据质量差，数据融合治理力度有待加强；数据共享开放广度和深度不足，数据资源价值挖掘和创新应用薄弱。</w:t>
      </w:r>
    </w:p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highlight w:val="none"/>
          <w:lang w:val="en-US" w:eastAsia="zh-CN"/>
        </w:rPr>
        <w:t>（二）</w:t>
      </w:r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跨部门应用统筹推进难度大</w:t>
      </w:r>
    </w:p>
    <w:p>
      <w:pPr>
        <w:ind w:firstLine="640"/>
        <w:rPr>
          <w:rFonts w:hint="eastAsia" w:ascii="FangSong_GB2312" w:hAnsi="FangSong_GB2312" w:eastAsia="FangSong_GB2312"/>
          <w:b w:val="0"/>
          <w:bCs w:val="0"/>
          <w:color w:val="auto"/>
          <w:sz w:val="32"/>
          <w:highlight w:val="none"/>
        </w:rPr>
      </w:pPr>
      <w:r>
        <w:rPr>
          <w:rFonts w:hint="eastAsia"/>
          <w:b w:val="0"/>
          <w:bCs w:val="0"/>
          <w:color w:val="auto"/>
          <w:highlight w:val="none"/>
        </w:rPr>
        <w:t>各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部门</w:t>
      </w:r>
      <w:r>
        <w:rPr>
          <w:rFonts w:hint="eastAsia"/>
          <w:b w:val="0"/>
          <w:bCs w:val="0"/>
          <w:color w:val="auto"/>
          <w:highlight w:val="none"/>
        </w:rPr>
        <w:t>还停留在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以</w:t>
      </w:r>
      <w:r>
        <w:rPr>
          <w:rFonts w:hint="eastAsia"/>
          <w:b w:val="0"/>
          <w:bCs w:val="0"/>
          <w:color w:val="auto"/>
          <w:highlight w:val="none"/>
        </w:rPr>
        <w:t>数据共享方式实现跨业务协作阶段，缺乏横向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的政府</w:t>
      </w:r>
      <w:r>
        <w:rPr>
          <w:rFonts w:hint="eastAsia"/>
          <w:b w:val="0"/>
          <w:bCs w:val="0"/>
          <w:color w:val="auto"/>
          <w:highlight w:val="none"/>
        </w:rPr>
        <w:t>业务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重构优化，</w:t>
      </w:r>
      <w:r>
        <w:rPr>
          <w:rFonts w:hint="eastAsia"/>
          <w:b w:val="0"/>
          <w:bCs w:val="0"/>
          <w:color w:val="auto"/>
          <w:highlight w:val="none"/>
        </w:rPr>
        <w:t>部门和领域间的业务协同调度不畅通，跨部门、跨业务的创新服务比较欠缺</w:t>
      </w:r>
      <w:r>
        <w:rPr>
          <w:rFonts w:hint="eastAsia"/>
          <w:b w:val="0"/>
          <w:bCs w:val="0"/>
          <w:color w:val="auto"/>
          <w:highlight w:val="none"/>
          <w:lang w:eastAsia="zh-CN"/>
        </w:rPr>
        <w:t>。</w:t>
      </w:r>
      <w:r>
        <w:rPr>
          <w:rFonts w:hint="eastAsia"/>
          <w:b w:val="0"/>
          <w:bCs w:val="0"/>
          <w:color w:val="auto"/>
          <w:highlight w:val="none"/>
        </w:rPr>
        <w:t>跨部门多业务协同事项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梳理</w:t>
      </w:r>
      <w:r>
        <w:rPr>
          <w:rFonts w:hint="eastAsia"/>
          <w:b w:val="0"/>
          <w:bCs w:val="0"/>
          <w:color w:val="auto"/>
          <w:highlight w:val="none"/>
        </w:rPr>
        <w:t>推进进度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明显</w:t>
      </w:r>
      <w:r>
        <w:rPr>
          <w:rFonts w:hint="eastAsia"/>
          <w:b w:val="0"/>
          <w:bCs w:val="0"/>
          <w:color w:val="auto"/>
          <w:highlight w:val="none"/>
        </w:rPr>
        <w:t>滞后于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行业</w:t>
      </w:r>
      <w:r>
        <w:rPr>
          <w:rFonts w:hint="eastAsia"/>
          <w:b w:val="0"/>
          <w:bCs w:val="0"/>
          <w:color w:val="auto"/>
          <w:highlight w:val="none"/>
        </w:rPr>
        <w:t>领域系统的建设</w:t>
      </w:r>
      <w:r>
        <w:rPr>
          <w:rFonts w:hint="eastAsia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导致</w:t>
      </w:r>
      <w:r>
        <w:rPr>
          <w:rFonts w:hint="eastAsia"/>
          <w:b w:val="0"/>
          <w:bCs w:val="0"/>
          <w:color w:val="auto"/>
          <w:highlight w:val="none"/>
        </w:rPr>
        <w:t>“一网通办”</w:t>
      </w:r>
      <w:r>
        <w:rPr>
          <w:rFonts w:hint="eastAsia"/>
          <w:b w:val="0"/>
          <w:bCs w:val="0"/>
          <w:color w:val="auto"/>
          <w:highlight w:val="none"/>
          <w:lang w:eastAsia="zh-CN"/>
        </w:rPr>
        <w:t>、</w:t>
      </w:r>
      <w:r>
        <w:rPr>
          <w:rFonts w:hint="eastAsia"/>
          <w:b w:val="0"/>
          <w:bCs w:val="0"/>
          <w:color w:val="auto"/>
          <w:highlight w:val="none"/>
        </w:rPr>
        <w:t>“一网统管”</w:t>
      </w:r>
      <w:r>
        <w:rPr>
          <w:rFonts w:hint="eastAsia"/>
          <w:b w:val="0"/>
          <w:bCs w:val="0"/>
          <w:color w:val="auto"/>
          <w:highlight w:val="none"/>
          <w:lang w:val="en-US" w:eastAsia="zh-CN"/>
        </w:rPr>
        <w:t>等应用推进缓慢。融合创新</w:t>
      </w:r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应用场景需要深入挖掘，“</w:t>
      </w:r>
      <w:r>
        <w:rPr>
          <w:rFonts w:hint="eastAsia" w:ascii="FangSong_GB2312" w:hAnsi="FangSong_GB2312" w:eastAsia="FangSong_GB2312"/>
          <w:b w:val="0"/>
          <w:bCs w:val="0"/>
          <w:color w:val="auto"/>
          <w:sz w:val="32"/>
          <w:highlight w:val="none"/>
          <w:lang w:val="en-US" w:eastAsia="zh-CN"/>
        </w:rPr>
        <w:t>一网统管</w:t>
      </w:r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”</w:t>
      </w:r>
      <w:r>
        <w:rPr>
          <w:rFonts w:hint="eastAsia" w:ascii="FangSong_GB2312" w:hAnsi="FangSong_GB2312" w:eastAsia="FangSong_GB2312"/>
          <w:b w:val="0"/>
          <w:bCs w:val="0"/>
          <w:color w:val="auto"/>
          <w:sz w:val="32"/>
          <w:highlight w:val="none"/>
          <w:lang w:val="en-US" w:eastAsia="zh-CN"/>
        </w:rPr>
        <w:t>的</w:t>
      </w:r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闭环处置能力需要重点发力</w:t>
      </w:r>
      <w:r>
        <w:rPr>
          <w:rFonts w:hint="eastAsia" w:ascii="FangSong_GB2312" w:hAnsi="FangSong_GB2312" w:eastAsia="FangSong_GB2312"/>
          <w:b w:val="0"/>
          <w:bCs w:val="0"/>
          <w:color w:val="auto"/>
          <w:sz w:val="32"/>
          <w:highlight w:val="none"/>
        </w:rPr>
        <w:t>。</w:t>
      </w:r>
    </w:p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  <w:bookmarkStart w:id="61" w:name="_Toc11195"/>
      <w:bookmarkStart w:id="62" w:name="_Toc6244"/>
      <w:bookmarkStart w:id="63" w:name="_Toc13913"/>
      <w:r>
        <w:rPr>
          <w:rFonts w:hint="eastAsia" w:cs="Times New Roman"/>
          <w:b w:val="0"/>
          <w:bCs w:val="0"/>
          <w:color w:val="auto"/>
          <w:highlight w:val="none"/>
          <w:lang w:val="en-US" w:eastAsia="zh-CN"/>
        </w:rPr>
        <w:t>（三）</w:t>
      </w:r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领域应用整合集约分析不够</w:t>
      </w:r>
    </w:p>
    <w:p>
      <w:pPr>
        <w:ind w:firstLine="640"/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各部门信息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化发展不平衡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部分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领域业务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化程度不高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数据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仍以文件形式管理和存储，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不能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满足业务统筹管理的需求。各部门应用整合程度较低，市级统建系统众多，数据下沉分析利用难，业务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条块主动对接共性平台和公共数据进行业务优化的动力不足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各部门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缺乏对已建系统的资源整合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业务数据开发展示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共享应用深度不够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各部门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大数据深度挖掘应用较浅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大数据、AI等技术同自身业务处理进行融合深度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不足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，缺乏对本领域治理模型、业务知识的梳理总结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无法支撑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</w:rPr>
        <w:t>突发事件应急指挥、行业宏观调度和精准辅助决策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eastAsia="zh-CN"/>
        </w:rPr>
        <w:t>。</w:t>
      </w:r>
    </w:p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highlight w:val="none"/>
          <w:lang w:val="en-US" w:eastAsia="zh-CN"/>
        </w:rPr>
        <w:t>（四）</w:t>
      </w:r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智慧产业引领带动作用不强</w:t>
      </w:r>
    </w:p>
    <w:bookmarkEnd w:id="61"/>
    <w:bookmarkEnd w:id="62"/>
    <w:bookmarkEnd w:id="63"/>
    <w:p>
      <w:pPr>
        <w:ind w:firstLine="640"/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highlight w:val="none"/>
          <w:lang w:val="en-US" w:eastAsia="zh-CN"/>
        </w:rPr>
        <w:t>5G、物联网、人工智能等新技术在服务业、制造业等相关行业的应用推广模式仍待创新。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医疗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健康、文化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等产业领域缺乏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数字化融合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</w:rPr>
        <w:t>数据作为重要生产要素的价值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得不到有效发挥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。</w:t>
      </w:r>
    </w:p>
    <w:p>
      <w:pPr>
        <w:pStyle w:val="5"/>
        <w:keepNext/>
        <w:keepLines/>
        <w:pageBreakBefore w:val="0"/>
        <w:widowControl w:val="0"/>
        <w:numPr>
          <w:ilvl w:val="2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cs="Times New Roman"/>
          <w:b w:val="0"/>
          <w:bCs w:val="0"/>
          <w:color w:val="auto"/>
          <w:highlight w:val="none"/>
          <w:lang w:val="en-US" w:eastAsia="zh-CN"/>
        </w:rPr>
        <w:t>（五）</w:t>
      </w:r>
      <w:r>
        <w:rPr>
          <w:rFonts w:hint="eastAsia" w:ascii="Times New Roman" w:hAnsi="Times New Roman" w:cs="Times New Roman"/>
          <w:b w:val="0"/>
          <w:bCs w:val="0"/>
          <w:color w:val="auto"/>
          <w:highlight w:val="none"/>
          <w:lang w:val="en-US" w:eastAsia="zh-CN"/>
        </w:rPr>
        <w:t>智慧城市建设机制尚不健全</w:t>
      </w:r>
    </w:p>
    <w:p>
      <w:pPr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智慧城市统筹规划管理有待加强，各部门智慧城市项目缺乏统筹规划设计，全区智慧城市规划到智慧城市项目立项审批、建设</w:t>
      </w:r>
      <w:r>
        <w:rPr>
          <w:rFonts w:hint="eastAsia" w:cs="Times New Roman"/>
          <w:color w:val="auto"/>
          <w:highlight w:val="none"/>
          <w:lang w:val="en-US" w:eastAsia="zh-CN"/>
        </w:rPr>
        <w:t>、</w:t>
      </w:r>
      <w:r>
        <w:rPr>
          <w:rFonts w:hint="eastAsia" w:ascii="Times New Roman" w:hAnsi="Times New Roman" w:cs="Times New Roman"/>
          <w:color w:val="auto"/>
          <w:highlight w:val="none"/>
          <w:lang w:val="en-US" w:eastAsia="zh-CN"/>
        </w:rPr>
        <w:t>监督、验收、绩效评价的“闭环”管理机制有待完善。智慧城市项目建设协同机制亟待优化，横向部门之间沟通协调、综合统筹难度大，职能交叉的工作推进困难，难以形成合力。智慧城市建设运营模式有待变革，亟需创新多元合作建设模式和智慧城市整体运营机制，改善智慧城市建设中政府投资规模不足、智慧城市长效运营增值能力不足等问题</w:t>
      </w:r>
      <w:r>
        <w:rPr>
          <w:rFonts w:hint="eastAsia"/>
          <w:color w:val="auto"/>
          <w:highlight w:val="none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E897A84-3C34-4BD0-B2B0-B2C702E3C979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3EB3C78F-1BF0-4672-A29F-429B514EFB05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3A5CD3D-7266-4D57-A00F-27EDACC6BAB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170581E-3D56-4B6A-B325-0EBC2D88E19D}"/>
  </w:font>
  <w:font w:name="FangSong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ED79CC20-783B-4C11-AE58-5EC9006BD5C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27D38E"/>
    <w:multiLevelType w:val="multilevel"/>
    <w:tmpl w:val="9D27D38E"/>
    <w:lvl w:ilvl="0" w:tentative="0">
      <w:start w:val="1"/>
      <w:numFmt w:val="chineseCountingThousand"/>
      <w:pStyle w:val="3"/>
      <w:suff w:val="nothing"/>
      <w:lvlText w:val="第%1章 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4"/>
      <w:suff w:val="nothing"/>
      <w:lvlText w:val="%2、"/>
      <w:lvlJc w:val="left"/>
      <w:pPr>
        <w:ind w:left="0" w:firstLine="0"/>
      </w:pPr>
      <w:rPr>
        <w:rFonts w:hint="eastAsia" w:eastAsia="黑体"/>
        <w:b w:val="0"/>
        <w:i w:val="0"/>
        <w:color w:val="auto"/>
        <w:sz w:val="32"/>
        <w:highlight w:val="none"/>
      </w:rPr>
    </w:lvl>
    <w:lvl w:ilvl="2" w:tentative="0">
      <w:start w:val="1"/>
      <w:numFmt w:val="chineseCountingThousand"/>
      <w:pStyle w:val="5"/>
      <w:suff w:val="nothing"/>
      <w:lvlText w:val="（%3）"/>
      <w:lvlJc w:val="left"/>
      <w:pPr>
        <w:ind w:left="560" w:firstLine="400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6"/>
      <w:suff w:val="nothing"/>
      <w:lvlText w:val="%4、"/>
      <w:lvlJc w:val="left"/>
      <w:pPr>
        <w:ind w:left="237" w:firstLine="402"/>
      </w:pPr>
      <w:rPr>
        <w:rFonts w:hint="eastAsia"/>
      </w:rPr>
    </w:lvl>
    <w:lvl w:ilvl="4" w:tentative="0">
      <w:start w:val="1"/>
      <w:numFmt w:val="decimal"/>
      <w:suff w:val="nothing"/>
      <w:lvlText w:val="（%5）"/>
      <w:lvlJc w:val="left"/>
      <w:pPr>
        <w:ind w:left="2434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ODEzMjhjYzAyOGQ2M2M1OWQ1ODAyZTg4N2UwN2UifQ=="/>
  </w:docVars>
  <w:rsids>
    <w:rsidRoot w:val="010A2FAA"/>
    <w:rsid w:val="010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3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ind w:firstLineChars="0"/>
      <w:jc w:val="center"/>
      <w:outlineLvl w:val="0"/>
    </w:pPr>
    <w:rPr>
      <w:rFonts w:ascii="Calibri" w:hAnsi="Calibri" w:eastAsia="黑体"/>
      <w:bCs/>
      <w:kern w:val="44"/>
      <w:sz w:val="3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line="560" w:lineRule="exact"/>
      <w:ind w:firstLine="723" w:firstLineChars="200"/>
      <w:outlineLvl w:val="1"/>
    </w:pPr>
    <w:rPr>
      <w:rFonts w:ascii="等线 Light" w:hAnsi="等线 Light" w:eastAsia="黑体"/>
      <w:bCs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ind w:firstLine="0" w:firstLineChars="0"/>
      <w:outlineLvl w:val="2"/>
    </w:pPr>
    <w:rPr>
      <w:rFonts w:eastAsia="楷体"/>
      <w:b/>
      <w:bCs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ind w:firstLine="723" w:firstLineChars="200"/>
      <w:outlineLvl w:val="3"/>
    </w:pPr>
    <w:rPr>
      <w:rFonts w:ascii="Arial" w:hAnsi="Arial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0">
    <w:name w:val="List Paragraph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2022-11-02T02:55:00Z</dcterms:created>
  <dc:creator>米露露</dc:creator>
  <cp:lastModifiedBy>米露露</cp:lastModifiedBy>
  <dcterms:modified xsi:type="dcterms:W3CDTF">2022-11-02T02:55:52Z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E6EFA221BFF841A08348EDE5F77CC9D7</vt:lpwstr>
  </property>
</Properties>
</file>