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8"/>
          <w:highlight w:val="none"/>
          <w:lang w:val="en-US" w:eastAsia="zh-CN"/>
        </w:rPr>
        <w:t xml:space="preserve">第二章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8"/>
          <w:highlight w:val="none"/>
        </w:rPr>
        <w:t xml:space="preserve"> </w:t>
      </w:r>
      <w:bookmarkStart w:id="0" w:name="_Toc23792"/>
      <w:bookmarkStart w:id="1" w:name="_Toc23546"/>
      <w:bookmarkStart w:id="2" w:name="_Toc92179948"/>
      <w:bookmarkStart w:id="3" w:name="_Toc17960"/>
      <w:bookmarkStart w:id="4" w:name="_Toc6659"/>
      <w:bookmarkStart w:id="5" w:name="_Toc15603"/>
      <w:bookmarkStart w:id="6" w:name="_Toc28845"/>
      <w:bookmarkStart w:id="7" w:name="_Toc13828"/>
      <w:bookmarkStart w:id="8" w:name="_Toc24194"/>
      <w:bookmarkStart w:id="9" w:name="_Toc27115"/>
      <w:bookmarkStart w:id="10" w:name="_Toc6655"/>
      <w:bookmarkStart w:id="11" w:name="_Toc2914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48"/>
          <w:highlight w:val="none"/>
        </w:rPr>
        <w:t>总体要求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4"/>
        <w:numPr>
          <w:ilvl w:val="1"/>
          <w:numId w:val="0"/>
        </w:numPr>
        <w:ind w:left="640" w:leftChars="0"/>
        <w:rPr>
          <w:color w:val="auto"/>
          <w:highlight w:val="none"/>
        </w:rPr>
      </w:pPr>
      <w:bookmarkStart w:id="12" w:name="_Toc18411"/>
      <w:bookmarkStart w:id="13" w:name="_Toc26188"/>
      <w:bookmarkStart w:id="14" w:name="_Toc9595"/>
      <w:bookmarkStart w:id="15" w:name="_Toc16868"/>
      <w:bookmarkStart w:id="16" w:name="_Toc27553"/>
      <w:bookmarkStart w:id="17" w:name="_Toc29924"/>
      <w:bookmarkStart w:id="18" w:name="_Toc4648"/>
      <w:bookmarkStart w:id="19" w:name="_Toc28640"/>
      <w:bookmarkStart w:id="20" w:name="_Toc11614"/>
      <w:bookmarkStart w:id="21" w:name="_Toc92179949"/>
      <w:bookmarkStart w:id="22" w:name="_Toc5943"/>
      <w:bookmarkStart w:id="23" w:name="_Toc31738"/>
      <w:r>
        <w:rPr>
          <w:rFonts w:hint="eastAsia"/>
          <w:color w:val="auto"/>
          <w:highlight w:val="none"/>
          <w:lang w:val="en-US" w:eastAsia="zh-CN"/>
        </w:rPr>
        <w:t>一、</w:t>
      </w:r>
      <w:r>
        <w:rPr>
          <w:rFonts w:hint="eastAsia"/>
          <w:color w:val="auto"/>
          <w:highlight w:val="none"/>
        </w:rPr>
        <w:t>指导思想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bidi w:val="0"/>
        <w:spacing w:beforeLines="0" w:afterLines="0"/>
        <w:jc w:val="both"/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以习近平新时代中国特色社会主义思想为指导，全面贯彻落实党的十九大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及十九届</w:t>
      </w:r>
      <w:r>
        <w:rPr>
          <w:rFonts w:hint="eastAsia" w:cs="Times New Roman"/>
          <w:color w:val="auto"/>
          <w:highlight w:val="none"/>
          <w:lang w:val="en-US" w:eastAsia="zh-CN"/>
        </w:rPr>
        <w:t>历次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全会精神，围绕</w:t>
      </w:r>
      <w:r>
        <w:rPr>
          <w:rFonts w:hint="eastAsia" w:cs="Times New Roman"/>
          <w:color w:val="auto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现代化平原新城、首都发展新的增长极、繁荣开放美丽新国门</w:t>
      </w:r>
      <w:r>
        <w:rPr>
          <w:rFonts w:hint="eastAsia" w:cs="Times New Roman"/>
          <w:color w:val="auto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的城市定位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坚持全局统筹理念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深化机制创新，以夯实</w:t>
      </w:r>
      <w:r>
        <w:rPr>
          <w:rFonts w:hint="eastAsia" w:cs="Times New Roman"/>
          <w:color w:val="auto"/>
          <w:highlight w:val="none"/>
          <w:lang w:val="en-US" w:eastAsia="zh-CN"/>
        </w:rPr>
        <w:t>“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端网云数</w:t>
      </w:r>
      <w:r>
        <w:rPr>
          <w:rFonts w:hint="eastAsia" w:cs="Times New Roman"/>
          <w:color w:val="auto"/>
          <w:highlight w:val="none"/>
          <w:lang w:val="en-US" w:eastAsia="zh-CN"/>
        </w:rPr>
        <w:t>”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一体融合的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城市数字底座为统一支撑，以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“一网通办”“一网统管”和民生服务领域应用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为重点，以数据赋能、业务重构、应用场景创新为抓手，</w:t>
      </w:r>
      <w:r>
        <w:rPr>
          <w:rFonts w:hint="eastAsia" w:cs="Times New Roman"/>
          <w:color w:val="auto"/>
          <w:highlight w:val="none"/>
          <w:lang w:val="en-US" w:eastAsia="zh-CN"/>
        </w:rPr>
        <w:t>促进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智慧城市建设与城市发展战略深度融合，全面推进大兴</w:t>
      </w:r>
      <w:r>
        <w:rPr>
          <w:rFonts w:hint="eastAsia" w:cs="Times New Roman"/>
          <w:color w:val="auto"/>
          <w:highlight w:val="none"/>
          <w:lang w:val="en-US" w:eastAsia="zh-CN"/>
        </w:rPr>
        <w:t>区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智慧城市建设踏入全国先进行列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，使大兴区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环境质量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val="en-US" w:eastAsia="zh-CN"/>
        </w:rPr>
        <w:t>进一步改善，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城市治理更加精细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eastAsia="zh-CN"/>
        </w:rPr>
        <w:t>，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社会更加和谐稳定，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val="en-US" w:eastAsia="zh-CN"/>
        </w:rPr>
        <w:t>文化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教育、医疗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val="en-US" w:eastAsia="zh-CN"/>
        </w:rPr>
        <w:t>卫生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等公共服务更加优质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大力改善大兴区营商环境，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大幅提升人民群众幸福指数。</w:t>
      </w:r>
    </w:p>
    <w:p>
      <w:pPr>
        <w:pStyle w:val="4"/>
        <w:numPr>
          <w:ilvl w:val="1"/>
          <w:numId w:val="0"/>
        </w:numPr>
        <w:ind w:left="640" w:leftChars="0"/>
        <w:rPr>
          <w:color w:val="auto"/>
          <w:highlight w:val="none"/>
        </w:rPr>
      </w:pPr>
      <w:bookmarkStart w:id="24" w:name="_Toc30367"/>
      <w:bookmarkStart w:id="25" w:name="_Toc4740"/>
      <w:bookmarkStart w:id="26" w:name="_Toc8794"/>
      <w:bookmarkStart w:id="27" w:name="_Toc6575"/>
      <w:bookmarkStart w:id="28" w:name="_Toc5055"/>
      <w:bookmarkStart w:id="29" w:name="_Toc8019"/>
      <w:bookmarkStart w:id="30" w:name="_Toc31881"/>
      <w:bookmarkStart w:id="31" w:name="_Toc14178"/>
      <w:r>
        <w:rPr>
          <w:rFonts w:hint="eastAsia"/>
          <w:color w:val="auto"/>
          <w:highlight w:val="none"/>
          <w:lang w:val="en-US" w:eastAsia="zh-CN"/>
        </w:rPr>
        <w:t>二、</w:t>
      </w:r>
      <w:r>
        <w:rPr>
          <w:rFonts w:hint="eastAsia"/>
          <w:color w:val="auto"/>
          <w:highlight w:val="none"/>
        </w:rPr>
        <w:t>基本原则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市区一体，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统筹推进。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在市级智慧城市“三七二一”基础设施框架下，从全区全局的角度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进行整体规划、统筹布局，推进跨部门、跨层级、跨领域的整体规划和顶层设计，着力构建市区一体、条块结合、纵向贯通、横向协同的新型智慧城市总体架构，推动全区智慧城市建设一盘棋。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集约共建，红线管控。严格贯彻《北京市“十四五”时期智慧城市建设控制性规划要求（试行）》关于“三京”、“七通一平”的控制性要求，以及《大兴区属地和部门智慧城市建设指导意见（试行）》的红线要求，强化各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属地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、各部门智慧城市建设的整合统筹和规范建设，推动云网端基础设施集约共建、数据资源共享开放、应用系统互联互通，确保底层平台通、数据融合通、应用入口通。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闭环管理，强化绩效。按照市级四级智慧城市规划管控体系要求，完善大兴区智慧城市规划管控体系；加强对“智慧城市规划—智慧城市建设项目征集、项目立项评审、项目建设、项目绩效评估—整体规划实施绩效评估”的全流程统筹“闭环”管理；完善智慧城市建设绩效评价机制，建立智慧城市评估评价体系，加强对智慧城市建设应用成效的监督评价，确保智慧城市规划“一张蓝图贯到底”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问题导向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痛点先行。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结合大兴区城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市治理、公共服务、产业发展的实际需求，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从群众最关心的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民生服务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问题、城市治理痛点入手，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重点推进文化教育、医疗卫生等领域智慧化应用建设，强化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跨部门、跨层级、跨区域的业务流程优化重构、数据汇聚融合创新应用，推进政务服务“一网通办”、城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市治理“一网统管”，优化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城市民生服务路径和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社会治理模式，提升企业和群众在智慧城市建设中的获得感。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数据共享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放创新。推进数据治理、融合共享、开放利用，促进数据要素有序流动；推动零散需求整合、场景开放，促进百花齐放的特色示范场景应用创新；探索随需而动、迭代升级的智慧城市长效运营模式，推动全社会共同参与智慧城市建设和运营，助推产业生态优化升级。</w:t>
      </w:r>
    </w:p>
    <w:p>
      <w:pPr>
        <w:ind w:firstLine="640"/>
        <w:jc w:val="left"/>
        <w:rPr>
          <w:color w:val="auto"/>
          <w:highlight w:val="none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安全第一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自主可控。完善全要素、多层次的安全技术防护体系，建立健全网络安全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一体化统筹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机制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，支持采用国家信创体系的信息产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品和服务，强化数据资源和个人隐私保护，提升网络安全自主可控的保障能力。</w:t>
      </w:r>
    </w:p>
    <w:p>
      <w:pPr>
        <w:pStyle w:val="4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723" w:leftChars="0"/>
        <w:textAlignment w:val="auto"/>
        <w:rPr>
          <w:color w:val="auto"/>
          <w:highlight w:val="none"/>
        </w:rPr>
      </w:pPr>
      <w:bookmarkStart w:id="32" w:name="_Toc8400"/>
      <w:bookmarkStart w:id="33" w:name="_Toc630"/>
      <w:bookmarkStart w:id="34" w:name="_Toc17628"/>
      <w:bookmarkStart w:id="35" w:name="_Toc32512"/>
      <w:bookmarkStart w:id="36" w:name="_Toc30001"/>
      <w:bookmarkStart w:id="37" w:name="_Toc29817"/>
      <w:bookmarkStart w:id="38" w:name="_Toc29083"/>
      <w:bookmarkStart w:id="39" w:name="_Toc15813"/>
      <w:r>
        <w:rPr>
          <w:rFonts w:hint="eastAsia"/>
          <w:color w:val="auto"/>
          <w:highlight w:val="none"/>
          <w:lang w:val="en-US" w:eastAsia="zh-CN"/>
        </w:rPr>
        <w:t>三、</w:t>
      </w:r>
      <w:r>
        <w:rPr>
          <w:rFonts w:hint="eastAsia"/>
          <w:color w:val="auto"/>
          <w:highlight w:val="none"/>
        </w:rPr>
        <w:t>发展目标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5"/>
        <w:numPr>
          <w:ilvl w:val="2"/>
          <w:numId w:val="0"/>
        </w:numPr>
        <w:spacing w:before="0" w:after="0" w:line="560" w:lineRule="atLeast"/>
        <w:ind w:left="420" w:leftChars="0"/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t>（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一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）</w:t>
      </w:r>
      <w:r>
        <w:rPr>
          <w:rFonts w:hint="eastAsia" w:ascii="Times New Roman" w:hAnsi="Times New Roman"/>
          <w:b w:val="0"/>
          <w:bCs w:val="0"/>
          <w:color w:val="auto"/>
          <w:highlight w:val="none"/>
        </w:rPr>
        <w:t>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/>
        <w:textAlignment w:val="auto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到2025年，建成“云网边端智”一体发展的城市数字底座，打造“强基为先”的智能感知之城；建成全程全时、普惠便捷的城市服务体系，打造“惠民为本”的服务体验之城；建成敏捷联动、智能高效的城市治理体系，打造“慧治为要”的精细共治之城；赋能数字经济加速发展，打造“兴业为源”的绿色创新之城，全面实现人民高品质生活、社会高效能治理、营商环境大幅度改善、经济社会高质量发展。</w:t>
      </w:r>
    </w:p>
    <w:p>
      <w:pPr>
        <w:pStyle w:val="5"/>
        <w:numPr>
          <w:ilvl w:val="2"/>
          <w:numId w:val="0"/>
        </w:numPr>
        <w:spacing w:before="0" w:after="0" w:line="560" w:lineRule="atLeast"/>
        <w:ind w:left="420" w:leftChars="0"/>
        <w:rPr>
          <w:rFonts w:ascii="Times New Roman" w:hAnsi="Times New Roman"/>
          <w:b w:val="0"/>
          <w:bCs w:val="0"/>
          <w:color w:val="auto"/>
          <w:highlight w:val="none"/>
        </w:rPr>
      </w:pPr>
      <w:r>
        <w:rPr>
          <w:rFonts w:hint="eastAsia"/>
          <w:b w:val="0"/>
          <w:bCs w:val="0"/>
          <w:color w:val="auto"/>
          <w:highlight w:val="none"/>
          <w:lang w:eastAsia="zh-CN"/>
        </w:rPr>
        <w:t>（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二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）</w:t>
      </w:r>
      <w:r>
        <w:rPr>
          <w:rFonts w:hint="eastAsia" w:ascii="Times New Roman" w:hAnsi="Times New Roman"/>
          <w:b w:val="0"/>
          <w:bCs w:val="0"/>
          <w:color w:val="auto"/>
          <w:highlight w:val="none"/>
        </w:rPr>
        <w:t>具体目标</w:t>
      </w:r>
    </w:p>
    <w:p>
      <w:pPr>
        <w:pStyle w:val="6"/>
        <w:numPr>
          <w:ilvl w:val="3"/>
          <w:numId w:val="0"/>
        </w:numPr>
        <w:spacing w:line="560" w:lineRule="atLeast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强基为先，筑牢一体发展的城市数字底座</w:t>
      </w:r>
    </w:p>
    <w:p>
      <w:pPr>
        <w:spacing w:line="560" w:lineRule="atLeast"/>
        <w:ind w:firstLine="643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城市感知体系泛在有序。基本建成统筹规范、全域感知、以数赋智、体系完备的城市感知体系，重点行业、领域的重要部位视频监控覆盖率达到100%，基本实现“应感尽感”。</w:t>
      </w:r>
    </w:p>
    <w:p>
      <w:pPr>
        <w:spacing w:line="560" w:lineRule="atLeast"/>
        <w:ind w:firstLine="643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云网支撑体系更加夯实。政务云服务和管理能力进一步提升，实现云计算资源的分级资源管理和调配；5G网络实现镇（街）、景区、重点道路、行政村连续覆盖；政务网络覆盖与承载能力提升，实现政务外网镇街、村（社区）覆盖率100%，全区各委办局政务外网实现千兆接入。</w:t>
      </w:r>
    </w:p>
    <w:p>
      <w:pPr>
        <w:spacing w:line="560" w:lineRule="atLeast"/>
        <w:ind w:firstLine="643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城市数据融合共享利用水平大幅提升。全区感知数据顺畅共享、算法高效共用；政务数据资源全面汇通，无条件共享率达80%以上；“汇、管、用、评”的数据全生命周期管理与服务水平显著提升；数据要素安全有序流动，数据驱动业务场景创新的能力显著增强。</w:t>
      </w:r>
    </w:p>
    <w:p>
      <w:pPr>
        <w:pStyle w:val="7"/>
        <w:spacing w:before="0" w:after="0"/>
        <w:ind w:firstLine="643"/>
        <w:rPr>
          <w:rFonts w:hint="eastAsia" w:ascii="仿宋_GB2312" w:hAnsi="仿宋_GB2312" w:eastAsia="仿宋_GB2312" w:cs="仿宋_GB2312"/>
          <w:b w:val="0"/>
          <w:bCs/>
          <w:caps w:val="0"/>
          <w:color w:val="auto"/>
          <w:sz w:val="3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aps w:val="0"/>
          <w:color w:val="auto"/>
          <w:sz w:val="32"/>
          <w:szCs w:val="22"/>
          <w:highlight w:val="none"/>
        </w:rPr>
        <w:t>网信安全保障达到新水平。多方联动的信息安全协同机制基本建成，安全技术措施防护能力全方位增强，全区网络安全威胁发现、监测预警、应急保障、攻击溯源能力全面提升，安全保障体系更加完善。</w:t>
      </w:r>
    </w:p>
    <w:p>
      <w:pPr>
        <w:pStyle w:val="6"/>
        <w:numPr>
          <w:ilvl w:val="3"/>
          <w:numId w:val="0"/>
        </w:numPr>
        <w:spacing w:line="560" w:lineRule="atLeast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惠民为本，构建普惠便捷的城市服务体系</w:t>
      </w:r>
    </w:p>
    <w:p>
      <w:pPr>
        <w:spacing w:line="560" w:lineRule="atLeast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民生服务更舒适便捷。提供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全程全时、快速响应的民生服务，城市生活更加便捷、舒适，“智慧社区”覆盖率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达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80%以上，居民电子健康档案规范化建档率达到95%以上，国家级数字档案馆基本建成。着重提升教育、医疗、人文、养老等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民生服务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字化水平，切实增强市民的获得感和幸福感。</w:t>
      </w:r>
    </w:p>
    <w:p>
      <w:pPr>
        <w:spacing w:line="560" w:lineRule="atLeast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政务服务更畅通高效。逐步实现政务服务线上线下融合互通，跨地区、跨部门、跨层级协同办理。政务服务事项全部实现“全程网办”，高频服务事项实现100%“指尖办”，营造良好营商环境，服务经济社会高质量发展。</w:t>
      </w:r>
    </w:p>
    <w:p>
      <w:pPr>
        <w:pStyle w:val="6"/>
        <w:numPr>
          <w:ilvl w:val="3"/>
          <w:numId w:val="0"/>
        </w:numPr>
        <w:spacing w:line="560" w:lineRule="atLeast"/>
        <w:ind w:leftChars="20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慧治为要，提升精细高效的城市治理能力</w:t>
      </w:r>
    </w:p>
    <w:p>
      <w:pPr>
        <w:spacing w:line="560" w:lineRule="atLeast"/>
        <w:ind w:firstLine="640" w:firstLineChars="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Cs w:val="32"/>
          <w:highlight w:val="none"/>
        </w:rPr>
        <w:t>城市运行管理新模式基本建成。跨部门、跨层级的多级联动治理体系基本建成，运行态势全面感知、城市体征指标全面检测、城市事件智能化调度和联动处置基本实现。城市基层治理模式全面升级，基层治理智慧化、科学化水平大幅提升。</w:t>
      </w:r>
    </w:p>
    <w:p>
      <w:pPr>
        <w:spacing w:line="560" w:lineRule="atLeast"/>
        <w:ind w:firstLine="643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Cs w:val="32"/>
          <w:highlight w:val="none"/>
        </w:rPr>
        <w:t>城市事件智能化处置能力显著增强。社会管理和生态治理水平全面提升，高效便捷的综合交通体系基本建成，完成经营性公共停车场动态信息服务覆盖率达100%，主要道路沿线及重点路口交通信号灯控制系统的智能化升级改造及“一键护航畅行”试点建设。重大风险防范化解能力及应急救援处置能力明显加强，全区非现场执法处罚率大幅提高，市民服务热线的响应率、解决率、满意率持续保持高位。</w:t>
      </w:r>
    </w:p>
    <w:p>
      <w:pPr>
        <w:pStyle w:val="6"/>
        <w:numPr>
          <w:ilvl w:val="3"/>
          <w:numId w:val="0"/>
        </w:numPr>
        <w:spacing w:line="560" w:lineRule="atLeast"/>
        <w:ind w:leftChars="20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兴业为源，全方位赋能数字经济创新发展</w:t>
      </w:r>
    </w:p>
    <w:p>
      <w:pPr>
        <w:spacing w:beforeLines="0" w:afterLines="0"/>
        <w:jc w:val="both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Cs w:val="32"/>
          <w:highlight w:val="none"/>
        </w:rPr>
        <w:t>数字技术全方位赋能数字经济创新发展。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实现数字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经济增加值达到地区生产总值的50%左右，形成3-4个产业集聚度高、特色鲜明的智慧园区；以国际贸易数字化示范区建设为先行发展基础，数字贸易试验区基本建成。</w:t>
      </w:r>
      <w:bookmarkEnd w:id="20"/>
      <w:bookmarkEnd w:id="21"/>
      <w:bookmarkEnd w:id="22"/>
      <w:bookmarkEnd w:id="23"/>
      <w:bookmarkStart w:id="40" w:name="_Toc10071"/>
      <w:bookmarkStart w:id="41" w:name="_Toc92179951"/>
    </w:p>
    <w:bookmarkEnd w:id="40"/>
    <w:bookmarkEnd w:id="41"/>
    <w:p>
      <w:bookmarkStart w:id="42" w:name="_GoBack"/>
      <w:bookmarkEnd w:id="4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052215-B443-4CBA-896D-EC62DE5D710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AC312DF-E7F9-4AE8-9E5A-7E7B5736CE91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3DB0F32-7E85-4329-BB64-844BAF984633}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3056AEA-1A8F-44CE-83BE-4511CB25B4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7D38E"/>
    <w:multiLevelType w:val="multilevel"/>
    <w:tmpl w:val="9D27D38E"/>
    <w:lvl w:ilvl="0" w:tentative="0">
      <w:start w:val="1"/>
      <w:numFmt w:val="chineseCountingThousand"/>
      <w:pStyle w:val="3"/>
      <w:suff w:val="nothing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0" w:firstLine="0"/>
      </w:pPr>
      <w:rPr>
        <w:rFonts w:hint="eastAsia" w:eastAsia="黑体"/>
        <w:b w:val="0"/>
        <w:i w:val="0"/>
        <w:color w:val="auto"/>
        <w:sz w:val="32"/>
        <w:highlight w:val="none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560" w:firstLine="40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6"/>
      <w:suff w:val="nothing"/>
      <w:lvlText w:val="%4、"/>
      <w:lvlJc w:val="left"/>
      <w:pPr>
        <w:ind w:left="237" w:firstLine="402"/>
      </w:pPr>
      <w:rPr>
        <w:rFonts w:hint="eastAsia"/>
      </w:rPr>
    </w:lvl>
    <w:lvl w:ilvl="4" w:tentative="0">
      <w:start w:val="1"/>
      <w:numFmt w:val="decimal"/>
      <w:suff w:val="nothing"/>
      <w:lvlText w:val="（%5）"/>
      <w:lvlJc w:val="left"/>
      <w:pPr>
        <w:ind w:left="2434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70B22C67"/>
    <w:rsid w:val="70B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firstLineChars="0"/>
      <w:jc w:val="center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560" w:lineRule="exact"/>
      <w:ind w:firstLine="723" w:firstLineChars="200"/>
      <w:outlineLvl w:val="1"/>
    </w:pPr>
    <w:rPr>
      <w:rFonts w:ascii="等线 Light" w:hAnsi="等线 Light" w:eastAsia="黑体"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ind w:firstLine="0" w:firstLineChars="0"/>
      <w:outlineLvl w:val="2"/>
    </w:pPr>
    <w:rPr>
      <w:rFonts w:eastAsia="楷体"/>
      <w:b/>
      <w:bCs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ind w:firstLine="723" w:firstLineChars="200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toc 1"/>
    <w:basedOn w:val="1"/>
    <w:next w:val="1"/>
    <w:qFormat/>
    <w:uiPriority w:val="39"/>
    <w:pPr>
      <w:spacing w:before="120" w:after="120"/>
      <w:jc w:val="left"/>
    </w:pPr>
    <w:rPr>
      <w:rFonts w:ascii="等线" w:eastAsia="等线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2022-11-02T02:56:00Z</dcterms:created>
  <dc:creator>米露露</dc:creator>
  <cp:lastModifiedBy>米露露</cp:lastModifiedBy>
  <dcterms:modified xsi:type="dcterms:W3CDTF">2022-11-02T02:56:09Z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3A6FFFF2C05649C884ACC04B6C9AFC0F</vt:lpwstr>
  </property>
</Properties>
</file>