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before="0" w:after="0" w:line="240" w:lineRule="auto"/>
        <w:jc w:val="center"/>
        <w:rPr>
          <w:rFonts w:hint="eastAsia"/>
          <w:highlight w:val="none"/>
        </w:rPr>
      </w:pPr>
    </w:p>
    <w:p>
      <w:pPr>
        <w:pStyle w:val="2"/>
        <w:adjustRightInd w:val="0"/>
        <w:spacing w:before="0" w:after="0" w:line="240" w:lineRule="auto"/>
        <w:jc w:val="center"/>
        <w:rPr>
          <w:rFonts w:hint="eastAsia"/>
          <w:highlight w:val="none"/>
        </w:rPr>
      </w:pPr>
    </w:p>
    <w:p>
      <w:pPr>
        <w:pStyle w:val="2"/>
        <w:adjustRightInd w:val="0"/>
        <w:spacing w:before="0" w:after="0" w:line="240" w:lineRule="auto"/>
        <w:jc w:val="center"/>
        <w:rPr>
          <w:rFonts w:hint="eastAsia"/>
          <w:highlight w:val="none"/>
        </w:rPr>
      </w:pPr>
    </w:p>
    <w:p>
      <w:pPr>
        <w:pStyle w:val="2"/>
        <w:adjustRightInd w:val="0"/>
        <w:spacing w:before="0" w:after="0" w:line="240" w:lineRule="auto"/>
        <w:jc w:val="center"/>
        <w:rPr>
          <w:rFonts w:hint="eastAsia"/>
          <w:highlight w:val="none"/>
        </w:rPr>
      </w:pPr>
      <w:r>
        <w:rPr>
          <w:rFonts w:hint="eastAsia"/>
          <w:highlight w:val="none"/>
        </w:rPr>
        <w:t>大连市国有土地上房屋协议搬迁工作规则</w:t>
      </w:r>
    </w:p>
    <w:p>
      <w:pPr>
        <w:adjustRightInd w:val="0"/>
        <w:snapToGrid w:val="0"/>
        <w:spacing w:line="300" w:lineRule="auto"/>
        <w:ind w:firstLine="640" w:firstLineChars="200"/>
        <w:jc w:val="center"/>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（征求意见稿）</w:t>
      </w:r>
    </w:p>
    <w:p>
      <w:pPr>
        <w:rPr>
          <w:highlight w:val="none"/>
        </w:rPr>
      </w:pPr>
    </w:p>
    <w:p>
      <w:pPr>
        <w:pStyle w:val="8"/>
        <w:numPr>
          <w:ilvl w:val="0"/>
          <w:numId w:val="1"/>
        </w:numPr>
        <w:ind w:firstLineChars="0"/>
        <w:rPr>
          <w:rFonts w:hint="eastAsia" w:ascii="黑体" w:hAnsi="黑体" w:eastAsia="黑体" w:cs="黑体"/>
          <w:sz w:val="32"/>
          <w:szCs w:val="32"/>
          <w:highlight w:val="none"/>
        </w:rPr>
      </w:pPr>
      <w:r>
        <w:rPr>
          <w:rFonts w:hint="eastAsia" w:ascii="黑体" w:hAnsi="黑体" w:eastAsia="黑体" w:cs="黑体"/>
          <w:sz w:val="32"/>
          <w:szCs w:val="32"/>
          <w:highlight w:val="none"/>
        </w:rPr>
        <w:t>总则</w:t>
      </w:r>
    </w:p>
    <w:p>
      <w:pPr>
        <w:adjustRightInd w:val="0"/>
        <w:snapToGrid w:val="0"/>
        <w:spacing w:line="30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第一条  为推进城市更新改造工作，提升城市功能，优化产业布局，规范国有土地上房屋协议搬迁活动，保障房屋搬迁当事人的合法权益。根据《中华人民共和国民法典》、《大连市城市更新管理暂行办法》等相关规定，结合我市实际，制定本规则。</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第二条 凡在本市市内四区(中山区、西岗区、沙河口区、甘井子区) 和大连高新技术产业园区(以下简称“园区管委会”)范围内实施城市更新，无法实施房屋征收与补偿，但因质量安全和环境保护要求必须先行开展房屋协议搬迁的项目、有明确的交地和开工时间节点且取得建设项目规划选址意见书的重大工程项目、经区级政府同意确需先行开展房屋协议搬迁的其他项目。城市更新实施主体（以下简称“实施主体”）需要对国有土地上被搬迁人和公房承租人协议搬迁安置补偿的，适用本规则。</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第三条 市住房和城乡建设局负责全市房屋协议搬迁工作的监督和指导。</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第四条 实施主体由区政府（园区管委会）通过公开招投标、竞争性磋商或指定方</w:t>
      </w:r>
      <w:r>
        <w:rPr>
          <w:rFonts w:hint="eastAsia" w:ascii="仿宋" w:hAnsi="仿宋" w:eastAsia="仿宋"/>
          <w:sz w:val="32"/>
          <w:szCs w:val="32"/>
          <w:highlight w:val="none"/>
          <w:lang w:eastAsia="zh-CN"/>
        </w:rPr>
        <w:t>选择</w:t>
      </w:r>
      <w:r>
        <w:rPr>
          <w:rFonts w:hint="eastAsia" w:ascii="仿宋" w:hAnsi="仿宋" w:eastAsia="仿宋"/>
          <w:sz w:val="32"/>
          <w:szCs w:val="32"/>
          <w:highlight w:val="none"/>
        </w:rPr>
        <w:t>予以确定。</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被搬迁人是指实施主体在城市更新改造工作中需要协议搬迁的房屋所有权人、公房承租人。</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第五条 本规则所称协议搬迁，是指在城市更新改造工作中，对房屋需要综合整治或拆除重建，并由实施主体按照平等、自愿、公平、诚信的原则与改造范围内的被搬迁人协商并签订安置补偿协议，实施搬迁改造的工作模式。</w:t>
      </w:r>
    </w:p>
    <w:p>
      <w:pPr>
        <w:pStyle w:val="8"/>
        <w:numPr>
          <w:ilvl w:val="0"/>
          <w:numId w:val="1"/>
        </w:numPr>
        <w:adjustRightInd w:val="0"/>
        <w:snapToGrid w:val="0"/>
        <w:spacing w:line="300" w:lineRule="auto"/>
        <w:ind w:firstLineChars="0"/>
        <w:rPr>
          <w:rFonts w:hint="eastAsia" w:ascii="黑体" w:hAnsi="黑体" w:eastAsia="黑体" w:cs="黑体"/>
          <w:sz w:val="32"/>
          <w:szCs w:val="32"/>
          <w:highlight w:val="none"/>
        </w:rPr>
      </w:pPr>
      <w:r>
        <w:rPr>
          <w:rFonts w:hint="eastAsia" w:ascii="黑体" w:hAnsi="黑体" w:eastAsia="黑体" w:cs="黑体"/>
          <w:sz w:val="32"/>
          <w:szCs w:val="32"/>
          <w:highlight w:val="none"/>
        </w:rPr>
        <w:t>项目启动</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第六条 城市更新改造房屋搬迁工作，应符合国土空间规划、国民经济和社会发展规划、大连市城市更新专项规划。</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第七条 实施主体对被搬迁人的改造意愿进行征询，对改造范围内房屋的权属、区位、用途、建筑面积等情况组织调查登记。</w:t>
      </w:r>
    </w:p>
    <w:p>
      <w:pPr>
        <w:widowControl/>
        <w:adjustRightInd w:val="0"/>
        <w:snapToGrid w:val="0"/>
        <w:spacing w:line="300" w:lineRule="auto"/>
        <w:ind w:firstLine="579" w:firstLineChars="181"/>
        <w:jc w:val="left"/>
        <w:rPr>
          <w:rFonts w:hint="eastAsia" w:ascii="仿宋" w:hAnsi="仿宋" w:eastAsia="仿宋"/>
          <w:sz w:val="32"/>
          <w:szCs w:val="32"/>
          <w:highlight w:val="none"/>
        </w:rPr>
      </w:pPr>
      <w:r>
        <w:rPr>
          <w:rFonts w:hint="eastAsia" w:ascii="仿宋" w:hAnsi="仿宋" w:eastAsia="仿宋"/>
          <w:sz w:val="32"/>
          <w:szCs w:val="32"/>
          <w:highlight w:val="none"/>
        </w:rPr>
        <w:t>第八条 实施主体应将征询、调查登记情况报区政府（园区管委会）决定是否继续实施协议搬迁工作。</w:t>
      </w:r>
    </w:p>
    <w:p>
      <w:pPr>
        <w:widowControl/>
        <w:adjustRightInd w:val="0"/>
        <w:snapToGrid w:val="0"/>
        <w:spacing w:line="300" w:lineRule="auto"/>
        <w:ind w:firstLine="579" w:firstLineChars="181"/>
        <w:jc w:val="left"/>
        <w:rPr>
          <w:rFonts w:hint="eastAsia" w:ascii="仿宋" w:hAnsi="仿宋" w:eastAsia="仿宋"/>
          <w:sz w:val="32"/>
          <w:szCs w:val="32"/>
          <w:highlight w:val="none"/>
        </w:rPr>
      </w:pPr>
      <w:r>
        <w:rPr>
          <w:rFonts w:hint="eastAsia" w:ascii="仿宋" w:hAnsi="仿宋" w:eastAsia="仿宋"/>
          <w:sz w:val="32"/>
          <w:szCs w:val="32"/>
          <w:highlight w:val="none"/>
        </w:rPr>
        <w:t>第九条 区政府（园区管委会）决定实施协议搬迁工作的，</w:t>
      </w:r>
      <w:r>
        <w:rPr>
          <w:rFonts w:hint="eastAsia" w:ascii="仿宋" w:hAnsi="仿宋" w:eastAsia="仿宋"/>
          <w:sz w:val="32"/>
          <w:szCs w:val="32"/>
          <w:highlight w:val="none"/>
        </w:rPr>
        <w:t>被搬迁人的改造意愿不得低于城市更新项目总搬迁户数的80﹪。</w:t>
      </w:r>
    </w:p>
    <w:p>
      <w:pPr>
        <w:widowControl/>
        <w:adjustRightInd w:val="0"/>
        <w:snapToGrid w:val="0"/>
        <w:spacing w:line="300" w:lineRule="auto"/>
        <w:ind w:firstLine="579" w:firstLineChars="181"/>
        <w:jc w:val="left"/>
        <w:rPr>
          <w:rFonts w:hint="eastAsia" w:ascii="仿宋" w:hAnsi="仿宋" w:eastAsia="仿宋"/>
          <w:sz w:val="32"/>
          <w:szCs w:val="32"/>
          <w:highlight w:val="none"/>
        </w:rPr>
      </w:pPr>
      <w:r>
        <w:rPr>
          <w:rFonts w:hint="eastAsia" w:ascii="仿宋" w:hAnsi="仿宋" w:eastAsia="仿宋"/>
          <w:sz w:val="32"/>
          <w:szCs w:val="32"/>
          <w:highlight w:val="none"/>
        </w:rPr>
        <w:t>第十条 区政府（园区管委会）决定停止协议搬迁的项目，一年内不得重新启动。区政府（园区管委会）决定启动的项目，实施主体应组织被搬迁人协商选取或通过其他公开方式确定房地产价格评估机构，对安置房屋及改造范围内房屋进行评估，评估时点一般以确定评估机构之日为准，双方能协议确定评估时点的以协议为准。评估报告应送达被搬迁人。</w:t>
      </w:r>
    </w:p>
    <w:p>
      <w:pPr>
        <w:widowControl/>
        <w:adjustRightInd w:val="0"/>
        <w:snapToGrid w:val="0"/>
        <w:spacing w:line="300" w:lineRule="auto"/>
        <w:ind w:firstLine="579" w:firstLineChars="181"/>
        <w:jc w:val="left"/>
        <w:rPr>
          <w:rFonts w:hint="eastAsia" w:ascii="仿宋" w:hAnsi="仿宋" w:eastAsia="仿宋"/>
          <w:sz w:val="32"/>
          <w:szCs w:val="32"/>
          <w:highlight w:val="none"/>
        </w:rPr>
      </w:pPr>
      <w:r>
        <w:rPr>
          <w:rFonts w:hint="eastAsia" w:ascii="仿宋" w:hAnsi="仿宋" w:eastAsia="仿宋"/>
          <w:sz w:val="32"/>
          <w:szCs w:val="32"/>
          <w:highlight w:val="none"/>
        </w:rPr>
        <w:t>被搬迁人</w:t>
      </w:r>
      <w:r>
        <w:rPr>
          <w:rFonts w:hint="eastAsia" w:ascii="仿宋" w:hAnsi="仿宋" w:eastAsia="仿宋" w:cs="宋体"/>
          <w:kern w:val="0"/>
          <w:sz w:val="32"/>
          <w:szCs w:val="32"/>
          <w:highlight w:val="none"/>
        </w:rPr>
        <w:t>对评估价格有异议的，可在10日内向作出评估结果的评估机构申请复估，对复估结果有异议的，可在10日内向大连市房地产估价师与经纪人协会申请鉴定。</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第十一条 实施主体应根据城市更新单元实际情况，按照城市更新单元实施方案结合评估报告最终确定的房屋价值，制定《城市更新项目协议搬迁和安置补偿方案》（下称“《搬迁和安置补偿方案》”），报项目所在区政府</w:t>
      </w:r>
      <w:r>
        <w:rPr>
          <w:rFonts w:hint="eastAsia" w:ascii="仿宋" w:hAnsi="仿宋" w:eastAsia="仿宋" w:cs="Arial"/>
          <w:color w:val="191919"/>
          <w:sz w:val="32"/>
          <w:szCs w:val="32"/>
          <w:highlight w:val="none"/>
        </w:rPr>
        <w:t>（园区管委会）审核</w:t>
      </w:r>
      <w:r>
        <w:rPr>
          <w:rFonts w:hint="eastAsia" w:ascii="仿宋" w:hAnsi="仿宋" w:eastAsia="仿宋"/>
          <w:sz w:val="32"/>
          <w:szCs w:val="32"/>
          <w:highlight w:val="none"/>
        </w:rPr>
        <w:t>批准。</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sz w:val="32"/>
          <w:szCs w:val="32"/>
          <w:highlight w:val="none"/>
        </w:rPr>
        <w:t xml:space="preserve">第十二条 </w:t>
      </w:r>
      <w:r>
        <w:rPr>
          <w:rFonts w:hint="eastAsia" w:ascii="仿宋" w:hAnsi="仿宋" w:eastAsia="仿宋" w:cs="Arial"/>
          <w:color w:val="191919"/>
          <w:sz w:val="32"/>
          <w:szCs w:val="32"/>
          <w:highlight w:val="none"/>
        </w:rPr>
        <w:t>实施主体启动协议搬迁应当向区政府（园区管委会）提交如下材料：</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cs="Arial"/>
          <w:color w:val="191919"/>
          <w:sz w:val="32"/>
          <w:szCs w:val="32"/>
          <w:highlight w:val="none"/>
        </w:rPr>
        <w:t>（一）项目列入政府城市更新计划及确定为实施主体的相关文件；</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cs="Arial"/>
          <w:color w:val="191919"/>
          <w:sz w:val="32"/>
          <w:szCs w:val="32"/>
          <w:highlight w:val="none"/>
        </w:rPr>
        <w:t>（二）房屋协议搬迁安置方案；</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cs="Arial"/>
          <w:color w:val="191919"/>
          <w:sz w:val="32"/>
          <w:szCs w:val="32"/>
          <w:highlight w:val="none"/>
        </w:rPr>
        <w:t>（三）实施单位搬迁成本测算单；</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b/>
          <w:color w:val="191919"/>
          <w:sz w:val="32"/>
          <w:szCs w:val="32"/>
          <w:highlight w:val="none"/>
        </w:rPr>
      </w:pPr>
      <w:r>
        <w:rPr>
          <w:rFonts w:hint="eastAsia" w:ascii="仿宋" w:hAnsi="仿宋" w:eastAsia="仿宋" w:cs="Arial"/>
          <w:color w:val="191919"/>
          <w:sz w:val="32"/>
          <w:szCs w:val="32"/>
          <w:highlight w:val="none"/>
        </w:rPr>
        <w:t>（四）</w:t>
      </w:r>
      <w:r>
        <w:rPr>
          <w:rStyle w:val="6"/>
          <w:rFonts w:hint="eastAsia" w:ascii="仿宋" w:hAnsi="仿宋" w:eastAsia="仿宋" w:cs="Arial"/>
          <w:b w:val="0"/>
          <w:color w:val="191919"/>
          <w:sz w:val="32"/>
          <w:szCs w:val="32"/>
          <w:highlight w:val="none"/>
        </w:rPr>
        <w:t>金融机构出具的搬迁资金到位证明或</w:t>
      </w:r>
      <w:r>
        <w:rPr>
          <w:rStyle w:val="6"/>
          <w:rFonts w:hint="eastAsia" w:ascii="仿宋" w:hAnsi="仿宋" w:eastAsia="仿宋" w:cs="Arial"/>
          <w:b w:val="0"/>
          <w:color w:val="191919"/>
          <w:sz w:val="32"/>
          <w:szCs w:val="32"/>
          <w:highlight w:val="none"/>
        </w:rPr>
        <w:t>其他部分由金融机构出具保函</w:t>
      </w:r>
      <w:r>
        <w:rPr>
          <w:rStyle w:val="6"/>
          <w:rFonts w:hint="eastAsia" w:ascii="仿宋" w:hAnsi="仿宋" w:eastAsia="仿宋" w:cs="Arial"/>
          <w:b w:val="0"/>
          <w:color w:val="191919"/>
          <w:sz w:val="32"/>
          <w:szCs w:val="32"/>
          <w:highlight w:val="none"/>
        </w:rPr>
        <w:t>。</w:t>
      </w:r>
    </w:p>
    <w:p>
      <w:pPr>
        <w:pStyle w:val="3"/>
        <w:shd w:val="clear" w:color="auto" w:fill="FFFFFF"/>
        <w:adjustRightInd w:val="0"/>
        <w:snapToGrid w:val="0"/>
        <w:spacing w:before="0" w:beforeAutospacing="0" w:after="0" w:afterAutospacing="0" w:line="20" w:lineRule="atLeast"/>
        <w:ind w:firstLine="640" w:firstLineChars="200"/>
        <w:rPr>
          <w:rFonts w:hint="eastAsia" w:ascii="仿宋" w:hAnsi="仿宋" w:eastAsia="仿宋" w:cs="Arial"/>
          <w:color w:val="191919"/>
          <w:sz w:val="32"/>
          <w:szCs w:val="32"/>
          <w:highlight w:val="none"/>
        </w:rPr>
      </w:pPr>
      <w:r>
        <w:rPr>
          <w:rFonts w:hint="eastAsia" w:ascii="仿宋" w:hAnsi="仿宋" w:eastAsia="仿宋"/>
          <w:sz w:val="32"/>
          <w:szCs w:val="32"/>
          <w:highlight w:val="none"/>
        </w:rPr>
        <w:t>第十三条</w:t>
      </w:r>
      <w:r>
        <w:rPr>
          <w:rFonts w:hint="eastAsia" w:ascii="仿宋" w:hAnsi="仿宋" w:eastAsia="仿宋" w:cs="Arial"/>
          <w:color w:val="191919"/>
          <w:sz w:val="32"/>
          <w:szCs w:val="32"/>
          <w:highlight w:val="none"/>
        </w:rPr>
        <w:t xml:space="preserve"> 区政府（园区管委会）与实施主体签订项目实施监管协议，明确下列事项：</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cs="Arial"/>
          <w:color w:val="191919"/>
          <w:sz w:val="32"/>
          <w:szCs w:val="32"/>
          <w:highlight w:val="none"/>
        </w:rPr>
        <w:t>（一）实施主体按照房屋搬迁安置协议应当履行的义务；</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cs="Arial"/>
          <w:color w:val="191919"/>
          <w:sz w:val="32"/>
          <w:szCs w:val="32"/>
          <w:highlight w:val="none"/>
        </w:rPr>
        <w:t>（二）协议搬迁项目实施进度安排及完成时限；</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cs="Arial"/>
          <w:color w:val="191919"/>
          <w:sz w:val="32"/>
          <w:szCs w:val="32"/>
          <w:highlight w:val="none"/>
        </w:rPr>
        <w:t>（三）搬迁资金监管措施；</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cs="Arial"/>
          <w:color w:val="191919"/>
          <w:sz w:val="32"/>
          <w:szCs w:val="32"/>
          <w:highlight w:val="none"/>
        </w:rPr>
        <w:t>（四）违约责任；</w:t>
      </w:r>
    </w:p>
    <w:p>
      <w:pPr>
        <w:pStyle w:val="3"/>
        <w:shd w:val="clear" w:color="auto" w:fill="FFFFFF"/>
        <w:adjustRightInd w:val="0"/>
        <w:snapToGrid w:val="0"/>
        <w:spacing w:before="0" w:beforeAutospacing="0" w:after="0" w:afterAutospacing="0" w:line="20" w:lineRule="atLeast"/>
        <w:ind w:firstLine="480" w:firstLineChars="150"/>
        <w:rPr>
          <w:rFonts w:hint="eastAsia" w:ascii="仿宋" w:hAnsi="仿宋" w:eastAsia="仿宋" w:cs="Arial"/>
          <w:color w:val="191919"/>
          <w:sz w:val="32"/>
          <w:szCs w:val="32"/>
          <w:highlight w:val="none"/>
        </w:rPr>
      </w:pPr>
      <w:r>
        <w:rPr>
          <w:rFonts w:hint="eastAsia" w:ascii="仿宋" w:hAnsi="仿宋" w:eastAsia="仿宋" w:cs="Arial"/>
          <w:color w:val="191919"/>
          <w:sz w:val="32"/>
          <w:szCs w:val="32"/>
          <w:highlight w:val="none"/>
        </w:rPr>
        <w:t>（五）双方需要约定的其他事项。</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 xml:space="preserve">第十四条 </w:t>
      </w:r>
      <w:r>
        <w:rPr>
          <w:rStyle w:val="9"/>
          <w:rFonts w:hint="eastAsia" w:ascii="仿宋" w:hAnsi="仿宋" w:eastAsia="仿宋" w:cs="Arial"/>
          <w:sz w:val="32"/>
          <w:szCs w:val="32"/>
          <w:highlight w:val="none"/>
        </w:rPr>
        <w:t>实施主体应在发布</w:t>
      </w:r>
      <w:r>
        <w:rPr>
          <w:rFonts w:hint="eastAsia" w:ascii="仿宋" w:hAnsi="仿宋" w:eastAsia="仿宋"/>
          <w:sz w:val="32"/>
          <w:szCs w:val="32"/>
          <w:highlight w:val="none"/>
        </w:rPr>
        <w:t>《搬迁和安置补偿方案》通告后，协议搬迁范围内的单位和个人进行不当增加补偿费用的行为，不予补偿。</w:t>
      </w:r>
      <w:r>
        <w:rPr>
          <w:rFonts w:ascii="仿宋" w:hAnsi="仿宋" w:eastAsia="仿宋"/>
          <w:sz w:val="32"/>
          <w:szCs w:val="32"/>
          <w:highlight w:val="none"/>
        </w:rPr>
        <w:t xml:space="preserve"> </w:t>
      </w:r>
    </w:p>
    <w:p>
      <w:pPr>
        <w:pStyle w:val="3"/>
        <w:shd w:val="clear" w:color="auto" w:fill="FFFFFF"/>
        <w:adjustRightInd w:val="0"/>
        <w:snapToGrid w:val="0"/>
        <w:spacing w:before="0" w:beforeAutospacing="0" w:after="0" w:afterAutospacing="0" w:line="20" w:lineRule="atLeast"/>
        <w:ind w:firstLine="640" w:firstLineChars="200"/>
        <w:rPr>
          <w:rFonts w:hint="eastAsia" w:ascii="仿宋" w:hAnsi="仿宋" w:eastAsia="仿宋" w:cs="Arial"/>
          <w:color w:val="191919"/>
          <w:sz w:val="32"/>
          <w:szCs w:val="32"/>
          <w:highlight w:val="none"/>
        </w:rPr>
      </w:pPr>
      <w:r>
        <w:rPr>
          <w:rFonts w:hint="eastAsia" w:ascii="仿宋" w:hAnsi="仿宋" w:eastAsia="仿宋"/>
          <w:sz w:val="32"/>
          <w:szCs w:val="32"/>
          <w:highlight w:val="none"/>
        </w:rPr>
        <w:t xml:space="preserve">第十五条 </w:t>
      </w:r>
      <w:r>
        <w:rPr>
          <w:rFonts w:hint="eastAsia" w:ascii="仿宋" w:hAnsi="仿宋" w:eastAsia="仿宋" w:cs="Arial"/>
          <w:color w:val="191919"/>
          <w:sz w:val="32"/>
          <w:szCs w:val="32"/>
          <w:highlight w:val="none"/>
        </w:rPr>
        <w:t>实施主体持实施监管协议到区政府（园区管委会）办理</w:t>
      </w:r>
      <w:r>
        <w:rPr>
          <w:rFonts w:hint="eastAsia" w:ascii="仿宋" w:hAnsi="仿宋" w:eastAsia="仿宋" w:cs="Arial"/>
          <w:sz w:val="32"/>
          <w:szCs w:val="32"/>
          <w:highlight w:val="none"/>
        </w:rPr>
        <w:t>项目</w:t>
      </w:r>
      <w:r>
        <w:rPr>
          <w:rFonts w:hint="eastAsia" w:ascii="仿宋" w:hAnsi="仿宋" w:eastAsia="仿宋" w:cs="Arial"/>
          <w:color w:val="191919"/>
          <w:sz w:val="32"/>
          <w:szCs w:val="32"/>
          <w:highlight w:val="none"/>
        </w:rPr>
        <w:t>使用手续。</w:t>
      </w:r>
    </w:p>
    <w:p>
      <w:pPr>
        <w:adjustRightInd w:val="0"/>
        <w:snapToGrid w:val="0"/>
        <w:spacing w:line="300" w:lineRule="auto"/>
        <w:ind w:firstLine="2240" w:firstLineChars="700"/>
        <w:rPr>
          <w:rFonts w:hint="eastAsia" w:ascii="仿宋" w:hAnsi="仿宋" w:eastAsia="仿宋"/>
          <w:sz w:val="32"/>
          <w:szCs w:val="32"/>
          <w:highlight w:val="none"/>
        </w:rPr>
      </w:pPr>
      <w:r>
        <w:rPr>
          <w:rFonts w:hint="eastAsia" w:ascii="黑体" w:hAnsi="黑体" w:eastAsia="黑体" w:cs="黑体"/>
          <w:sz w:val="32"/>
          <w:szCs w:val="32"/>
          <w:highlight w:val="none"/>
        </w:rPr>
        <w:t>第三章    组织实施</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第十六条 实施主体应在改造范围内公示《搬迁和安置补偿方案》，并在媒体发布协议搬迁通告,通告内容应当包括：实施主体、搬迁实施单位、搬迁范围、安置补偿方案、签约期限及生效比例、咨询电话等相关事项。</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第十七条 住宅房屋被搬迁人可选择货币补偿也可以选择产权调换。选择产权调换房屋为七层以下的，过渡期限不超过两年，七层以上的，过渡期限不超过三年。</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第十八条 非住宅房屋实行货币补偿，停产停业损失和设备搬迁、调试等费用由实施主体与被搬迁人协商解决，协商不成的，可选择资产评估机构确定补偿价值。</w:t>
      </w:r>
    </w:p>
    <w:p>
      <w:pPr>
        <w:widowControl/>
        <w:adjustRightInd w:val="0"/>
        <w:snapToGrid w:val="0"/>
        <w:spacing w:line="300" w:lineRule="auto"/>
        <w:ind w:firstLine="579" w:firstLineChars="181"/>
        <w:jc w:val="left"/>
        <w:rPr>
          <w:rFonts w:hint="eastAsia" w:ascii="仿宋" w:hAnsi="仿宋" w:eastAsia="仿宋"/>
          <w:sz w:val="32"/>
          <w:szCs w:val="32"/>
          <w:highlight w:val="none"/>
        </w:rPr>
      </w:pPr>
      <w:r>
        <w:rPr>
          <w:rFonts w:hint="eastAsia" w:ascii="仿宋" w:hAnsi="仿宋" w:eastAsia="仿宋"/>
          <w:sz w:val="32"/>
          <w:szCs w:val="32"/>
          <w:highlight w:val="none"/>
        </w:rPr>
        <w:t>第十九条 实施主体应与同意按照《搬迁和安置补偿方案》</w:t>
      </w:r>
      <w:r>
        <w:rPr>
          <w:rFonts w:hint="eastAsia" w:ascii="仿宋" w:hAnsi="仿宋" w:eastAsia="仿宋"/>
          <w:sz w:val="32"/>
          <w:szCs w:val="32"/>
          <w:highlight w:val="none"/>
          <w:lang w:eastAsia="zh-CN"/>
        </w:rPr>
        <w:t>的</w:t>
      </w:r>
      <w:r>
        <w:rPr>
          <w:rFonts w:hint="eastAsia" w:ascii="仿宋" w:hAnsi="仿宋" w:eastAsia="仿宋"/>
          <w:sz w:val="32"/>
          <w:szCs w:val="32"/>
          <w:highlight w:val="none"/>
        </w:rPr>
        <w:t>被搬迁人签订搬迁安置补偿协议。</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第二十条 协议搬迁涉及不动产权属变动的，应在搬迁协议中明确约定，对被搬迁人实施补偿后，由不动产权利人办理不动产注销登记。原权利人同意办理不动产注销登记及委托实施主体办理不动产注销登记应当进行公证。</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第二十一条 实施主体应当将搬迁安置补偿协议签订情况在改造范围内及时公布，但不得侵害被搬迁人的隐私。在签约期限内，签订搬迁安置补偿协议的户数达到《搬迁和安置补偿方案》规定比例的，搬迁安置补偿协议生效并报区政府（园区管委会）备案。</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第二十二条 签订搬迁安置补偿协议的户数未达到《搬迁和安置补偿方案》规定比例的，实施主体不得</w:t>
      </w:r>
      <w:r>
        <w:rPr>
          <w:rFonts w:hint="eastAsia" w:ascii="仿宋" w:hAnsi="仿宋" w:eastAsia="仿宋"/>
          <w:sz w:val="32"/>
          <w:szCs w:val="32"/>
          <w:highlight w:val="none"/>
          <w:lang w:eastAsia="zh-CN"/>
        </w:rPr>
        <w:t>以</w:t>
      </w:r>
      <w:r>
        <w:rPr>
          <w:rFonts w:hint="eastAsia" w:ascii="仿宋" w:hAnsi="仿宋" w:eastAsia="仿宋"/>
          <w:sz w:val="32"/>
          <w:szCs w:val="32"/>
          <w:highlight w:val="none"/>
        </w:rPr>
        <w:t>停水、停电、破坏道路等手段胁迫被搬迁人搬迁,应终止协议搬迁程序并书面通知同意协议搬迁的被搬迁人。</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 xml:space="preserve">第二十三条 </w:t>
      </w:r>
      <w:r>
        <w:rPr>
          <w:rFonts w:hint="eastAsia" w:ascii="仿宋" w:hAnsi="仿宋" w:eastAsia="仿宋"/>
          <w:sz w:val="32"/>
          <w:szCs w:val="32"/>
          <w:highlight w:val="none"/>
        </w:rPr>
        <w:t>签订搬迁安置补偿协议达到《搬迁和安置补偿方案》规定比例要求的，实施主体与未达成一致的被搬迁人经过充分协商仍未达成一致意见的，</w:t>
      </w:r>
      <w:r>
        <w:rPr>
          <w:rFonts w:hint="eastAsia" w:ascii="仿宋" w:hAnsi="仿宋" w:eastAsia="仿宋"/>
          <w:sz w:val="32"/>
          <w:szCs w:val="32"/>
          <w:highlight w:val="none"/>
        </w:rPr>
        <w:t xml:space="preserve">可就安置补偿争议向属地人民调解机构申请调解。  </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第二十四条 经人民调解机构调解仍达不成搬迁安置补偿协议的，</w:t>
      </w:r>
      <w:r>
        <w:rPr>
          <w:rFonts w:hint="eastAsia" w:ascii="仿宋" w:hAnsi="仿宋" w:eastAsia="仿宋"/>
          <w:sz w:val="32"/>
          <w:szCs w:val="32"/>
          <w:highlight w:val="none"/>
        </w:rPr>
        <w:t>签订搬迁安置补偿协议达到城市更新项目总搬迁户数95﹪时，</w:t>
      </w:r>
      <w:r>
        <w:rPr>
          <w:rFonts w:hint="eastAsia" w:ascii="仿宋" w:hAnsi="仿宋" w:eastAsia="仿宋"/>
          <w:sz w:val="32"/>
          <w:szCs w:val="32"/>
          <w:highlight w:val="none"/>
        </w:rPr>
        <w:t>符合公共利益需要的项目，区政府（园区管委会经市政府授权）可启动国有土地上房屋征收程序。</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第二十五条 搬迁安置补偿协议签订后，各方当事人应按照诚实信用原则履行协议,不得擅自变更或撤销。当事人一方不履行协议义务或履行协议义务不符合约定的，应通过司法诉讼解决协议纠纷。</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第二十六条 项目协议搬迁结束后，改造范围内不需要拆除的建筑，</w:t>
      </w:r>
      <w:r>
        <w:rPr>
          <w:rFonts w:hint="eastAsia" w:ascii="仿宋" w:hAnsi="仿宋" w:eastAsia="仿宋"/>
          <w:sz w:val="32"/>
          <w:szCs w:val="32"/>
          <w:highlight w:val="none"/>
        </w:rPr>
        <w:t>由原不动产登记权利转移双方共同申请办理不动产转移登记。</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 xml:space="preserve">第二十七条 </w:t>
      </w:r>
      <w:r>
        <w:rPr>
          <w:rFonts w:hint="eastAsia" w:ascii="仿宋" w:hAnsi="仿宋" w:eastAsia="仿宋"/>
          <w:sz w:val="32"/>
          <w:szCs w:val="32"/>
          <w:highlight w:val="none"/>
        </w:rPr>
        <w:t>选择产权调换的被搬迁人（公房承租人）和保留建筑办理不动产登记</w:t>
      </w:r>
      <w:r>
        <w:rPr>
          <w:rFonts w:hint="eastAsia" w:ascii="仿宋" w:hAnsi="仿宋" w:eastAsia="仿宋"/>
          <w:sz w:val="32"/>
          <w:szCs w:val="32"/>
          <w:highlight w:val="none"/>
        </w:rPr>
        <w:t>，按</w:t>
      </w:r>
      <w:r>
        <w:rPr>
          <w:rFonts w:hint="eastAsia" w:ascii="仿宋" w:hAnsi="仿宋" w:eastAsia="仿宋" w:cs="Arial"/>
          <w:color w:val="191919"/>
          <w:sz w:val="32"/>
          <w:szCs w:val="32"/>
          <w:highlight w:val="none"/>
          <w:shd w:val="clear" w:color="auto" w:fill="FFFFFF"/>
        </w:rPr>
        <w:t>不动产登记相关规定</w:t>
      </w:r>
      <w:r>
        <w:rPr>
          <w:rFonts w:hint="eastAsia" w:ascii="仿宋" w:hAnsi="仿宋" w:eastAsia="仿宋"/>
          <w:sz w:val="32"/>
          <w:szCs w:val="32"/>
          <w:highlight w:val="none"/>
        </w:rPr>
        <w:t>办理</w:t>
      </w:r>
      <w:r>
        <w:rPr>
          <w:rFonts w:hint="eastAsia" w:ascii="仿宋" w:hAnsi="仿宋" w:eastAsia="仿宋" w:cs="Arial"/>
          <w:color w:val="191919"/>
          <w:sz w:val="32"/>
          <w:szCs w:val="32"/>
          <w:highlight w:val="none"/>
          <w:shd w:val="clear" w:color="auto" w:fill="FFFFFF"/>
        </w:rPr>
        <w:t>，契税按</w:t>
      </w:r>
      <w:r>
        <w:rPr>
          <w:rFonts w:hint="eastAsia" w:ascii="仿宋" w:hAnsi="仿宋" w:eastAsia="仿宋"/>
          <w:sz w:val="32"/>
          <w:szCs w:val="32"/>
          <w:highlight w:val="none"/>
        </w:rPr>
        <w:t>税务部门的相关规定执行。</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第二十八条 涉及土地使用证注销的按自然资源部门的相关规定执行。</w:t>
      </w:r>
    </w:p>
    <w:p>
      <w:pPr>
        <w:pStyle w:val="8"/>
        <w:numPr>
          <w:numId w:val="0"/>
        </w:numPr>
        <w:adjustRightInd w:val="0"/>
        <w:snapToGrid w:val="0"/>
        <w:spacing w:line="300" w:lineRule="auto"/>
        <w:ind w:left="3240" w:leftChars="0"/>
        <w:rPr>
          <w:rFonts w:hint="eastAsia" w:ascii="黑体" w:hAnsi="黑体" w:eastAsia="黑体" w:cs="黑体"/>
          <w:sz w:val="32"/>
          <w:szCs w:val="32"/>
          <w:highlight w:val="none"/>
        </w:rPr>
      </w:pPr>
      <w:bookmarkStart w:id="0" w:name="_GoBack"/>
      <w:r>
        <w:rPr>
          <w:rFonts w:hint="eastAsia" w:ascii="黑体" w:hAnsi="黑体" w:eastAsia="黑体" w:cs="黑体"/>
          <w:sz w:val="32"/>
          <w:szCs w:val="32"/>
          <w:highlight w:val="none"/>
          <w:lang w:eastAsia="zh-CN"/>
        </w:rPr>
        <w:t>第四章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附则</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第二十九条 未经区政府（园区管委会）批准，任何单位和个人不得擅自进行房屋协议搬迁相关工作。</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第三十条 本规则自发布之日起施行，有效期5年。</w:t>
      </w:r>
    </w:p>
    <w:bookmarkEnd w:id="0"/>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 xml:space="preserve">                    </w:t>
      </w:r>
    </w:p>
    <w:p>
      <w:pPr>
        <w:adjustRightInd w:val="0"/>
        <w:snapToGrid w:val="0"/>
        <w:spacing w:line="300" w:lineRule="auto"/>
        <w:ind w:firstLine="640" w:firstLineChars="200"/>
        <w:rPr>
          <w:rFonts w:hint="eastAsia" w:ascii="仿宋" w:hAnsi="仿宋" w:eastAsia="仿宋"/>
          <w:sz w:val="32"/>
          <w:szCs w:val="32"/>
          <w:highlight w:val="none"/>
        </w:rPr>
      </w:pPr>
    </w:p>
    <w:p>
      <w:pPr>
        <w:adjustRightInd w:val="0"/>
        <w:snapToGrid w:val="0"/>
        <w:spacing w:line="300" w:lineRule="auto"/>
        <w:ind w:firstLine="3840" w:firstLineChars="1200"/>
        <w:rPr>
          <w:rFonts w:hint="eastAsia" w:ascii="仿宋" w:hAnsi="仿宋" w:eastAsia="仿宋"/>
          <w:sz w:val="32"/>
          <w:szCs w:val="32"/>
          <w:highlight w:val="none"/>
        </w:rPr>
      </w:pPr>
      <w:r>
        <w:rPr>
          <w:rFonts w:hint="eastAsia" w:ascii="仿宋" w:hAnsi="仿宋" w:eastAsia="仿宋"/>
          <w:sz w:val="32"/>
          <w:szCs w:val="32"/>
          <w:highlight w:val="none"/>
        </w:rPr>
        <w:t>大连市住房和城乡建设局</w:t>
      </w:r>
    </w:p>
    <w:p>
      <w:pPr>
        <w:adjustRightInd w:val="0"/>
        <w:snapToGrid w:val="0"/>
        <w:spacing w:line="30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 xml:space="preserve">                       2022年</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月日</w:t>
      </w:r>
    </w:p>
    <w:p>
      <w:pPr>
        <w:rPr>
          <w:rFonts w:hint="eastAsia"/>
          <w:highlight w:val="none"/>
        </w:rPr>
      </w:pPr>
    </w:p>
    <w:p>
      <w:pPr>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8B002B"/>
    <w:multiLevelType w:val="multilevel"/>
    <w:tmpl w:val="518B002B"/>
    <w:lvl w:ilvl="0" w:tentative="0">
      <w:start w:val="1"/>
      <w:numFmt w:val="japaneseCounting"/>
      <w:lvlText w:val="第%1章"/>
      <w:lvlJc w:val="left"/>
      <w:pPr>
        <w:ind w:left="39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ZGVkOTQwOTM5ZjQ3YTE3YzFkMDMyNDMzMzc0YjUifQ=="/>
  </w:docVars>
  <w:rsids>
    <w:rsidRoot w:val="00CC549F"/>
    <w:rsid w:val="00105F77"/>
    <w:rsid w:val="002218B3"/>
    <w:rsid w:val="004F57B4"/>
    <w:rsid w:val="00702A8C"/>
    <w:rsid w:val="00752F2A"/>
    <w:rsid w:val="0089210A"/>
    <w:rsid w:val="00CC549F"/>
    <w:rsid w:val="00E75CE1"/>
    <w:rsid w:val="022655F4"/>
    <w:rsid w:val="038A1272"/>
    <w:rsid w:val="03913E39"/>
    <w:rsid w:val="090E0B90"/>
    <w:rsid w:val="1B5E59A7"/>
    <w:rsid w:val="5C14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6" w:lineRule="auto"/>
      <w:outlineLvl w:val="0"/>
    </w:pPr>
    <w:rPr>
      <w:rFonts w:eastAsia="宋体" w:cs="宋体"/>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Char"/>
    <w:basedOn w:val="5"/>
    <w:link w:val="2"/>
    <w:qFormat/>
    <w:uiPriority w:val="9"/>
    <w:rPr>
      <w:rFonts w:eastAsia="宋体" w:cs="宋体"/>
      <w:b/>
      <w:bCs/>
      <w:kern w:val="44"/>
      <w:sz w:val="44"/>
      <w:szCs w:val="44"/>
    </w:rPr>
  </w:style>
  <w:style w:type="paragraph" w:styleId="8">
    <w:name w:val="List Paragraph"/>
    <w:basedOn w:val="1"/>
    <w:qFormat/>
    <w:uiPriority w:val="34"/>
    <w:pPr>
      <w:ind w:firstLine="420" w:firstLineChars="200"/>
    </w:pPr>
  </w:style>
  <w:style w:type="character" w:customStyle="1" w:styleId="9">
    <w:name w:val="bjh-p"/>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2532</Words>
  <Characters>2540</Characters>
  <Lines>19</Lines>
  <Paragraphs>5</Paragraphs>
  <TotalTime>1129</TotalTime>
  <ScaleCrop>false</ScaleCrop>
  <LinksUpToDate>false</LinksUpToDate>
  <CharactersWithSpaces>2623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2022-08-02T05:57:00Z</dcterms:created>
  <dc:creator>AutoBVT</dc:creator>
  <cp:lastModifiedBy>丹婷</cp:lastModifiedBy>
  <cp:lastPrinted>2022-10-26T01:23:37Z</cp:lastPrinted>
  <dcterms:modified xsi:type="dcterms:W3CDTF">2022-10-26T08:44:00Z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106CEEADB70846EBB501EE8D9EB81FEB</vt:lpwstr>
  </property>
</Properties>
</file>