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b/>
          <w:bCs/>
          <w:sz w:val="32"/>
          <w:szCs w:val="32"/>
        </w:rPr>
      </w:pPr>
      <w:r>
        <w:rPr>
          <w:rFonts w:hint="eastAsia"/>
          <w:b/>
          <w:bCs/>
          <w:sz w:val="32"/>
          <w:szCs w:val="32"/>
        </w:rPr>
        <w:t>关于《福建省公共租赁住房租赁合同示范文本》（</w:t>
      </w:r>
      <w:bookmarkStart w:id="0" w:name="_GoBack"/>
      <w:r>
        <w:rPr>
          <w:rFonts w:hint="eastAsia"/>
          <w:b/>
          <w:bCs/>
          <w:sz w:val="32"/>
          <w:szCs w:val="32"/>
          <w:lang w:val="en-US" w:eastAsia="zh-CN"/>
        </w:rPr>
        <w:t>征求意见</w:t>
      </w:r>
      <w:bookmarkEnd w:id="0"/>
      <w:r>
        <w:rPr>
          <w:rFonts w:hint="eastAsia"/>
          <w:b/>
          <w:bCs/>
          <w:sz w:val="32"/>
          <w:szCs w:val="32"/>
        </w:rPr>
        <w:t>稿）的起草说明</w:t>
      </w:r>
    </w:p>
    <w:p>
      <w:pPr>
        <w:ind w:firstLine="560" w:firstLineChars="200"/>
        <w:rPr>
          <w:sz w:val="28"/>
          <w:szCs w:val="28"/>
        </w:rPr>
      </w:pPr>
      <w:r>
        <w:rPr>
          <w:rFonts w:hint="eastAsia"/>
          <w:sz w:val="28"/>
          <w:szCs w:val="28"/>
        </w:rPr>
        <w:t>为规范福建省公共租赁住房领域的秩序，理顺各参与主体之间的权利义务，保障合同参与主体的合法权益，促进福建省公共租赁住房市场的有序、稳定、和谐发展，遵照现有法律法规、部门规章、规范性文件的前提下，结合个别省、市以及福建省内各市、县的通行做法，在以行政为主导、尊重契约精神以及最新发展趋势的背景下，起草了《福建省公共租赁住房租赁合同示范文本》（以下简称“《合同示范文本》”，现就《合同示范文本》的起草做主要说明如下。</w:t>
      </w:r>
    </w:p>
    <w:p>
      <w:pPr>
        <w:numPr>
          <w:ilvl w:val="0"/>
          <w:numId w:val="1"/>
        </w:numPr>
        <w:ind w:firstLine="562" w:firstLineChars="200"/>
        <w:rPr>
          <w:b/>
          <w:bCs/>
          <w:sz w:val="28"/>
          <w:szCs w:val="28"/>
        </w:rPr>
      </w:pPr>
      <w:r>
        <w:rPr>
          <w:rFonts w:hint="eastAsia"/>
          <w:b/>
          <w:bCs/>
          <w:sz w:val="28"/>
          <w:szCs w:val="28"/>
        </w:rPr>
        <w:t>《合同示范文本》的起草背景</w:t>
      </w:r>
    </w:p>
    <w:p>
      <w:pPr>
        <w:ind w:firstLine="560" w:firstLineChars="200"/>
        <w:rPr>
          <w:sz w:val="28"/>
          <w:szCs w:val="28"/>
        </w:rPr>
      </w:pPr>
      <w:r>
        <w:rPr>
          <w:rFonts w:hint="eastAsia"/>
          <w:sz w:val="28"/>
          <w:szCs w:val="28"/>
        </w:rPr>
        <w:t>目前，国内相关部门未组织制定在全国具有指导性的公共租赁住房租赁合同示范文本，国内各省、市、县有自己的实践经验，但各省内较少有统一指导性合同文本。目前仅有广东、河北、云南、四川等省份制定了保障性住房租赁合同或公共租赁住房租赁合同，以及距离年限较近的为武汉市房管局联合市市场监管局于2020年6月印发的新修订的《武汉市公共租赁住房租赁合同示范文本》，北京市住房和城乡建设委员会联合市场监督管理局于2019年11月制定的《北京市公共租赁住房租赁合同》。</w:t>
      </w:r>
    </w:p>
    <w:p>
      <w:pPr>
        <w:ind w:firstLine="560" w:firstLineChars="200"/>
        <w:rPr>
          <w:sz w:val="28"/>
          <w:szCs w:val="28"/>
        </w:rPr>
      </w:pPr>
      <w:r>
        <w:rPr>
          <w:rFonts w:hint="eastAsia"/>
          <w:sz w:val="28"/>
          <w:szCs w:val="28"/>
        </w:rPr>
        <w:t>福建省省内关于公共租赁住房适用合同文本主要以省直机关、各地市、县各自的实践为基础制定的公共租赁住房合同，如《省直单位公共租赁住房租赁合同》、《福州市公共租赁住房租赁合同》、《厦门市保障性租赁房租赁合同》、《南平市保障性住房租赁合同》、《龙岩市区公共租赁住房租赁合同》、《莆田市本级廉租(公共租赁）住房》、《龙岩市区公共租赁住房租赁合同》等十几份内容各不相同的合同版本</w:t>
      </w:r>
      <w:r>
        <w:rPr>
          <w:rFonts w:hint="eastAsia"/>
          <w:sz w:val="28"/>
          <w:szCs w:val="28"/>
          <w:lang w:eastAsia="zh-CN"/>
        </w:rPr>
        <w:t>，</w:t>
      </w:r>
      <w:r>
        <w:rPr>
          <w:rFonts w:hint="eastAsia"/>
          <w:sz w:val="28"/>
          <w:szCs w:val="28"/>
        </w:rPr>
        <w:t>以上不同合同适用情况使得省内公共租赁住房管理体系难以统一。</w:t>
      </w:r>
    </w:p>
    <w:p>
      <w:pPr>
        <w:ind w:firstLine="560" w:firstLineChars="200"/>
        <w:rPr>
          <w:sz w:val="28"/>
          <w:szCs w:val="28"/>
        </w:rPr>
      </w:pPr>
      <w:r>
        <w:rPr>
          <w:rFonts w:hint="eastAsia"/>
          <w:sz w:val="28"/>
          <w:szCs w:val="28"/>
        </w:rPr>
        <w:t>经调查、研究发现，以上省内外合同文本大部分制定于2020年以前，合同许多内容与《最高人民法院关于审理行政协议案件若干问题的规定》（法释〔2019〕17号）规定内容相左，又适值《中华人民共和国民法典》施行之际，省内现适用大部分合同内容已经难以满足法律变迁及最新实践变化之需要，尤其体现在以下几个方面：</w:t>
      </w:r>
    </w:p>
    <w:p>
      <w:pPr>
        <w:ind w:firstLine="602" w:firstLineChars="200"/>
        <w:rPr>
          <w:rFonts w:ascii="宋体" w:hAnsi="宋体" w:eastAsia="宋体" w:cs="仿宋"/>
          <w:b/>
          <w:bCs/>
          <w:spacing w:val="10"/>
          <w:sz w:val="28"/>
          <w:szCs w:val="28"/>
        </w:rPr>
      </w:pPr>
      <w:r>
        <w:rPr>
          <w:rFonts w:hint="eastAsia" w:ascii="宋体" w:hAnsi="宋体" w:eastAsia="宋体" w:cs="仿宋"/>
          <w:b/>
          <w:bCs/>
          <w:spacing w:val="10"/>
          <w:sz w:val="28"/>
          <w:szCs w:val="28"/>
        </w:rPr>
        <w:t>1、法律适用和程序适用已经发生变化，公共租赁住房租赁合同纠纷属于行政纠纷，行政诉讼法没有规定的，参照适用民事诉讼法的规定。</w:t>
      </w:r>
    </w:p>
    <w:p>
      <w:pPr>
        <w:ind w:firstLine="600" w:firstLineChars="200"/>
        <w:rPr>
          <w:rFonts w:ascii="宋体" w:hAnsi="宋体" w:eastAsia="宋体" w:cs="仿宋"/>
          <w:spacing w:val="10"/>
          <w:sz w:val="28"/>
          <w:szCs w:val="28"/>
        </w:rPr>
      </w:pPr>
      <w:r>
        <w:rPr>
          <w:rFonts w:hint="eastAsia" w:ascii="宋体" w:hAnsi="宋体" w:eastAsia="宋体" w:cs="仿宋"/>
          <w:spacing w:val="10"/>
          <w:sz w:val="28"/>
          <w:szCs w:val="28"/>
        </w:rPr>
        <w:t>经大量检索过往案例，目前案例显示涉及公共租赁住房纠纷的较多案件仍适用民事法律规定、按照民事程序进行审理。但原则上，《最高人民法院关于审理行政协议案件若干问题的规定》施行后，要遵照行政法律规定进行审理，尤其是该规定第二条第四项规定，政府投资的保障性住房的租赁、买卖等协议属于行政协议，公民、法人或者其他组织就该行政协议提起行政诉讼的，人民法院应当依法受理。该司法解释明确了公共租赁住房租赁合同属于行政协议，该类纠纷属于行政诉讼范畴。近期案例比如广东省广州市中级人民法院关于刘建民、广州市荔湾区住房和建设局房屋租赁合同纠纷一案，出具了(2021)粤01民终22319号《民事裁定书》，就撤销了一审民事判决，驳回广州市荔湾区住房和建设局的起诉；又如福建省南平市建阳区人民法院关于陈江、南平市建阳区住房保障和房地产交易管理处房屋租赁合同纠纷一案，出具了(2020)闽0703民初2431号《民事裁定书》，裁定对南平市建阳区住房保障和房地产交易管理处的起诉不予受理；再如福建省福州市中级人民法院关于陈煌、陈冰因与福州市国有房产中心房屋租赁合同纠纷一案，出具了（2020）闽01民终5074号《民事判决书》，其中就引用了《最高人民法院关于审理行政协议案件若干问题的规定》第二十八的规定，认为案涉合同签订于2015年5月1日前，不属于行政诉讼审理范畴。以上案例均引用《最高人民法院关于审理行政协议案件若干问题的规定》，所以完全按照原民事思路处理公共租赁住房合同事宜已无法跟上法律体系的发展。</w:t>
      </w:r>
    </w:p>
    <w:p>
      <w:pPr>
        <w:ind w:firstLine="602" w:firstLineChars="200"/>
        <w:rPr>
          <w:rFonts w:ascii="宋体" w:hAnsi="宋体" w:eastAsia="宋体" w:cs="仿宋"/>
          <w:b/>
          <w:bCs/>
          <w:spacing w:val="10"/>
          <w:sz w:val="28"/>
          <w:szCs w:val="28"/>
        </w:rPr>
      </w:pPr>
      <w:r>
        <w:rPr>
          <w:rFonts w:hint="eastAsia" w:ascii="宋体" w:hAnsi="宋体" w:eastAsia="宋体" w:cs="仿宋"/>
          <w:b/>
          <w:bCs/>
          <w:spacing w:val="10"/>
          <w:sz w:val="28"/>
          <w:szCs w:val="28"/>
        </w:rPr>
        <w:t>2、我省内各地市对公共租赁住房租赁市场管理有不同的规定，对我省公共租赁住房租赁市场的整体规范提出挑战，容易造成承租主体对租赁市场认识的混乱。</w:t>
      </w:r>
    </w:p>
    <w:p>
      <w:pPr>
        <w:ind w:firstLine="600" w:firstLineChars="200"/>
        <w:rPr>
          <w:rFonts w:ascii="宋体" w:hAnsi="宋体" w:eastAsia="宋体" w:cs="仿宋"/>
          <w:spacing w:val="10"/>
          <w:sz w:val="28"/>
          <w:szCs w:val="28"/>
        </w:rPr>
      </w:pPr>
      <w:r>
        <w:rPr>
          <w:rFonts w:hint="eastAsia" w:ascii="宋体" w:hAnsi="宋体" w:eastAsia="宋体" w:cs="仿宋"/>
          <w:spacing w:val="10"/>
          <w:sz w:val="28"/>
          <w:szCs w:val="28"/>
        </w:rPr>
        <w:t>目前，国家部门层级的规定主要为《公共租赁住房管理办法》，福建省内的法规、规章及规范性文件如《厦门市社会保障性住房管理条例》、《福州市公共租赁住房管理办法》、福建省物价局、福建省住房和城乡建设厅、福建省财政厅关于印发《福建省公共租赁住房租金管理办法》的通知（闽价服〔2017〕305号）、《厦门市人民政府关于印发市级公共租赁住房管理办法的通知》厦府[2018]235号以及平潭综合试验区、南平市、龙岩市、泉州市、漳州市、莆田市、三明市等规范性文件。上述法律法规、规章、规范性文件对福建省公共租赁住房租赁市场提供的政策指导。但上述规范尚不足以解决公共租赁住房租赁市场的租赁行为的复杂性问题，不利于市场的整体规范。并且，为保障各省、自治区、直辖市人民政府统一辖区内规范，《公共租赁住房管理办法》中明确</w:t>
      </w:r>
      <w:r>
        <w:rPr>
          <w:rFonts w:hint="eastAsia" w:ascii="宋体" w:hAnsi="宋体" w:eastAsia="宋体" w:cs="仿宋"/>
          <w:spacing w:val="10"/>
          <w:sz w:val="28"/>
          <w:szCs w:val="28"/>
          <w:lang w:val="en-US" w:eastAsia="zh-CN"/>
        </w:rPr>
        <w:t>规定</w:t>
      </w:r>
      <w:r>
        <w:rPr>
          <w:rFonts w:hint="eastAsia" w:ascii="宋体" w:hAnsi="宋体" w:eastAsia="宋体" w:cs="仿宋"/>
          <w:spacing w:val="10"/>
          <w:sz w:val="28"/>
          <w:szCs w:val="28"/>
        </w:rPr>
        <w:t>“省、自治区、直辖市人民政府住房城乡建设（住房保障）主管部门应当制定公共租赁住房租赁合同示范文本”，这一规定精神正是</w:t>
      </w:r>
      <w:r>
        <w:rPr>
          <w:rFonts w:hint="eastAsia" w:ascii="宋体" w:hAnsi="宋体" w:eastAsia="宋体" w:cs="仿宋"/>
          <w:spacing w:val="10"/>
          <w:sz w:val="28"/>
          <w:szCs w:val="28"/>
          <w:lang w:val="en-US" w:eastAsia="zh-CN"/>
        </w:rPr>
        <w:t>着眼于</w:t>
      </w:r>
      <w:r>
        <w:rPr>
          <w:rFonts w:hint="eastAsia" w:ascii="宋体" w:hAnsi="宋体" w:eastAsia="宋体" w:cs="仿宋"/>
          <w:spacing w:val="10"/>
          <w:sz w:val="28"/>
          <w:szCs w:val="28"/>
        </w:rPr>
        <w:t>各省公共租赁住房租赁市场的整体</w:t>
      </w:r>
      <w:r>
        <w:rPr>
          <w:rFonts w:hint="eastAsia" w:ascii="宋体" w:hAnsi="宋体" w:eastAsia="宋体" w:cs="仿宋"/>
          <w:spacing w:val="10"/>
          <w:sz w:val="28"/>
          <w:szCs w:val="28"/>
          <w:lang w:val="en-US" w:eastAsia="zh-CN"/>
        </w:rPr>
        <w:t>性、规范性</w:t>
      </w:r>
      <w:r>
        <w:rPr>
          <w:rFonts w:hint="eastAsia" w:ascii="宋体" w:hAnsi="宋体" w:eastAsia="宋体" w:cs="仿宋"/>
          <w:spacing w:val="10"/>
          <w:sz w:val="28"/>
          <w:szCs w:val="28"/>
        </w:rPr>
        <w:t>发展。</w:t>
      </w:r>
    </w:p>
    <w:p>
      <w:pPr>
        <w:ind w:firstLine="562" w:firstLineChars="200"/>
        <w:rPr>
          <w:b/>
          <w:bCs/>
          <w:sz w:val="28"/>
          <w:szCs w:val="28"/>
        </w:rPr>
      </w:pPr>
      <w:r>
        <w:rPr>
          <w:rFonts w:hint="eastAsia"/>
          <w:b/>
          <w:bCs/>
          <w:sz w:val="28"/>
          <w:szCs w:val="28"/>
        </w:rPr>
        <w:t>3、我省内目前适用合同内容不够完善，已经不能满足公共租赁住房市场的发展需要。</w:t>
      </w:r>
    </w:p>
    <w:p>
      <w:pPr>
        <w:ind w:firstLine="560" w:firstLineChars="200"/>
        <w:rPr>
          <w:sz w:val="28"/>
          <w:szCs w:val="28"/>
        </w:rPr>
      </w:pPr>
      <w:r>
        <w:rPr>
          <w:rFonts w:hint="eastAsia"/>
          <w:sz w:val="28"/>
          <w:szCs w:val="28"/>
        </w:rPr>
        <w:t>经调研发现，我省内目前适用合同文本所依据的法律多为已经失效的《中华人民共和国合同法》以及公共租赁住房的专门性相关规定，且均着落于民事角度对待，合同内容缺陷显而易见。现适用合同文本在合同条款的设置上相对而言不够细致，对于部分常见的、易发的纠纷内容未通过合同约定进行有效预防，合同各方当事人的权利义务内容不够完善，风险条款分配不够均衡，争议解决方式落后等情况。</w:t>
      </w:r>
    </w:p>
    <w:p>
      <w:pPr>
        <w:ind w:firstLine="560" w:firstLineChars="200"/>
        <w:rPr>
          <w:sz w:val="28"/>
          <w:szCs w:val="28"/>
        </w:rPr>
      </w:pPr>
      <w:r>
        <w:rPr>
          <w:rFonts w:hint="eastAsia"/>
          <w:sz w:val="28"/>
          <w:szCs w:val="28"/>
        </w:rPr>
        <w:t>为了统一规范福建省公共租赁住房租赁市场租赁行为，引导合同主体正确认识和理解</w:t>
      </w:r>
      <w:r>
        <w:rPr>
          <w:rFonts w:hint="eastAsia"/>
          <w:sz w:val="28"/>
          <w:szCs w:val="28"/>
          <w:lang w:val="en-US" w:eastAsia="zh-CN"/>
        </w:rPr>
        <w:t>公共租赁住房</w:t>
      </w:r>
      <w:r>
        <w:rPr>
          <w:rFonts w:hint="eastAsia"/>
          <w:sz w:val="28"/>
          <w:szCs w:val="28"/>
        </w:rPr>
        <w:t>租赁行为，尽量避免因合同条款设置宽泛、风险预防条款不足，各主体权利和义务约定不清、相关法律法规变迁等因素产生的纠纷，为此福建省住房和城乡建设厅启动了《合同示范文本》的起草工作。《合同示范文本》的起草完成，将为福建省公共租赁住房租赁市场的规范起到重要的促进作用。</w:t>
      </w:r>
    </w:p>
    <w:p>
      <w:pPr>
        <w:numPr>
          <w:ilvl w:val="0"/>
          <w:numId w:val="1"/>
        </w:numPr>
        <w:ind w:firstLine="562" w:firstLineChars="200"/>
        <w:rPr>
          <w:b/>
          <w:bCs/>
          <w:sz w:val="28"/>
          <w:szCs w:val="28"/>
        </w:rPr>
      </w:pPr>
      <w:r>
        <w:rPr>
          <w:rFonts w:hint="eastAsia"/>
          <w:b/>
          <w:bCs/>
          <w:sz w:val="28"/>
          <w:szCs w:val="28"/>
        </w:rPr>
        <w:t>《合同示范文本》的起草过程</w:t>
      </w:r>
    </w:p>
    <w:p>
      <w:pPr>
        <w:ind w:firstLine="562" w:firstLineChars="200"/>
        <w:rPr>
          <w:b/>
          <w:bCs/>
          <w:sz w:val="28"/>
          <w:szCs w:val="28"/>
        </w:rPr>
      </w:pPr>
      <w:r>
        <w:rPr>
          <w:rFonts w:hint="eastAsia"/>
          <w:b/>
          <w:bCs/>
          <w:sz w:val="28"/>
          <w:szCs w:val="28"/>
        </w:rPr>
        <w:t>1、全面梳理相关法律法规、规章、规范性文件，研究国内其他省、市合同示范文本，结合福建省内在适用的合同文本，完成征求意见稿。</w:t>
      </w:r>
    </w:p>
    <w:p>
      <w:pPr>
        <w:ind w:firstLine="560" w:firstLineChars="200"/>
        <w:rPr>
          <w:sz w:val="28"/>
          <w:szCs w:val="28"/>
        </w:rPr>
      </w:pPr>
      <w:r>
        <w:rPr>
          <w:rFonts w:hint="eastAsia"/>
          <w:sz w:val="28"/>
          <w:szCs w:val="28"/>
        </w:rPr>
        <w:t>为促进《合同示范文本》的起草、完成，福建省住房和城乡建设厅提供了大量的关于福建省公共租赁住房相关规章、规范性文件，向省直机关、各地区市发出调研，进一步汇集了省内政策文件，收集了在使用合同文本。</w:t>
      </w:r>
      <w:r>
        <w:rPr>
          <w:rFonts w:hint="eastAsia"/>
          <w:sz w:val="28"/>
          <w:szCs w:val="28"/>
          <w:lang w:eastAsia="zh-CN"/>
        </w:rPr>
        <w:t>专业机构</w:t>
      </w:r>
      <w:r>
        <w:rPr>
          <w:rFonts w:hint="eastAsia"/>
          <w:sz w:val="28"/>
          <w:szCs w:val="28"/>
        </w:rPr>
        <w:t>进行了综合法律检索和案例检索，并且检索了国内其他省、市在使用合同示范文本，结合客观实际进行综合研究、论证。</w:t>
      </w:r>
    </w:p>
    <w:p>
      <w:pPr>
        <w:numPr>
          <w:ilvl w:val="0"/>
          <w:numId w:val="2"/>
        </w:numPr>
        <w:ind w:firstLine="562" w:firstLineChars="200"/>
        <w:rPr>
          <w:b/>
          <w:bCs/>
          <w:sz w:val="28"/>
          <w:szCs w:val="28"/>
        </w:rPr>
      </w:pPr>
      <w:r>
        <w:rPr>
          <w:rFonts w:hint="eastAsia"/>
          <w:b/>
          <w:bCs/>
          <w:sz w:val="28"/>
          <w:szCs w:val="28"/>
        </w:rPr>
        <w:t>广泛征求福建省省直机关、各地区、市、县相关主管部门的意见。</w:t>
      </w:r>
    </w:p>
    <w:p>
      <w:pPr>
        <w:ind w:firstLine="560" w:firstLineChars="200"/>
        <w:rPr>
          <w:sz w:val="28"/>
          <w:szCs w:val="28"/>
        </w:rPr>
      </w:pPr>
      <w:r>
        <w:rPr>
          <w:rFonts w:hint="eastAsia"/>
          <w:sz w:val="28"/>
          <w:szCs w:val="28"/>
        </w:rPr>
        <w:t>在初步综合研究的基础上，完成了《合同示范文本》（第一稿）的起草工作</w:t>
      </w:r>
      <w:r>
        <w:rPr>
          <w:rFonts w:hint="eastAsia"/>
          <w:sz w:val="28"/>
          <w:szCs w:val="28"/>
          <w:lang w:eastAsia="zh-CN"/>
        </w:rPr>
        <w:t>，并</w:t>
      </w:r>
      <w:r>
        <w:rPr>
          <w:rFonts w:hint="eastAsia"/>
          <w:sz w:val="28"/>
          <w:szCs w:val="28"/>
        </w:rPr>
        <w:t>在省内征求意见。在梳理了相关意见和反馈后，结合法律规定和实际需要，完成了《合同示范文本》（第二稿），并就第二稿征求意见。在第二稿征求意见反馈的基础上，完成了《合同示范文本》（第三稿）。福建省住房和城乡建设厅将对《合同示范文本》（第三稿）组织专门的座谈并向社会公开征求意见，届时完成送审稿。</w:t>
      </w:r>
    </w:p>
    <w:p>
      <w:pPr>
        <w:numPr>
          <w:ilvl w:val="0"/>
          <w:numId w:val="1"/>
        </w:numPr>
        <w:ind w:firstLine="562" w:firstLineChars="200"/>
        <w:rPr>
          <w:b/>
          <w:bCs/>
          <w:sz w:val="28"/>
          <w:szCs w:val="28"/>
        </w:rPr>
      </w:pPr>
      <w:r>
        <w:rPr>
          <w:rFonts w:hint="eastAsia"/>
          <w:b/>
          <w:bCs/>
          <w:sz w:val="28"/>
          <w:szCs w:val="28"/>
        </w:rPr>
        <w:t>《合同示范文本》的主要特点</w:t>
      </w:r>
    </w:p>
    <w:p>
      <w:pPr>
        <w:numPr>
          <w:ilvl w:val="0"/>
          <w:numId w:val="3"/>
        </w:numPr>
        <w:ind w:firstLine="562" w:firstLineChars="200"/>
        <w:rPr>
          <w:b/>
          <w:bCs/>
          <w:sz w:val="28"/>
          <w:szCs w:val="28"/>
        </w:rPr>
      </w:pPr>
      <w:r>
        <w:rPr>
          <w:rFonts w:hint="eastAsia"/>
          <w:b/>
          <w:bCs/>
          <w:sz w:val="28"/>
          <w:szCs w:val="28"/>
        </w:rPr>
        <w:t>重视示范文本的引导作用，在行政管理为主导的背景下，尊重公平的原则。</w:t>
      </w:r>
    </w:p>
    <w:p>
      <w:pPr>
        <w:ind w:firstLine="560" w:firstLineChars="200"/>
        <w:rPr>
          <w:sz w:val="28"/>
          <w:szCs w:val="28"/>
        </w:rPr>
      </w:pPr>
      <w:r>
        <w:rPr>
          <w:rFonts w:hint="eastAsia"/>
          <w:sz w:val="28"/>
          <w:szCs w:val="28"/>
        </w:rPr>
        <w:t>《合同示范文本》首先明确了合同的性质属于行政协议，应首先遵照行政法律法规的规范。但《合同示范文本》又充分考虑了行政与民事相交叉的情形，在行政诉讼法没有规定的情况下，参照适用民事诉讼法的规定，并参照民事法律规范确定关于民事合同的相关内容。因此，虽然本合同性质上与民事具有本质区别，但对涉及民事合同的相关内容，基于可落实、易执行的角度，基于解决因约定不明而权责不明</w:t>
      </w:r>
      <w:r>
        <w:rPr>
          <w:rFonts w:hint="eastAsia"/>
          <w:sz w:val="28"/>
          <w:szCs w:val="28"/>
          <w:lang w:val="en-US" w:eastAsia="zh-CN"/>
        </w:rPr>
        <w:t>产生</w:t>
      </w:r>
      <w:r>
        <w:rPr>
          <w:rFonts w:hint="eastAsia"/>
          <w:sz w:val="28"/>
          <w:szCs w:val="28"/>
        </w:rPr>
        <w:t>诸多问题的角度切入，在尊重民事交易公平原则的基础上展开，</w:t>
      </w:r>
      <w:r>
        <w:rPr>
          <w:rFonts w:hint="eastAsia"/>
          <w:sz w:val="28"/>
          <w:szCs w:val="28"/>
          <w:lang w:val="en-US" w:eastAsia="zh-CN"/>
        </w:rPr>
        <w:t>可以</w:t>
      </w:r>
      <w:r>
        <w:rPr>
          <w:rFonts w:hint="eastAsia"/>
          <w:sz w:val="28"/>
          <w:szCs w:val="28"/>
        </w:rPr>
        <w:t>起到效率处理作用。同时，鉴于以往的案件多按房屋租赁合同纠纷案由处理，基于民事诉讼法和适用民事法律规范解决争议，但因法律体系变化，现已无法按照民事角度对待，故《合同示范文本》可以正确引导法律适用和争议解决方向。</w:t>
      </w:r>
    </w:p>
    <w:p>
      <w:pPr>
        <w:numPr>
          <w:ilvl w:val="0"/>
          <w:numId w:val="3"/>
        </w:numPr>
        <w:ind w:firstLine="562" w:firstLineChars="200"/>
        <w:rPr>
          <w:b/>
          <w:bCs/>
          <w:sz w:val="28"/>
          <w:szCs w:val="28"/>
        </w:rPr>
      </w:pPr>
      <w:r>
        <w:rPr>
          <w:rFonts w:hint="eastAsia"/>
          <w:b/>
          <w:bCs/>
          <w:sz w:val="28"/>
          <w:szCs w:val="28"/>
        </w:rPr>
        <w:t>《合同示范文本》结构体系更加完整，内容更加细致，尽量减少合同未约定或约定不明的情形。</w:t>
      </w:r>
    </w:p>
    <w:p>
      <w:pPr>
        <w:ind w:firstLine="560" w:firstLineChars="200"/>
        <w:rPr>
          <w:sz w:val="28"/>
          <w:szCs w:val="28"/>
        </w:rPr>
      </w:pPr>
      <w:r>
        <w:rPr>
          <w:rFonts w:hint="eastAsia"/>
          <w:sz w:val="28"/>
          <w:szCs w:val="28"/>
        </w:rPr>
        <w:t>《合同示范文本》结构安排更合理、内容更全面，尤其是在集合此类合同版本内容、结合相关实务经验、参考各地市反馈内容的前提下，归纳总结了常见合同问题，进行了梳理，优化合同内容。</w:t>
      </w:r>
    </w:p>
    <w:p>
      <w:pPr>
        <w:ind w:firstLine="560" w:firstLineChars="200"/>
        <w:rPr>
          <w:sz w:val="28"/>
          <w:szCs w:val="28"/>
        </w:rPr>
      </w:pPr>
      <w:r>
        <w:rPr>
          <w:rFonts w:hint="eastAsia"/>
          <w:sz w:val="28"/>
          <w:szCs w:val="28"/>
        </w:rPr>
        <w:t>《合同示范文本》共有十六条组成，具体条款分别为公共租赁住房基本情况、租赁期限和用途、房屋交付、租金及支付方式、合同的担保、租赁期间房屋维护、维修及相关费用的承担、安全使用条款、保证与声明、合同的续签和承继、合同的终止和解除、合同终止/解除后的处理、违约责任、争议解决、通知/送达条款、紧急联系人以及其他等条款，更加细致的明确合同主体之间的权利义务内容，有利于合同内容的视觉化，促进合同主体对合同内容的认知、理解。</w:t>
      </w:r>
    </w:p>
    <w:p>
      <w:pPr>
        <w:numPr>
          <w:ilvl w:val="0"/>
          <w:numId w:val="3"/>
        </w:numPr>
        <w:ind w:firstLine="562" w:firstLineChars="200"/>
        <w:rPr>
          <w:rFonts w:ascii="宋体" w:hAnsi="宋体" w:eastAsia="宋体" w:cs="宋体"/>
          <w:b/>
          <w:bCs/>
          <w:spacing w:val="10"/>
          <w:sz w:val="28"/>
          <w:szCs w:val="28"/>
        </w:rPr>
      </w:pPr>
      <w:r>
        <w:rPr>
          <w:rFonts w:hint="eastAsia"/>
          <w:b/>
          <w:bCs/>
          <w:sz w:val="28"/>
          <w:szCs w:val="28"/>
        </w:rPr>
        <w:t>《合同示范文本》对</w:t>
      </w:r>
      <w:r>
        <w:rPr>
          <w:rFonts w:hint="eastAsia" w:ascii="宋体" w:hAnsi="宋体" w:eastAsia="宋体" w:cs="宋体"/>
          <w:b/>
          <w:bCs/>
          <w:spacing w:val="10"/>
          <w:sz w:val="28"/>
          <w:szCs w:val="28"/>
        </w:rPr>
        <w:t>房屋维护、维修及相关费用的承担常见条款进行了更加明确的区分，划清权利义务界限。</w:t>
      </w:r>
    </w:p>
    <w:p>
      <w:pPr>
        <w:ind w:firstLine="560" w:firstLineChars="200"/>
        <w:rPr>
          <w:rFonts w:ascii="宋体" w:hAnsi="宋体" w:eastAsia="宋体" w:cs="仿宋"/>
          <w:spacing w:val="10"/>
          <w:sz w:val="28"/>
          <w:szCs w:val="28"/>
        </w:rPr>
      </w:pPr>
      <w:r>
        <w:rPr>
          <w:rFonts w:hint="eastAsia"/>
          <w:sz w:val="28"/>
          <w:szCs w:val="28"/>
        </w:rPr>
        <w:t>根据/参照《中华人民共和国民法典》、《公共租赁住房管理办法》关于</w:t>
      </w:r>
      <w:r>
        <w:rPr>
          <w:rFonts w:hint="eastAsia" w:ascii="宋体" w:hAnsi="宋体" w:eastAsia="宋体" w:cs="仿宋"/>
          <w:spacing w:val="10"/>
          <w:sz w:val="28"/>
          <w:szCs w:val="28"/>
        </w:rPr>
        <w:t>维修养护</w:t>
      </w:r>
      <w:r>
        <w:rPr>
          <w:rFonts w:hint="eastAsia"/>
          <w:sz w:val="28"/>
          <w:szCs w:val="28"/>
        </w:rPr>
        <w:t>的相关法律规定，原则上将出租方作为公共租赁住房的维护、维修的主体，但是又考虑到</w:t>
      </w:r>
      <w:r>
        <w:rPr>
          <w:rFonts w:hint="eastAsia" w:ascii="宋体" w:hAnsi="宋体" w:eastAsia="宋体" w:cs="仿宋"/>
          <w:spacing w:val="10"/>
          <w:sz w:val="28"/>
          <w:szCs w:val="28"/>
        </w:rPr>
        <w:t>在实务操作中专属使用范围内易损易耗部分发生损坏的频率较高、管理繁琐以及租赁物交付后形成的租赁房屋的私密性，故对专属使用范围内易损易耗部分的维护、维修责任划归承租人承担，使得合同内容在法律框架范围内更富有弹性，有利于提高管理效率。</w:t>
      </w:r>
    </w:p>
    <w:p>
      <w:pPr>
        <w:ind w:firstLine="562" w:firstLineChars="200"/>
        <w:rPr>
          <w:rFonts w:ascii="宋体" w:hAnsi="宋体" w:eastAsia="宋体" w:cs="仿宋"/>
          <w:spacing w:val="10"/>
          <w:sz w:val="28"/>
          <w:szCs w:val="28"/>
        </w:rPr>
      </w:pPr>
      <w:r>
        <w:rPr>
          <w:rFonts w:hint="eastAsia"/>
          <w:b/>
          <w:bCs/>
          <w:sz w:val="28"/>
          <w:szCs w:val="28"/>
        </w:rPr>
        <w:t>4、《合同示范文本》增加并突出了安全使用条款，合理预防安全使用风险。</w:t>
      </w:r>
    </w:p>
    <w:p>
      <w:pPr>
        <w:ind w:firstLine="560" w:firstLineChars="200"/>
        <w:rPr>
          <w:sz w:val="28"/>
          <w:szCs w:val="28"/>
        </w:rPr>
      </w:pPr>
      <w:r>
        <w:rPr>
          <w:rFonts w:hint="eastAsia"/>
          <w:sz w:val="28"/>
          <w:szCs w:val="28"/>
        </w:rPr>
        <w:t>安全无小事，一旦发生安全事故，责任重大，明确房屋及配套设施的合理使用，加强日常维护，才能保障房屋及配套设施的正常使用、住的安全、用的舒心。增加安全使用条款</w:t>
      </w:r>
      <w:r>
        <w:rPr>
          <w:rFonts w:hint="eastAsia"/>
          <w:sz w:val="28"/>
          <w:szCs w:val="28"/>
          <w:lang w:val="en-US" w:eastAsia="zh-CN"/>
        </w:rPr>
        <w:t>也</w:t>
      </w:r>
      <w:r>
        <w:rPr>
          <w:rFonts w:hint="eastAsia"/>
          <w:sz w:val="28"/>
          <w:szCs w:val="28"/>
        </w:rPr>
        <w:t>有利于提高合同主体的安全使用和日常防护意识。此外，合同明确了安全责任主体，有利于解决发生安全使用事故/事件时，因约定不明或未约定导致的责任不清，有利于减少争议。</w:t>
      </w:r>
    </w:p>
    <w:p>
      <w:pPr>
        <w:ind w:firstLine="562" w:firstLineChars="200"/>
        <w:rPr>
          <w:rFonts w:ascii="宋体" w:hAnsi="宋体" w:eastAsia="宋体" w:cs="仿宋"/>
          <w:spacing w:val="10"/>
          <w:sz w:val="28"/>
          <w:szCs w:val="28"/>
        </w:rPr>
      </w:pPr>
      <w:r>
        <w:rPr>
          <w:rFonts w:hint="eastAsia"/>
          <w:b/>
          <w:bCs/>
          <w:sz w:val="28"/>
          <w:szCs w:val="28"/>
        </w:rPr>
        <w:t>5、《合同示范文本》细化了对公共租赁住房的管理条款。</w:t>
      </w:r>
    </w:p>
    <w:p>
      <w:pPr>
        <w:ind w:firstLine="560" w:firstLineChars="200"/>
        <w:rPr>
          <w:sz w:val="28"/>
          <w:szCs w:val="28"/>
        </w:rPr>
      </w:pPr>
      <w:r>
        <w:rPr>
          <w:rFonts w:hint="eastAsia"/>
          <w:sz w:val="28"/>
          <w:szCs w:val="28"/>
        </w:rPr>
        <w:t>对比以往的合同文本中，因受限于民事角度的认识，管理条款</w:t>
      </w:r>
    </w:p>
    <w:p>
      <w:pPr>
        <w:rPr>
          <w:sz w:val="28"/>
          <w:szCs w:val="28"/>
        </w:rPr>
      </w:pPr>
      <w:r>
        <w:rPr>
          <w:rFonts w:hint="eastAsia"/>
          <w:sz w:val="28"/>
          <w:szCs w:val="28"/>
        </w:rPr>
        <w:t>多为粗放式、原则性的约定。现合同性质已经通过法律条款予以明确，所以为合同中对行政管理条款的设置提供了可能。</w:t>
      </w:r>
    </w:p>
    <w:p>
      <w:pPr>
        <w:ind w:firstLine="560" w:firstLineChars="200"/>
        <w:rPr>
          <w:rFonts w:ascii="宋体" w:hAnsi="宋体" w:eastAsia="宋体" w:cs="宋体"/>
          <w:spacing w:val="10"/>
          <w:sz w:val="28"/>
          <w:szCs w:val="28"/>
        </w:rPr>
      </w:pPr>
      <w:r>
        <w:rPr>
          <w:rFonts w:hint="eastAsia"/>
          <w:sz w:val="28"/>
          <w:szCs w:val="28"/>
        </w:rPr>
        <w:t>《合同示范文本》对租赁中经常发生的如占用公共实施、公共空间的管理、出租方有权采集承租人身份信息、财产信息以及承租人在租赁期间死亡、被宣告死亡、被宣告失踪或丧失民事行</w:t>
      </w:r>
      <w:r>
        <w:rPr>
          <w:rFonts w:hint="eastAsia" w:ascii="宋体" w:hAnsi="宋体" w:eastAsia="宋体" w:cs="宋体"/>
          <w:spacing w:val="10"/>
          <w:sz w:val="28"/>
          <w:szCs w:val="28"/>
        </w:rPr>
        <w:t>为能力情形下的承继等内容进行了约定，尤其是参照《中华人民共和国民法典》第七百三十二条规定，又区别于该规定，将资格审查作为是否可以承继的前提，为类似情形争议的解决提供了依据。《合同示范文本》对于该类合同纠纷中腾退、收房难题等进行了细化约定，尽量提高处理效率。</w:t>
      </w:r>
    </w:p>
    <w:p>
      <w:pPr>
        <w:ind w:firstLine="562" w:firstLineChars="200"/>
        <w:rPr>
          <w:rFonts w:ascii="宋体" w:hAnsi="宋体" w:eastAsia="宋体" w:cs="宋体"/>
          <w:spacing w:val="10"/>
          <w:sz w:val="28"/>
          <w:szCs w:val="28"/>
        </w:rPr>
      </w:pPr>
      <w:r>
        <w:rPr>
          <w:rFonts w:hint="eastAsia"/>
          <w:b/>
          <w:bCs/>
          <w:sz w:val="28"/>
          <w:szCs w:val="28"/>
        </w:rPr>
        <w:t>6、《合同示范文本》结合最新司法解释规定，明确了争议解决方式。</w:t>
      </w:r>
    </w:p>
    <w:p>
      <w:pPr>
        <w:ind w:firstLine="600" w:firstLineChars="200"/>
        <w:rPr>
          <w:b/>
          <w:bCs/>
          <w:sz w:val="28"/>
          <w:szCs w:val="28"/>
        </w:rPr>
      </w:pPr>
      <w:r>
        <w:rPr>
          <w:rFonts w:hint="eastAsia" w:ascii="宋体" w:hAnsi="宋体" w:eastAsia="宋体" w:cs="宋体"/>
          <w:spacing w:val="10"/>
          <w:sz w:val="28"/>
          <w:szCs w:val="28"/>
        </w:rPr>
        <w:t>目前在适用的合同文本中，依然选择按照民事诉讼程序解决相关争议。《最</w:t>
      </w:r>
      <w:r>
        <w:rPr>
          <w:rFonts w:hint="eastAsia"/>
          <w:sz w:val="28"/>
          <w:szCs w:val="28"/>
        </w:rPr>
        <w:t>高人民法院关于审理行政协议案件若干问题的规定》施行后，争议解决方式发生重大变化。依据该规定，应采取行政诉讼方式解决争议，出租一方权利主体无权依据民事法律规定提起民事诉讼，其应依照行政诉讼相关法律规定作出行政决定，承租人不服的有权提起复议或行政诉讼；在承租人作为原告的情形下，直接提起行政诉讼。《合同示范文本》争议解决条款为合同主体争议解决方式提供有效指引。</w:t>
      </w:r>
    </w:p>
    <w:p>
      <w:pPr>
        <w:numPr>
          <w:ilvl w:val="0"/>
          <w:numId w:val="4"/>
        </w:numPr>
        <w:ind w:firstLine="562" w:firstLineChars="200"/>
        <w:rPr>
          <w:rFonts w:eastAsia="宋体"/>
          <w:b/>
          <w:bCs/>
          <w:sz w:val="28"/>
          <w:szCs w:val="28"/>
        </w:rPr>
      </w:pPr>
      <w:r>
        <w:rPr>
          <w:rFonts w:hint="eastAsia"/>
          <w:b/>
          <w:bCs/>
          <w:sz w:val="28"/>
          <w:szCs w:val="28"/>
        </w:rPr>
        <w:t>《合同示范文本》完善了</w:t>
      </w:r>
      <w:r>
        <w:rPr>
          <w:rFonts w:hint="eastAsia" w:eastAsia="宋体"/>
          <w:b/>
          <w:bCs/>
          <w:sz w:val="28"/>
          <w:szCs w:val="28"/>
        </w:rPr>
        <w:t>通知</w:t>
      </w:r>
      <w:r>
        <w:rPr>
          <w:rFonts w:eastAsia="宋体"/>
          <w:b/>
          <w:bCs/>
          <w:sz w:val="28"/>
          <w:szCs w:val="28"/>
        </w:rPr>
        <w:t>/</w:t>
      </w:r>
      <w:r>
        <w:rPr>
          <w:rFonts w:hint="eastAsia" w:eastAsia="宋体"/>
          <w:b/>
          <w:bCs/>
          <w:sz w:val="28"/>
          <w:szCs w:val="28"/>
        </w:rPr>
        <w:t>送达条款，提高了争议解决效率。</w:t>
      </w:r>
    </w:p>
    <w:p>
      <w:pPr>
        <w:ind w:firstLine="560" w:firstLineChars="200"/>
        <w:rPr>
          <w:sz w:val="28"/>
          <w:szCs w:val="28"/>
        </w:rPr>
      </w:pPr>
      <w:r>
        <w:rPr>
          <w:rFonts w:hint="eastAsia"/>
          <w:sz w:val="28"/>
          <w:szCs w:val="28"/>
        </w:rPr>
        <w:t>《合同示范文本》参照一般民事合同中的通知、送达条款，明确送达地址、送达方式，并作为争议发生时行政文书、司法文书等的送达地址，可以避免无法及时联系到合同主体一方时需要公告等漫长的送达过程，及时息诉止纷。</w:t>
      </w:r>
    </w:p>
    <w:p>
      <w:pPr>
        <w:ind w:firstLine="562" w:firstLineChars="200"/>
        <w:rPr>
          <w:b/>
          <w:bCs/>
          <w:sz w:val="28"/>
          <w:szCs w:val="28"/>
        </w:rPr>
      </w:pPr>
      <w:r>
        <w:rPr>
          <w:rFonts w:hint="eastAsia"/>
          <w:b/>
          <w:bCs/>
          <w:sz w:val="28"/>
          <w:szCs w:val="28"/>
        </w:rPr>
        <w:t>8、因《合同示范文本》为重复使用</w:t>
      </w:r>
      <w:r>
        <w:rPr>
          <w:b/>
          <w:bCs/>
          <w:sz w:val="28"/>
          <w:szCs w:val="28"/>
        </w:rPr>
        <w:t>而预先拟定</w:t>
      </w:r>
      <w:r>
        <w:rPr>
          <w:rFonts w:hint="eastAsia"/>
          <w:b/>
          <w:bCs/>
          <w:sz w:val="28"/>
          <w:szCs w:val="28"/>
        </w:rPr>
        <w:t>，为提示对方注意重大利害关系条款，设置了特别提示内容，并阅知后签字。</w:t>
      </w:r>
    </w:p>
    <w:p>
      <w:pPr>
        <w:ind w:firstLine="560" w:firstLineChars="200"/>
        <w:rPr>
          <w:sz w:val="28"/>
          <w:szCs w:val="28"/>
        </w:rPr>
      </w:pPr>
      <w:r>
        <w:rPr>
          <w:rFonts w:hint="eastAsia"/>
          <w:sz w:val="28"/>
          <w:szCs w:val="28"/>
        </w:rPr>
        <w:t>参照《中华人民共和国民法典》</w:t>
      </w:r>
      <w:r>
        <w:rPr>
          <w:sz w:val="28"/>
          <w:szCs w:val="28"/>
        </w:rPr>
        <w:t>第四百九十六条</w:t>
      </w:r>
      <w:r>
        <w:rPr>
          <w:rFonts w:hint="eastAsia"/>
          <w:sz w:val="28"/>
          <w:szCs w:val="28"/>
        </w:rPr>
        <w:t>之相关规定，对涉及</w:t>
      </w:r>
      <w:r>
        <w:rPr>
          <w:sz w:val="28"/>
          <w:szCs w:val="28"/>
        </w:rPr>
        <w:t>对方有重大利害关系的条款</w:t>
      </w:r>
      <w:r>
        <w:rPr>
          <w:rFonts w:hint="eastAsia"/>
          <w:sz w:val="28"/>
          <w:szCs w:val="28"/>
        </w:rPr>
        <w:t>，有提示或说明义务。为避免合同签订阅读合同流于形式，故进行特别提示，仔细阅读合同不仅是权利也是义务，避免承租方因未仔细阅读合同或未对合同条款进行注意而产生的合同条款效力纠纷。</w:t>
      </w:r>
    </w:p>
    <w:p>
      <w:pPr>
        <w:ind w:firstLine="562" w:firstLineChars="200"/>
        <w:rPr>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B1880"/>
    <w:multiLevelType w:val="singleLevel"/>
    <w:tmpl w:val="3C0B1880"/>
    <w:lvl w:ilvl="0" w:tentative="0">
      <w:start w:val="1"/>
      <w:numFmt w:val="chineseCounting"/>
      <w:suff w:val="nothing"/>
      <w:lvlText w:val="%1、"/>
      <w:lvlJc w:val="left"/>
      <w:rPr>
        <w:rFonts w:hint="eastAsia"/>
      </w:rPr>
    </w:lvl>
  </w:abstractNum>
  <w:abstractNum w:abstractNumId="1">
    <w:nsid w:val="4CDD7ACE"/>
    <w:multiLevelType w:val="singleLevel"/>
    <w:tmpl w:val="4CDD7ACE"/>
    <w:lvl w:ilvl="0" w:tentative="0">
      <w:start w:val="2"/>
      <w:numFmt w:val="decimal"/>
      <w:suff w:val="nothing"/>
      <w:lvlText w:val="%1、"/>
      <w:lvlJc w:val="left"/>
    </w:lvl>
  </w:abstractNum>
  <w:abstractNum w:abstractNumId="2">
    <w:nsid w:val="526F01A1"/>
    <w:multiLevelType w:val="singleLevel"/>
    <w:tmpl w:val="526F01A1"/>
    <w:lvl w:ilvl="0" w:tentative="0">
      <w:start w:val="7"/>
      <w:numFmt w:val="decimal"/>
      <w:suff w:val="nothing"/>
      <w:lvlText w:val="%1、"/>
      <w:lvlJc w:val="left"/>
    </w:lvl>
  </w:abstractNum>
  <w:abstractNum w:abstractNumId="3">
    <w:nsid w:val="58060392"/>
    <w:multiLevelType w:val="singleLevel"/>
    <w:tmpl w:val="58060392"/>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2B"/>
    <w:rsid w:val="00076791"/>
    <w:rsid w:val="001D4206"/>
    <w:rsid w:val="00257253"/>
    <w:rsid w:val="002A50F9"/>
    <w:rsid w:val="00323475"/>
    <w:rsid w:val="003B2A76"/>
    <w:rsid w:val="005A492B"/>
    <w:rsid w:val="0075194C"/>
    <w:rsid w:val="0078768E"/>
    <w:rsid w:val="00821D86"/>
    <w:rsid w:val="00924F70"/>
    <w:rsid w:val="00C73B1A"/>
    <w:rsid w:val="00C823C4"/>
    <w:rsid w:val="00E04188"/>
    <w:rsid w:val="00E13486"/>
    <w:rsid w:val="00E96658"/>
    <w:rsid w:val="00ED3426"/>
    <w:rsid w:val="00FE2709"/>
    <w:rsid w:val="00FE7B94"/>
    <w:rsid w:val="01066A48"/>
    <w:rsid w:val="010A29DC"/>
    <w:rsid w:val="01110512"/>
    <w:rsid w:val="01241B68"/>
    <w:rsid w:val="01D31020"/>
    <w:rsid w:val="01D32DCE"/>
    <w:rsid w:val="026B1259"/>
    <w:rsid w:val="02B524D4"/>
    <w:rsid w:val="031A4A2D"/>
    <w:rsid w:val="03280EF8"/>
    <w:rsid w:val="037A62E6"/>
    <w:rsid w:val="03914CEF"/>
    <w:rsid w:val="039667A9"/>
    <w:rsid w:val="03993BA4"/>
    <w:rsid w:val="03E9345A"/>
    <w:rsid w:val="040F3E66"/>
    <w:rsid w:val="0430275A"/>
    <w:rsid w:val="04763EE5"/>
    <w:rsid w:val="04AC0867"/>
    <w:rsid w:val="04AD6E89"/>
    <w:rsid w:val="054E1913"/>
    <w:rsid w:val="05544226"/>
    <w:rsid w:val="05706B86"/>
    <w:rsid w:val="05834B0B"/>
    <w:rsid w:val="058D7738"/>
    <w:rsid w:val="064A387B"/>
    <w:rsid w:val="0667442D"/>
    <w:rsid w:val="06741E2A"/>
    <w:rsid w:val="06AE5BB8"/>
    <w:rsid w:val="072B0FB7"/>
    <w:rsid w:val="074E252D"/>
    <w:rsid w:val="07542427"/>
    <w:rsid w:val="07577FFE"/>
    <w:rsid w:val="07803DBD"/>
    <w:rsid w:val="07AD2313"/>
    <w:rsid w:val="07C733D5"/>
    <w:rsid w:val="07D57174"/>
    <w:rsid w:val="07DF2BAA"/>
    <w:rsid w:val="07FC0BA5"/>
    <w:rsid w:val="0822060B"/>
    <w:rsid w:val="08403D3E"/>
    <w:rsid w:val="0865674A"/>
    <w:rsid w:val="08970948"/>
    <w:rsid w:val="08A234FA"/>
    <w:rsid w:val="08AA76DE"/>
    <w:rsid w:val="08CA47FF"/>
    <w:rsid w:val="090917CB"/>
    <w:rsid w:val="090D12BC"/>
    <w:rsid w:val="093563AF"/>
    <w:rsid w:val="09880942"/>
    <w:rsid w:val="09A6526C"/>
    <w:rsid w:val="09F47D86"/>
    <w:rsid w:val="0AFA761E"/>
    <w:rsid w:val="0B3D39AE"/>
    <w:rsid w:val="0B870B9C"/>
    <w:rsid w:val="0B9C31E4"/>
    <w:rsid w:val="0BCD6AE0"/>
    <w:rsid w:val="0BD179DA"/>
    <w:rsid w:val="0C201306"/>
    <w:rsid w:val="0C945850"/>
    <w:rsid w:val="0CD86600"/>
    <w:rsid w:val="0D464D9C"/>
    <w:rsid w:val="0D53541E"/>
    <w:rsid w:val="0D58687D"/>
    <w:rsid w:val="0D95362E"/>
    <w:rsid w:val="0DDF2AFB"/>
    <w:rsid w:val="0E010CC3"/>
    <w:rsid w:val="0E2263BF"/>
    <w:rsid w:val="0E86353F"/>
    <w:rsid w:val="0E8D07A9"/>
    <w:rsid w:val="0EA55AF2"/>
    <w:rsid w:val="0ED65CAC"/>
    <w:rsid w:val="0EEA4542"/>
    <w:rsid w:val="0F0379C1"/>
    <w:rsid w:val="0F2729AB"/>
    <w:rsid w:val="0F684E69"/>
    <w:rsid w:val="0F8676D2"/>
    <w:rsid w:val="0F9718DF"/>
    <w:rsid w:val="0FAE6C29"/>
    <w:rsid w:val="0FD06B9F"/>
    <w:rsid w:val="0FD50659"/>
    <w:rsid w:val="0FFE370C"/>
    <w:rsid w:val="10480E2B"/>
    <w:rsid w:val="107B4D5D"/>
    <w:rsid w:val="10A047C3"/>
    <w:rsid w:val="10CA7A92"/>
    <w:rsid w:val="10CB7366"/>
    <w:rsid w:val="10F1501F"/>
    <w:rsid w:val="11032FA4"/>
    <w:rsid w:val="113E1A64"/>
    <w:rsid w:val="1145536B"/>
    <w:rsid w:val="114A3B4D"/>
    <w:rsid w:val="114D677E"/>
    <w:rsid w:val="1170063A"/>
    <w:rsid w:val="11B524F0"/>
    <w:rsid w:val="11D00C06"/>
    <w:rsid w:val="120D40DA"/>
    <w:rsid w:val="12706417"/>
    <w:rsid w:val="12AD766B"/>
    <w:rsid w:val="12FD185B"/>
    <w:rsid w:val="130870B8"/>
    <w:rsid w:val="138E4DA7"/>
    <w:rsid w:val="139436B8"/>
    <w:rsid w:val="13961EAE"/>
    <w:rsid w:val="13996B76"/>
    <w:rsid w:val="141F6347"/>
    <w:rsid w:val="14463A1D"/>
    <w:rsid w:val="144C6C7C"/>
    <w:rsid w:val="14593607"/>
    <w:rsid w:val="14BA0BFF"/>
    <w:rsid w:val="14C667C2"/>
    <w:rsid w:val="14D709D0"/>
    <w:rsid w:val="14DA401C"/>
    <w:rsid w:val="14E31122"/>
    <w:rsid w:val="15015A4D"/>
    <w:rsid w:val="150F647B"/>
    <w:rsid w:val="15175270"/>
    <w:rsid w:val="151C783D"/>
    <w:rsid w:val="152835E5"/>
    <w:rsid w:val="153E117F"/>
    <w:rsid w:val="1540169A"/>
    <w:rsid w:val="15451DDD"/>
    <w:rsid w:val="154E26B2"/>
    <w:rsid w:val="15595889"/>
    <w:rsid w:val="15806331"/>
    <w:rsid w:val="168D3A3C"/>
    <w:rsid w:val="16A20B69"/>
    <w:rsid w:val="16C66A38"/>
    <w:rsid w:val="16ED44DA"/>
    <w:rsid w:val="16F2564D"/>
    <w:rsid w:val="17740758"/>
    <w:rsid w:val="17E86A50"/>
    <w:rsid w:val="17EA0A1A"/>
    <w:rsid w:val="181D2B9D"/>
    <w:rsid w:val="1840063A"/>
    <w:rsid w:val="184C404E"/>
    <w:rsid w:val="189D1125"/>
    <w:rsid w:val="18AB0AAE"/>
    <w:rsid w:val="18D25736"/>
    <w:rsid w:val="18EB53E3"/>
    <w:rsid w:val="18ED6A14"/>
    <w:rsid w:val="190B21AB"/>
    <w:rsid w:val="1921046B"/>
    <w:rsid w:val="196A0064"/>
    <w:rsid w:val="196B01FF"/>
    <w:rsid w:val="19A05834"/>
    <w:rsid w:val="19C672BE"/>
    <w:rsid w:val="19C71013"/>
    <w:rsid w:val="19EF40C6"/>
    <w:rsid w:val="19F65454"/>
    <w:rsid w:val="19F93196"/>
    <w:rsid w:val="1A3D3083"/>
    <w:rsid w:val="1A3F6DFB"/>
    <w:rsid w:val="1A6C1BBA"/>
    <w:rsid w:val="1A7F5449"/>
    <w:rsid w:val="1AC47300"/>
    <w:rsid w:val="1B043C16"/>
    <w:rsid w:val="1B122762"/>
    <w:rsid w:val="1B1D6D0E"/>
    <w:rsid w:val="1B446693"/>
    <w:rsid w:val="1B7A3E63"/>
    <w:rsid w:val="1B9E5DA3"/>
    <w:rsid w:val="1C177904"/>
    <w:rsid w:val="1C582F19"/>
    <w:rsid w:val="1C7865F4"/>
    <w:rsid w:val="1C7F3E27"/>
    <w:rsid w:val="1C9A2A0F"/>
    <w:rsid w:val="1C9F6277"/>
    <w:rsid w:val="1CAC6D99"/>
    <w:rsid w:val="1CE54163"/>
    <w:rsid w:val="1CF0262F"/>
    <w:rsid w:val="1D0B7468"/>
    <w:rsid w:val="1D176A54"/>
    <w:rsid w:val="1D213B0F"/>
    <w:rsid w:val="1D320E99"/>
    <w:rsid w:val="1D7E6D43"/>
    <w:rsid w:val="1D817381"/>
    <w:rsid w:val="1D9F5E03"/>
    <w:rsid w:val="1DF13BEF"/>
    <w:rsid w:val="1E276524"/>
    <w:rsid w:val="1E871D2E"/>
    <w:rsid w:val="1E911BEF"/>
    <w:rsid w:val="1E9A5018"/>
    <w:rsid w:val="1EAD5318"/>
    <w:rsid w:val="1EC51899"/>
    <w:rsid w:val="1ED03DC8"/>
    <w:rsid w:val="1EF479EC"/>
    <w:rsid w:val="1F6B68E4"/>
    <w:rsid w:val="1F6D440A"/>
    <w:rsid w:val="1F9D13B8"/>
    <w:rsid w:val="202B32E5"/>
    <w:rsid w:val="20643DBB"/>
    <w:rsid w:val="206C021E"/>
    <w:rsid w:val="20FD531A"/>
    <w:rsid w:val="21117017"/>
    <w:rsid w:val="21537630"/>
    <w:rsid w:val="21635AC5"/>
    <w:rsid w:val="21665F25"/>
    <w:rsid w:val="21FA5F6A"/>
    <w:rsid w:val="22561186"/>
    <w:rsid w:val="226019C5"/>
    <w:rsid w:val="22791318"/>
    <w:rsid w:val="227E16E5"/>
    <w:rsid w:val="22F56BF1"/>
    <w:rsid w:val="230A01C2"/>
    <w:rsid w:val="23491FB8"/>
    <w:rsid w:val="23582CDC"/>
    <w:rsid w:val="23713D9D"/>
    <w:rsid w:val="23A221A9"/>
    <w:rsid w:val="23A22584"/>
    <w:rsid w:val="24765B0F"/>
    <w:rsid w:val="24C543A1"/>
    <w:rsid w:val="25401C79"/>
    <w:rsid w:val="25C603D0"/>
    <w:rsid w:val="26451C3D"/>
    <w:rsid w:val="2679798B"/>
    <w:rsid w:val="26AA5975"/>
    <w:rsid w:val="26B648E9"/>
    <w:rsid w:val="26EB3E67"/>
    <w:rsid w:val="27165388"/>
    <w:rsid w:val="271A5A60"/>
    <w:rsid w:val="27441EF5"/>
    <w:rsid w:val="27457A1B"/>
    <w:rsid w:val="279544FE"/>
    <w:rsid w:val="27CF7A19"/>
    <w:rsid w:val="27D82F70"/>
    <w:rsid w:val="280F58EA"/>
    <w:rsid w:val="28836515"/>
    <w:rsid w:val="28EC2844"/>
    <w:rsid w:val="29026027"/>
    <w:rsid w:val="299B4E03"/>
    <w:rsid w:val="29A30A29"/>
    <w:rsid w:val="29F00112"/>
    <w:rsid w:val="2A5561C7"/>
    <w:rsid w:val="2A572026"/>
    <w:rsid w:val="2A6A51D1"/>
    <w:rsid w:val="2AA66A22"/>
    <w:rsid w:val="2AC46EA9"/>
    <w:rsid w:val="2B02634F"/>
    <w:rsid w:val="2B3E30FF"/>
    <w:rsid w:val="2B493834"/>
    <w:rsid w:val="2B591CE7"/>
    <w:rsid w:val="2B676C97"/>
    <w:rsid w:val="2B751798"/>
    <w:rsid w:val="2B8F211C"/>
    <w:rsid w:val="2BAD5B8F"/>
    <w:rsid w:val="2BB533C1"/>
    <w:rsid w:val="2BBE533E"/>
    <w:rsid w:val="2BEF7F55"/>
    <w:rsid w:val="2C22657D"/>
    <w:rsid w:val="2C253164"/>
    <w:rsid w:val="2C5D1363"/>
    <w:rsid w:val="2CAA3D6E"/>
    <w:rsid w:val="2CE83322"/>
    <w:rsid w:val="2D1A7254"/>
    <w:rsid w:val="2D3B5B48"/>
    <w:rsid w:val="2D3F09FC"/>
    <w:rsid w:val="2DAF5BEE"/>
    <w:rsid w:val="2DF4595A"/>
    <w:rsid w:val="2E224612"/>
    <w:rsid w:val="2E6A7D67"/>
    <w:rsid w:val="2EAB4607"/>
    <w:rsid w:val="2ED81174"/>
    <w:rsid w:val="2F3740ED"/>
    <w:rsid w:val="2F7C61AD"/>
    <w:rsid w:val="2FDC6A42"/>
    <w:rsid w:val="2FE853E7"/>
    <w:rsid w:val="30202DD3"/>
    <w:rsid w:val="30B579BF"/>
    <w:rsid w:val="30E87D95"/>
    <w:rsid w:val="30F027A5"/>
    <w:rsid w:val="31093867"/>
    <w:rsid w:val="311F1401"/>
    <w:rsid w:val="313A6116"/>
    <w:rsid w:val="314A45AB"/>
    <w:rsid w:val="31682C84"/>
    <w:rsid w:val="31764696"/>
    <w:rsid w:val="31A33CBC"/>
    <w:rsid w:val="31BD763A"/>
    <w:rsid w:val="327F2033"/>
    <w:rsid w:val="3285107D"/>
    <w:rsid w:val="32902492"/>
    <w:rsid w:val="32A44726"/>
    <w:rsid w:val="32BD6FFF"/>
    <w:rsid w:val="32E12453"/>
    <w:rsid w:val="330A5FBA"/>
    <w:rsid w:val="33175EF8"/>
    <w:rsid w:val="332B3F69"/>
    <w:rsid w:val="33386686"/>
    <w:rsid w:val="335C2374"/>
    <w:rsid w:val="33884F17"/>
    <w:rsid w:val="34126ED7"/>
    <w:rsid w:val="342A2472"/>
    <w:rsid w:val="342E1F62"/>
    <w:rsid w:val="34515C51"/>
    <w:rsid w:val="349D2C44"/>
    <w:rsid w:val="34B41D3C"/>
    <w:rsid w:val="34CE72A2"/>
    <w:rsid w:val="350C3926"/>
    <w:rsid w:val="35132F06"/>
    <w:rsid w:val="351C625F"/>
    <w:rsid w:val="35327381"/>
    <w:rsid w:val="35415CC5"/>
    <w:rsid w:val="35A87AF3"/>
    <w:rsid w:val="35E44A86"/>
    <w:rsid w:val="35EB5C31"/>
    <w:rsid w:val="36410E24"/>
    <w:rsid w:val="36523F4A"/>
    <w:rsid w:val="365D08DD"/>
    <w:rsid w:val="36655250"/>
    <w:rsid w:val="366C6D72"/>
    <w:rsid w:val="36AC53C0"/>
    <w:rsid w:val="3710594F"/>
    <w:rsid w:val="374072FF"/>
    <w:rsid w:val="37455E9B"/>
    <w:rsid w:val="37BA1D5F"/>
    <w:rsid w:val="37C93D50"/>
    <w:rsid w:val="37FA03AE"/>
    <w:rsid w:val="38274972"/>
    <w:rsid w:val="38512F7F"/>
    <w:rsid w:val="386341A5"/>
    <w:rsid w:val="38694FF2"/>
    <w:rsid w:val="38A320EF"/>
    <w:rsid w:val="38D34E86"/>
    <w:rsid w:val="38E76B84"/>
    <w:rsid w:val="38F92B1F"/>
    <w:rsid w:val="39202096"/>
    <w:rsid w:val="39396CB4"/>
    <w:rsid w:val="394A0EC1"/>
    <w:rsid w:val="397B107A"/>
    <w:rsid w:val="3A12378C"/>
    <w:rsid w:val="3A2B6835"/>
    <w:rsid w:val="3A43603C"/>
    <w:rsid w:val="3A4F2C33"/>
    <w:rsid w:val="3A9C74FA"/>
    <w:rsid w:val="3AA0523C"/>
    <w:rsid w:val="3AAD52BC"/>
    <w:rsid w:val="3AEA6A21"/>
    <w:rsid w:val="3AEF1636"/>
    <w:rsid w:val="3B247C1B"/>
    <w:rsid w:val="3B375A1C"/>
    <w:rsid w:val="3B7A2D36"/>
    <w:rsid w:val="3B8C3A12"/>
    <w:rsid w:val="3B8F315C"/>
    <w:rsid w:val="3BC94845"/>
    <w:rsid w:val="3C2D2B00"/>
    <w:rsid w:val="3C667DC0"/>
    <w:rsid w:val="3C706E90"/>
    <w:rsid w:val="3C85293C"/>
    <w:rsid w:val="3CA07AA9"/>
    <w:rsid w:val="3CC5504A"/>
    <w:rsid w:val="3CC571DC"/>
    <w:rsid w:val="3CEA279F"/>
    <w:rsid w:val="3CF4186F"/>
    <w:rsid w:val="3D2263DC"/>
    <w:rsid w:val="3D590691"/>
    <w:rsid w:val="3D814C08"/>
    <w:rsid w:val="3D887F6E"/>
    <w:rsid w:val="3DA05553"/>
    <w:rsid w:val="3DAB4624"/>
    <w:rsid w:val="3E155F41"/>
    <w:rsid w:val="3E594080"/>
    <w:rsid w:val="3E9055C8"/>
    <w:rsid w:val="3EC86B10"/>
    <w:rsid w:val="3EE941CB"/>
    <w:rsid w:val="3F0E1EB9"/>
    <w:rsid w:val="3F1E7077"/>
    <w:rsid w:val="40063D93"/>
    <w:rsid w:val="402C1320"/>
    <w:rsid w:val="403001BB"/>
    <w:rsid w:val="4050500F"/>
    <w:rsid w:val="406960D0"/>
    <w:rsid w:val="409F75AC"/>
    <w:rsid w:val="40B7508E"/>
    <w:rsid w:val="418331C2"/>
    <w:rsid w:val="41CD44D3"/>
    <w:rsid w:val="41DD0B24"/>
    <w:rsid w:val="41E974C9"/>
    <w:rsid w:val="41EB641B"/>
    <w:rsid w:val="42A33B1C"/>
    <w:rsid w:val="42BA70B7"/>
    <w:rsid w:val="43105D77"/>
    <w:rsid w:val="435B43F6"/>
    <w:rsid w:val="436D237B"/>
    <w:rsid w:val="436D4129"/>
    <w:rsid w:val="44242A3A"/>
    <w:rsid w:val="44507CD3"/>
    <w:rsid w:val="449F0313"/>
    <w:rsid w:val="44CF14FE"/>
    <w:rsid w:val="44D22496"/>
    <w:rsid w:val="451A3E3D"/>
    <w:rsid w:val="451E56DB"/>
    <w:rsid w:val="45B918A8"/>
    <w:rsid w:val="4631143E"/>
    <w:rsid w:val="463F067F"/>
    <w:rsid w:val="46DF13E2"/>
    <w:rsid w:val="46F54B62"/>
    <w:rsid w:val="471A0124"/>
    <w:rsid w:val="47555600"/>
    <w:rsid w:val="47C06F1E"/>
    <w:rsid w:val="480C3F11"/>
    <w:rsid w:val="489659A4"/>
    <w:rsid w:val="48B85E47"/>
    <w:rsid w:val="48F7696F"/>
    <w:rsid w:val="49175F10"/>
    <w:rsid w:val="49374FBE"/>
    <w:rsid w:val="49902920"/>
    <w:rsid w:val="49D547D7"/>
    <w:rsid w:val="49E8450A"/>
    <w:rsid w:val="49F7474D"/>
    <w:rsid w:val="49FC7FB5"/>
    <w:rsid w:val="4A0977B8"/>
    <w:rsid w:val="4A0A0924"/>
    <w:rsid w:val="4A1B043B"/>
    <w:rsid w:val="4A4243F0"/>
    <w:rsid w:val="4A673681"/>
    <w:rsid w:val="4A947A54"/>
    <w:rsid w:val="4AE57BEB"/>
    <w:rsid w:val="4B942AC7"/>
    <w:rsid w:val="4BA34B8C"/>
    <w:rsid w:val="4C433C79"/>
    <w:rsid w:val="4CC76658"/>
    <w:rsid w:val="4CEE1BE2"/>
    <w:rsid w:val="4CFD59F6"/>
    <w:rsid w:val="4D06395D"/>
    <w:rsid w:val="4D1E2254"/>
    <w:rsid w:val="4D373339"/>
    <w:rsid w:val="4D7C5695"/>
    <w:rsid w:val="4DA30E74"/>
    <w:rsid w:val="4DBA440F"/>
    <w:rsid w:val="4DC033FF"/>
    <w:rsid w:val="4DD51249"/>
    <w:rsid w:val="4E09418B"/>
    <w:rsid w:val="4E121B55"/>
    <w:rsid w:val="4E143B1F"/>
    <w:rsid w:val="4E151645"/>
    <w:rsid w:val="4E244444"/>
    <w:rsid w:val="4E402B66"/>
    <w:rsid w:val="4E465CA3"/>
    <w:rsid w:val="4EB00F44"/>
    <w:rsid w:val="4EB96475"/>
    <w:rsid w:val="4EC44EDA"/>
    <w:rsid w:val="4EEE4370"/>
    <w:rsid w:val="4F041DE6"/>
    <w:rsid w:val="4F2E75B2"/>
    <w:rsid w:val="4F807F42"/>
    <w:rsid w:val="4F90539D"/>
    <w:rsid w:val="4F93316A"/>
    <w:rsid w:val="4F960564"/>
    <w:rsid w:val="4FBF5D0D"/>
    <w:rsid w:val="4FC6709B"/>
    <w:rsid w:val="4FE92D8A"/>
    <w:rsid w:val="50035C66"/>
    <w:rsid w:val="501C4F0D"/>
    <w:rsid w:val="504D50C7"/>
    <w:rsid w:val="506D7517"/>
    <w:rsid w:val="507E03FB"/>
    <w:rsid w:val="50E53551"/>
    <w:rsid w:val="5119769F"/>
    <w:rsid w:val="51200A2D"/>
    <w:rsid w:val="5133250E"/>
    <w:rsid w:val="515661FD"/>
    <w:rsid w:val="51C440E7"/>
    <w:rsid w:val="52552958"/>
    <w:rsid w:val="52943481"/>
    <w:rsid w:val="52A80CDA"/>
    <w:rsid w:val="52AD4542"/>
    <w:rsid w:val="52C33D66"/>
    <w:rsid w:val="52D0481B"/>
    <w:rsid w:val="5311687F"/>
    <w:rsid w:val="535624E4"/>
    <w:rsid w:val="53682217"/>
    <w:rsid w:val="536C7F5A"/>
    <w:rsid w:val="53C102A5"/>
    <w:rsid w:val="53DA344F"/>
    <w:rsid w:val="53DF2153"/>
    <w:rsid w:val="543640C4"/>
    <w:rsid w:val="54442C85"/>
    <w:rsid w:val="54464931"/>
    <w:rsid w:val="54556C40"/>
    <w:rsid w:val="547370C6"/>
    <w:rsid w:val="54A13C33"/>
    <w:rsid w:val="54AD25D8"/>
    <w:rsid w:val="54D73AF9"/>
    <w:rsid w:val="55540CA5"/>
    <w:rsid w:val="55915A56"/>
    <w:rsid w:val="561F5757"/>
    <w:rsid w:val="565274F4"/>
    <w:rsid w:val="566B62A7"/>
    <w:rsid w:val="566F25A4"/>
    <w:rsid w:val="568F3452"/>
    <w:rsid w:val="56903F5F"/>
    <w:rsid w:val="56F52014"/>
    <w:rsid w:val="57546417"/>
    <w:rsid w:val="577B076B"/>
    <w:rsid w:val="57B1418D"/>
    <w:rsid w:val="58010616"/>
    <w:rsid w:val="584D7E65"/>
    <w:rsid w:val="586566C4"/>
    <w:rsid w:val="58E467E4"/>
    <w:rsid w:val="58F5279F"/>
    <w:rsid w:val="59044790"/>
    <w:rsid w:val="59822285"/>
    <w:rsid w:val="59AF0BA0"/>
    <w:rsid w:val="59C04B5B"/>
    <w:rsid w:val="5A4C63EF"/>
    <w:rsid w:val="5A81253D"/>
    <w:rsid w:val="5AD31775"/>
    <w:rsid w:val="5B1B7211"/>
    <w:rsid w:val="5B631C42"/>
    <w:rsid w:val="5BCE7A03"/>
    <w:rsid w:val="5BDE39BF"/>
    <w:rsid w:val="5C34538D"/>
    <w:rsid w:val="5C3F445D"/>
    <w:rsid w:val="5C642116"/>
    <w:rsid w:val="5C643EC4"/>
    <w:rsid w:val="5C8844B0"/>
    <w:rsid w:val="5C966047"/>
    <w:rsid w:val="5D15007F"/>
    <w:rsid w:val="5DB06C95"/>
    <w:rsid w:val="5DD9443E"/>
    <w:rsid w:val="5E1E3FFC"/>
    <w:rsid w:val="5E9A324B"/>
    <w:rsid w:val="5EC92704"/>
    <w:rsid w:val="5ED944FD"/>
    <w:rsid w:val="5EF05EE3"/>
    <w:rsid w:val="5F04649D"/>
    <w:rsid w:val="5F204545"/>
    <w:rsid w:val="5F5A1FC8"/>
    <w:rsid w:val="5F773F43"/>
    <w:rsid w:val="5FA406F0"/>
    <w:rsid w:val="604C0EF7"/>
    <w:rsid w:val="605424A1"/>
    <w:rsid w:val="60683F4E"/>
    <w:rsid w:val="60B92304"/>
    <w:rsid w:val="60C03693"/>
    <w:rsid w:val="60C211B9"/>
    <w:rsid w:val="60C2740B"/>
    <w:rsid w:val="60D47AE1"/>
    <w:rsid w:val="60F06780"/>
    <w:rsid w:val="613A34DC"/>
    <w:rsid w:val="61471C84"/>
    <w:rsid w:val="617513A2"/>
    <w:rsid w:val="61813F63"/>
    <w:rsid w:val="619012B7"/>
    <w:rsid w:val="61C471B3"/>
    <w:rsid w:val="620F4693"/>
    <w:rsid w:val="62483940"/>
    <w:rsid w:val="628A660F"/>
    <w:rsid w:val="62CF5E0F"/>
    <w:rsid w:val="62E418BB"/>
    <w:rsid w:val="632E0D88"/>
    <w:rsid w:val="63554037"/>
    <w:rsid w:val="636B79FC"/>
    <w:rsid w:val="63957059"/>
    <w:rsid w:val="63AE4477"/>
    <w:rsid w:val="64085A7D"/>
    <w:rsid w:val="643659E8"/>
    <w:rsid w:val="64833355"/>
    <w:rsid w:val="64917820"/>
    <w:rsid w:val="64DE67DD"/>
    <w:rsid w:val="64E671E9"/>
    <w:rsid w:val="65605444"/>
    <w:rsid w:val="65771EF3"/>
    <w:rsid w:val="65B35574"/>
    <w:rsid w:val="66157FDD"/>
    <w:rsid w:val="6688619F"/>
    <w:rsid w:val="66A02E50"/>
    <w:rsid w:val="66D47E98"/>
    <w:rsid w:val="670D6F06"/>
    <w:rsid w:val="672D1356"/>
    <w:rsid w:val="674F5770"/>
    <w:rsid w:val="67E265E5"/>
    <w:rsid w:val="68282249"/>
    <w:rsid w:val="68D47FEC"/>
    <w:rsid w:val="69106B56"/>
    <w:rsid w:val="697414BE"/>
    <w:rsid w:val="69935DE8"/>
    <w:rsid w:val="69DA3A17"/>
    <w:rsid w:val="6A053338"/>
    <w:rsid w:val="6A9B68A9"/>
    <w:rsid w:val="6AB97AD1"/>
    <w:rsid w:val="6AC02C0D"/>
    <w:rsid w:val="6AE80B43"/>
    <w:rsid w:val="6B5670CE"/>
    <w:rsid w:val="6BEC358E"/>
    <w:rsid w:val="6BF96102"/>
    <w:rsid w:val="6C0528A2"/>
    <w:rsid w:val="6C126195"/>
    <w:rsid w:val="6C211774"/>
    <w:rsid w:val="6C9D09A5"/>
    <w:rsid w:val="6CF7668E"/>
    <w:rsid w:val="6D533BE8"/>
    <w:rsid w:val="6D6D06FE"/>
    <w:rsid w:val="6D94212F"/>
    <w:rsid w:val="6DAC1B8F"/>
    <w:rsid w:val="6E22773B"/>
    <w:rsid w:val="6E7567D2"/>
    <w:rsid w:val="6EFA1E1B"/>
    <w:rsid w:val="6F2A57E9"/>
    <w:rsid w:val="6F4F288F"/>
    <w:rsid w:val="6F55769C"/>
    <w:rsid w:val="6F993A2D"/>
    <w:rsid w:val="6FA72286"/>
    <w:rsid w:val="6FB46AB9"/>
    <w:rsid w:val="6FDA31ED"/>
    <w:rsid w:val="6FE50A20"/>
    <w:rsid w:val="70314865"/>
    <w:rsid w:val="704F058F"/>
    <w:rsid w:val="70545BA6"/>
    <w:rsid w:val="70651B61"/>
    <w:rsid w:val="70B7060E"/>
    <w:rsid w:val="70C52DFA"/>
    <w:rsid w:val="70D171F6"/>
    <w:rsid w:val="70E76A1A"/>
    <w:rsid w:val="719E357C"/>
    <w:rsid w:val="71D11B85"/>
    <w:rsid w:val="71DE1BCB"/>
    <w:rsid w:val="72404633"/>
    <w:rsid w:val="72BE6102"/>
    <w:rsid w:val="72C74D55"/>
    <w:rsid w:val="73076466"/>
    <w:rsid w:val="730E64E0"/>
    <w:rsid w:val="7315786E"/>
    <w:rsid w:val="737B5FE0"/>
    <w:rsid w:val="73880040"/>
    <w:rsid w:val="73994053"/>
    <w:rsid w:val="73C117A4"/>
    <w:rsid w:val="744E4560"/>
    <w:rsid w:val="746C7962"/>
    <w:rsid w:val="7493592D"/>
    <w:rsid w:val="74B82BA7"/>
    <w:rsid w:val="74BB61F3"/>
    <w:rsid w:val="74C4154C"/>
    <w:rsid w:val="74F65C00"/>
    <w:rsid w:val="751A116C"/>
    <w:rsid w:val="75284E6A"/>
    <w:rsid w:val="754461E9"/>
    <w:rsid w:val="7547243C"/>
    <w:rsid w:val="754873DC"/>
    <w:rsid w:val="755D0D54"/>
    <w:rsid w:val="757E5B9F"/>
    <w:rsid w:val="75902508"/>
    <w:rsid w:val="75AC725B"/>
    <w:rsid w:val="75B237BD"/>
    <w:rsid w:val="75B74C0D"/>
    <w:rsid w:val="75E55C1E"/>
    <w:rsid w:val="763E6DDC"/>
    <w:rsid w:val="76660AD3"/>
    <w:rsid w:val="7671497F"/>
    <w:rsid w:val="767E397C"/>
    <w:rsid w:val="76AC673B"/>
    <w:rsid w:val="76F37EC6"/>
    <w:rsid w:val="76F93003"/>
    <w:rsid w:val="77071BC4"/>
    <w:rsid w:val="77183DD1"/>
    <w:rsid w:val="772B7660"/>
    <w:rsid w:val="7735228D"/>
    <w:rsid w:val="77980A6E"/>
    <w:rsid w:val="786D1EFA"/>
    <w:rsid w:val="7872306D"/>
    <w:rsid w:val="78976606"/>
    <w:rsid w:val="790A599B"/>
    <w:rsid w:val="792702FB"/>
    <w:rsid w:val="797F3C93"/>
    <w:rsid w:val="79BF2152"/>
    <w:rsid w:val="79ED32F3"/>
    <w:rsid w:val="79F301DD"/>
    <w:rsid w:val="79F857F4"/>
    <w:rsid w:val="7A6C60E4"/>
    <w:rsid w:val="7AC5601E"/>
    <w:rsid w:val="7AD46261"/>
    <w:rsid w:val="7AF625DE"/>
    <w:rsid w:val="7B364826"/>
    <w:rsid w:val="7B3B1E3C"/>
    <w:rsid w:val="7B3D3E06"/>
    <w:rsid w:val="7B7535A0"/>
    <w:rsid w:val="7BDF310F"/>
    <w:rsid w:val="7BE20509"/>
    <w:rsid w:val="7BEB3862"/>
    <w:rsid w:val="7C1E1D0C"/>
    <w:rsid w:val="7C432F37"/>
    <w:rsid w:val="7C4B4301"/>
    <w:rsid w:val="7CA5421A"/>
    <w:rsid w:val="7CA57EB5"/>
    <w:rsid w:val="7CA67789"/>
    <w:rsid w:val="7CEC427E"/>
    <w:rsid w:val="7CF02199"/>
    <w:rsid w:val="7D474C61"/>
    <w:rsid w:val="7D515947"/>
    <w:rsid w:val="7D690EE2"/>
    <w:rsid w:val="7D8C3601"/>
    <w:rsid w:val="7D8F021D"/>
    <w:rsid w:val="7DBF6D54"/>
    <w:rsid w:val="7DD24CD9"/>
    <w:rsid w:val="7E0724A9"/>
    <w:rsid w:val="7E573431"/>
    <w:rsid w:val="7E58188B"/>
    <w:rsid w:val="7E857F9E"/>
    <w:rsid w:val="7EB02B41"/>
    <w:rsid w:val="7EF56FBB"/>
    <w:rsid w:val="7F2077AA"/>
    <w:rsid w:val="7F2D7CEE"/>
    <w:rsid w:val="7F3B6DAC"/>
    <w:rsid w:val="7F590AE3"/>
    <w:rsid w:val="7F616306"/>
    <w:rsid w:val="7F6403F8"/>
    <w:rsid w:val="7F78365F"/>
    <w:rsid w:val="7FC5261C"/>
    <w:rsid w:val="7FC543CA"/>
    <w:rsid w:val="7FD77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Lines/>
      <w:spacing w:before="280" w:after="280"/>
      <w:jc w:val="center"/>
      <w:outlineLvl w:val="0"/>
    </w:pPr>
    <w:rPr>
      <w:rFonts w:ascii="宋体" w:hAnsi="宋体" w:cs="宋体"/>
      <w:b/>
      <w:color w:val="000000"/>
      <w:sz w:val="36"/>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qFormat/>
    <w:uiPriority w:val="99"/>
    <w:pPr>
      <w:spacing w:before="100" w:beforeAutospacing="1" w:after="100" w:afterAutospacing="1"/>
      <w:jc w:val="left"/>
    </w:pPr>
    <w:rPr>
      <w:rFonts w:ascii="宋体" w:hAnsi="宋体" w:cs="宋体"/>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9">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750</Words>
  <Characters>4277</Characters>
  <Lines>35</Lines>
  <Paragraphs>10</Paragraphs>
  <TotalTime>28</TotalTime>
  <ScaleCrop>false</ScaleCrop>
  <LinksUpToDate>false</LinksUpToDate>
  <CharactersWithSpaces>5017</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2021-11-18T12:33:00Z</dcterms:created>
  <dc:creator>67340</dc:creator>
  <cp:lastModifiedBy>cx</cp:lastModifiedBy>
  <dcterms:modified xsi:type="dcterms:W3CDTF">2021-11-23T07:29:07Z</dcterms:modified>
  <dc:title>关于《福建省公共租赁住房租赁合同示范文本》（征求意见稿）的起草说明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21F63D3F0CA24FF2B9411F22A869DDD4</vt:lpwstr>
  </property>
</Properties>
</file>