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佛山市住房和城乡建设局关于</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商品房销售信息公示的规定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（征求意见稿）</w:t>
      </w:r>
    </w:p>
    <w:p>
      <w:pPr>
        <w:keepNext w:val="0"/>
        <w:keepLines w:val="0"/>
        <w:pageBreakBefore w:val="0"/>
        <w:kinsoku/>
        <w:wordWrap/>
        <w:overflowPunct/>
        <w:topLinePunct w:val="0"/>
        <w:autoSpaceDE/>
        <w:autoSpaceDN/>
        <w:bidi w:val="0"/>
        <w:adjustRightInd/>
        <w:spacing w:line="560" w:lineRule="exact"/>
        <w:ind w:left="0" w:leftChars="0"/>
        <w:jc w:val="both"/>
        <w:textAlignment w:val="auto"/>
        <w:rPr>
          <w:rFonts w:hint="eastAsia" w:ascii="方正小标宋简体" w:hAnsi="方正小标宋简体" w:eastAsia="方正小标宋简体" w:cs="方正小标宋简体"/>
          <w:b w:val="0"/>
          <w:bCs w:val="0"/>
          <w:color w:val="auto"/>
          <w:sz w:val="36"/>
          <w:szCs w:val="44"/>
          <w:lang w:val="en-US" w:eastAsia="zh-CN"/>
        </w:rPr>
      </w:pPr>
    </w:p>
    <w:p>
      <w:pPr>
        <w:keepNext w:val="0"/>
        <w:keepLines w:val="0"/>
        <w:pageBreakBefore w:val="0"/>
        <w:kinsoku/>
        <w:wordWrap/>
        <w:overflowPunct/>
        <w:topLinePunct w:val="0"/>
        <w:autoSpaceDE/>
        <w:autoSpaceDN/>
        <w:bidi w:val="0"/>
        <w:adjustRightInd/>
        <w:spacing w:line="560" w:lineRule="exact"/>
        <w:ind w:left="0" w:leftChars="0"/>
        <w:jc w:val="both"/>
        <w:textAlignment w:val="auto"/>
        <w:rPr>
          <w:rFonts w:hint="eastAsia" w:ascii="方正小标宋简体" w:hAnsi="方正小标宋简体" w:eastAsia="方正小标宋简体" w:cs="方正小标宋简体"/>
          <w:b w:val="0"/>
          <w:bCs w:val="0"/>
          <w:color w:val="auto"/>
          <w:sz w:val="36"/>
          <w:szCs w:val="44"/>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总则</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olor w:val="auto"/>
          <w:sz w:val="32"/>
          <w:szCs w:val="32"/>
          <w:u w:val="none"/>
          <w:lang w:val="en-US" w:eastAsia="zh-CN"/>
        </w:rPr>
      </w:pPr>
      <w:r>
        <w:rPr>
          <w:rFonts w:hint="eastAsia" w:ascii="黑体" w:hAnsi="黑体" w:eastAsia="黑体" w:cs="黑体"/>
          <w:b w:val="0"/>
          <w:bCs w:val="0"/>
          <w:color w:val="auto"/>
          <w:sz w:val="32"/>
          <w:szCs w:val="32"/>
          <w:lang w:val="en-US" w:eastAsia="zh-CN"/>
        </w:rPr>
        <w:t>第一条（制定依据）</w:t>
      </w:r>
      <w:r>
        <w:rPr>
          <w:rFonts w:hint="eastAsia" w:ascii="仿宋" w:hAnsi="仿宋" w:eastAsia="仿宋" w:cs="仿宋"/>
          <w:b w:val="0"/>
          <w:bCs w:val="0"/>
          <w:color w:val="auto"/>
          <w:sz w:val="32"/>
          <w:szCs w:val="32"/>
          <w:lang w:val="en-US" w:eastAsia="zh-CN"/>
        </w:rPr>
        <w:t xml:space="preserve">  </w:t>
      </w:r>
      <w:r>
        <w:rPr>
          <w:rFonts w:hint="eastAsia" w:ascii="仿宋_GB2312" w:hAnsi="仿宋_GB2312" w:eastAsia="仿宋_GB2312" w:cs="仿宋_GB2312"/>
          <w:b w:val="0"/>
          <w:bCs w:val="0"/>
          <w:i w:val="0"/>
          <w:iCs w:val="0"/>
          <w:color w:val="auto"/>
          <w:sz w:val="32"/>
          <w:szCs w:val="32"/>
          <w:lang w:val="en-US" w:eastAsia="zh-CN"/>
        </w:rPr>
        <w:t>为规范商品房项目销售信息公示行为,加强商品房销售管理，</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引导企业诚信经营，</w:t>
      </w:r>
      <w:r>
        <w:rPr>
          <w:rFonts w:hint="eastAsia" w:ascii="仿宋_GB2312" w:hAnsi="仿宋_GB2312" w:eastAsia="仿宋_GB2312" w:cs="仿宋_GB2312"/>
          <w:b w:val="0"/>
          <w:bCs w:val="0"/>
          <w:i w:val="0"/>
          <w:iCs w:val="0"/>
          <w:caps w:val="0"/>
          <w:color w:val="auto"/>
          <w:spacing w:val="0"/>
          <w:sz w:val="32"/>
          <w:szCs w:val="32"/>
          <w:shd w:val="clear" w:color="auto" w:fill="FFFFFF"/>
        </w:rPr>
        <w:t>营造公开、公平、有序的房地产市场环境，</w:t>
      </w:r>
      <w:r>
        <w:rPr>
          <w:rFonts w:hint="eastAsia" w:ascii="仿宋_GB2312" w:hAnsi="仿宋_GB2312" w:eastAsia="仿宋_GB2312" w:cs="仿宋_GB2312"/>
          <w:b w:val="0"/>
          <w:bCs w:val="0"/>
          <w:i w:val="0"/>
          <w:iCs w:val="0"/>
          <w:color w:val="auto"/>
          <w:sz w:val="32"/>
          <w:szCs w:val="32"/>
          <w:lang w:val="en-US" w:eastAsia="zh-CN"/>
        </w:rPr>
        <w:t>保障购房人</w:t>
      </w:r>
      <w:r>
        <w:rPr>
          <w:rFonts w:hint="eastAsia" w:ascii="仿宋_GB2312" w:hAnsi="仿宋_GB2312" w:eastAsia="仿宋_GB2312" w:cs="仿宋_GB2312"/>
          <w:b w:val="0"/>
          <w:bCs w:val="0"/>
          <w:i w:val="0"/>
          <w:iCs w:val="0"/>
          <w:caps w:val="0"/>
          <w:color w:val="auto"/>
          <w:spacing w:val="0"/>
          <w:sz w:val="32"/>
          <w:szCs w:val="32"/>
          <w:shd w:val="clear" w:color="auto" w:fill="FFFFFF"/>
        </w:rPr>
        <w:t>合法权益，</w:t>
      </w:r>
      <w:r>
        <w:rPr>
          <w:rFonts w:hint="eastAsia" w:ascii="仿宋_GB2312" w:hAnsi="仿宋_GB2312" w:eastAsia="仿宋_GB2312" w:cs="仿宋_GB2312"/>
          <w:b w:val="0"/>
          <w:bCs w:val="0"/>
          <w:i w:val="0"/>
          <w:iCs w:val="0"/>
          <w:caps w:val="0"/>
          <w:color w:val="auto"/>
          <w:spacing w:val="0"/>
          <w:sz w:val="32"/>
          <w:szCs w:val="32"/>
          <w:u w:val="none"/>
          <w:shd w:val="clear" w:color="auto" w:fill="FFFFFF"/>
        </w:rPr>
        <w:t>根据《</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中华人民共和国房地产法</w:t>
      </w:r>
      <w:r>
        <w:rPr>
          <w:rFonts w:hint="eastAsia" w:ascii="仿宋_GB2312" w:hAnsi="仿宋_GB2312" w:eastAsia="仿宋_GB2312" w:cs="仿宋_GB2312"/>
          <w:b w:val="0"/>
          <w:bCs w:val="0"/>
          <w:i w:val="0"/>
          <w:iCs w:val="0"/>
          <w:caps w:val="0"/>
          <w:color w:val="auto"/>
          <w:spacing w:val="0"/>
          <w:sz w:val="32"/>
          <w:szCs w:val="32"/>
          <w:u w:val="none"/>
          <w:shd w:val="clear" w:color="auto" w:fill="FFFFFF"/>
        </w:rPr>
        <w:t>》</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《城市房地产开发经营条例》《商品房销售管理办法》《广东省商品房预售管理条例》《关于进一步加强房地产市场监管完善商品住房预售制度有关问题的通知》《</w:t>
      </w:r>
      <w:r>
        <w:rPr>
          <w:rFonts w:hint="eastAsia" w:ascii="仿宋_GB2312" w:hAnsi="仿宋_GB2312" w:eastAsia="仿宋_GB2312" w:cs="仿宋_GB2312"/>
          <w:color w:val="auto"/>
          <w:sz w:val="32"/>
          <w:szCs w:val="32"/>
          <w:u w:val="none"/>
          <w:shd w:val="clear" w:color="auto" w:fill="FFFFFF"/>
        </w:rPr>
        <w:t>广东省住房和城乡建设厅关于进一步规范商品房销售信息公示的通知</w:t>
      </w:r>
      <w:r>
        <w:rPr>
          <w:rFonts w:hint="eastAsia" w:ascii="仿宋_GB2312" w:hAnsi="仿宋_GB2312" w:eastAsia="仿宋_GB2312" w:cs="仿宋_GB2312"/>
          <w:b w:val="0"/>
          <w:bCs w:val="0"/>
          <w:i w:val="0"/>
          <w:iCs w:val="0"/>
          <w:caps w:val="0"/>
          <w:color w:val="auto"/>
          <w:spacing w:val="0"/>
          <w:sz w:val="32"/>
          <w:szCs w:val="32"/>
          <w:u w:val="none"/>
          <w:shd w:val="clear" w:color="auto" w:fill="FFFFFF"/>
          <w:lang w:eastAsia="zh-CN"/>
        </w:rPr>
        <w:t>》及相关法律、法规，结合本市实际，制定本规定。</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第二条（管理范围）  </w:t>
      </w:r>
      <w:r>
        <w:rPr>
          <w:rFonts w:hint="eastAsia" w:ascii="仿宋_GB2312" w:hAnsi="仿宋_GB2312" w:eastAsia="仿宋_GB2312" w:cs="仿宋_GB2312"/>
          <w:b w:val="0"/>
          <w:bCs w:val="0"/>
          <w:color w:val="auto"/>
          <w:sz w:val="32"/>
          <w:szCs w:val="32"/>
          <w:lang w:val="en-US" w:eastAsia="zh-CN"/>
        </w:rPr>
        <w:t>本文所称商品房销售公示信息是指佛山市内新建商品房（预售、现售）项目销售过程中应当公示购房者知情的销售信息，主要包括项目信息、经纪机构及人员信息、项目宣传信息、沙盘及样板间信息等。</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第三条（管理权限）</w:t>
      </w:r>
      <w:r>
        <w:rPr>
          <w:rFonts w:hint="eastAsia" w:ascii="仿宋" w:hAnsi="仿宋" w:eastAsia="仿宋" w:cs="仿宋"/>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市住房城乡建设主管部门负责监督指导全市商品房销售信息公示管理工作。各区建设房产行政主管部门负责辖区内商品房销售信息公示行为的监督、检查和查处工作。</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一般规定</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第四条（公示期限）</w:t>
      </w:r>
      <w:r>
        <w:rPr>
          <w:rFonts w:hint="eastAsia" w:ascii="宋体" w:hAnsi="宋体" w:eastAsia="宋体" w:cs="宋体"/>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商品房销售信息公示期限原则上自商品房取得预售许可（现售备案）发证之日起至项目销售完毕止。</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kern w:val="2"/>
          <w:sz w:val="32"/>
          <w:szCs w:val="32"/>
          <w:lang w:val="en-US" w:eastAsia="zh-CN"/>
        </w:rPr>
        <w:t xml:space="preserve">第五条（公示原则）  </w:t>
      </w:r>
      <w:r>
        <w:rPr>
          <w:rFonts w:hint="eastAsia" w:ascii="仿宋_GB2312" w:hAnsi="仿宋_GB2312" w:eastAsia="仿宋_GB2312" w:cs="仿宋_GB2312"/>
          <w:b w:val="0"/>
          <w:bCs w:val="0"/>
          <w:color w:val="auto"/>
          <w:sz w:val="32"/>
          <w:szCs w:val="32"/>
          <w:lang w:val="en-US" w:eastAsia="zh-CN"/>
        </w:rPr>
        <w:t>商品房销售信息公示行为应当遵循公开透明</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真实客观、便捷主动、及时全面的原则。</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kern w:val="0"/>
          <w:sz w:val="32"/>
          <w:szCs w:val="32"/>
          <w:lang w:val="en-US" w:eastAsia="zh-CN"/>
        </w:rPr>
        <w:t xml:space="preserve">第六条（公示方式）  </w:t>
      </w:r>
      <w:r>
        <w:rPr>
          <w:rFonts w:hint="eastAsia" w:ascii="仿宋_GB2312" w:hAnsi="仿宋_GB2312" w:eastAsia="仿宋_GB2312" w:cs="仿宋_GB2312"/>
          <w:b w:val="0"/>
          <w:bCs w:val="0"/>
          <w:color w:val="auto"/>
          <w:sz w:val="32"/>
          <w:szCs w:val="32"/>
          <w:lang w:val="en-US" w:eastAsia="zh-CN"/>
        </w:rPr>
        <w:t>商品房销售应当设置公示栏、公示台和公示簿，便于购房者了解该商品房项目的基本情况，获取相关信息。</w:t>
      </w:r>
      <w:r>
        <w:rPr>
          <w:rFonts w:hint="eastAsia" w:ascii="仿宋_GB2312" w:hAnsi="仿宋_GB2312" w:eastAsia="仿宋_GB2312" w:cs="仿宋_GB2312"/>
          <w:b w:val="0"/>
          <w:bCs w:val="0"/>
          <w:color w:val="auto"/>
          <w:kern w:val="0"/>
          <w:sz w:val="32"/>
          <w:szCs w:val="32"/>
          <w:lang w:val="en-US" w:eastAsia="zh-CN"/>
        </w:rPr>
        <w:t>鼓励房地产企业通过电子信息屏、多媒体交互终端等方式多渠道展示项目公示信息。</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公示栏</w:t>
      </w:r>
      <w:r>
        <w:rPr>
          <w:rFonts w:hint="eastAsia" w:ascii="仿宋_GB2312" w:hAnsi="仿宋_GB2312" w:eastAsia="仿宋_GB2312" w:cs="仿宋_GB2312"/>
          <w:b w:val="0"/>
          <w:bCs w:val="0"/>
          <w:color w:val="auto"/>
          <w:kern w:val="0"/>
          <w:sz w:val="32"/>
          <w:szCs w:val="32"/>
          <w:lang w:val="en-US" w:eastAsia="zh-CN"/>
        </w:rPr>
        <w:t>设立在销售</w:t>
      </w:r>
      <w:r>
        <w:rPr>
          <w:rFonts w:hint="eastAsia" w:ascii="仿宋_GB2312" w:hAnsi="仿宋_GB2312" w:eastAsia="仿宋_GB2312" w:cs="仿宋_GB2312"/>
          <w:b w:val="0"/>
          <w:bCs w:val="0"/>
          <w:color w:val="auto"/>
          <w:kern w:val="0"/>
          <w:sz w:val="32"/>
          <w:szCs w:val="32"/>
          <w:highlight w:val="none"/>
          <w:lang w:val="en-US" w:eastAsia="zh-CN"/>
        </w:rPr>
        <w:t>现场</w:t>
      </w:r>
      <w:r>
        <w:rPr>
          <w:rFonts w:hint="eastAsia" w:ascii="仿宋_GB2312" w:hAnsi="仿宋_GB2312" w:eastAsia="仿宋_GB2312" w:cs="仿宋_GB2312"/>
          <w:b w:val="0"/>
          <w:bCs w:val="0"/>
          <w:color w:val="auto"/>
          <w:kern w:val="0"/>
          <w:sz w:val="32"/>
          <w:szCs w:val="32"/>
          <w:lang w:val="en-US" w:eastAsia="zh-CN"/>
        </w:rPr>
        <w:t>显著位置</w:t>
      </w:r>
      <w:r>
        <w:rPr>
          <w:rFonts w:hint="eastAsia" w:ascii="仿宋_GB2312" w:hAnsi="仿宋_GB2312" w:eastAsia="仿宋_GB2312" w:cs="仿宋_GB2312"/>
          <w:b w:val="0"/>
          <w:bCs w:val="0"/>
          <w:color w:val="auto"/>
          <w:sz w:val="32"/>
          <w:szCs w:val="32"/>
          <w:lang w:val="en-US" w:eastAsia="zh-CN"/>
        </w:rPr>
        <w:t>或展示沙盘旁边，</w:t>
      </w:r>
      <w:r>
        <w:rPr>
          <w:rFonts w:hint="eastAsia" w:ascii="仿宋_GB2312" w:hAnsi="仿宋_GB2312" w:eastAsia="仿宋_GB2312" w:cs="仿宋_GB2312"/>
          <w:b w:val="0"/>
          <w:bCs w:val="0"/>
          <w:color w:val="auto"/>
          <w:kern w:val="0"/>
          <w:sz w:val="32"/>
          <w:szCs w:val="32"/>
          <w:lang w:val="en-US" w:eastAsia="zh-CN"/>
        </w:rPr>
        <w:t>以</w:t>
      </w:r>
      <w:r>
        <w:rPr>
          <w:rFonts w:hint="eastAsia" w:ascii="仿宋_GB2312" w:hAnsi="仿宋_GB2312" w:eastAsia="仿宋_GB2312" w:cs="仿宋_GB2312"/>
          <w:b w:val="0"/>
          <w:bCs w:val="0"/>
          <w:color w:val="auto"/>
          <w:sz w:val="32"/>
          <w:szCs w:val="32"/>
          <w:lang w:val="en-US" w:eastAsia="zh-CN"/>
        </w:rPr>
        <w:t>张贴</w:t>
      </w:r>
      <w:r>
        <w:rPr>
          <w:rFonts w:hint="eastAsia" w:ascii="仿宋_GB2312" w:hAnsi="仿宋_GB2312" w:eastAsia="仿宋_GB2312" w:cs="仿宋_GB2312"/>
          <w:b w:val="0"/>
          <w:bCs w:val="0"/>
          <w:color w:val="auto"/>
          <w:kern w:val="0"/>
          <w:sz w:val="32"/>
          <w:szCs w:val="32"/>
          <w:lang w:val="en-US" w:eastAsia="zh-CN"/>
        </w:rPr>
        <w:t>上墙形式</w:t>
      </w:r>
      <w:r>
        <w:rPr>
          <w:rFonts w:hint="eastAsia" w:ascii="仿宋_GB2312" w:hAnsi="仿宋_GB2312" w:eastAsia="仿宋_GB2312" w:cs="仿宋_GB2312"/>
          <w:b w:val="0"/>
          <w:bCs w:val="0"/>
          <w:color w:val="auto"/>
          <w:sz w:val="32"/>
          <w:szCs w:val="32"/>
          <w:lang w:val="en-US" w:eastAsia="zh-CN"/>
        </w:rPr>
        <w:t>公示信息，正上方标注</w:t>
      </w:r>
      <w:r>
        <w:rPr>
          <w:rFonts w:hint="eastAsia" w:ascii="仿宋_GB2312" w:hAnsi="仿宋_GB2312" w:eastAsia="仿宋_GB2312" w:cs="仿宋_GB2312"/>
          <w:b/>
          <w:bCs/>
          <w:color w:val="auto"/>
          <w:kern w:val="0"/>
          <w:sz w:val="32"/>
          <w:szCs w:val="32"/>
          <w:lang w:val="en-US" w:eastAsia="zh-CN"/>
        </w:rPr>
        <w:t>“商品房销售信息公示栏”</w:t>
      </w:r>
      <w:r>
        <w:rPr>
          <w:rFonts w:hint="eastAsia" w:ascii="仿宋_GB2312" w:hAnsi="仿宋_GB2312" w:eastAsia="仿宋_GB2312" w:cs="仿宋_GB2312"/>
          <w:b w:val="0"/>
          <w:bCs w:val="0"/>
          <w:color w:val="auto"/>
          <w:kern w:val="0"/>
          <w:sz w:val="32"/>
          <w:szCs w:val="32"/>
          <w:lang w:val="en-US" w:eastAsia="zh-CN"/>
        </w:rPr>
        <w:t> 字样和区相关部门</w:t>
      </w:r>
      <w:r>
        <w:rPr>
          <w:rFonts w:hint="eastAsia" w:ascii="仿宋_GB2312" w:hAnsi="仿宋_GB2312" w:eastAsia="仿宋_GB2312" w:cs="仿宋_GB2312"/>
          <w:b w:val="0"/>
          <w:bCs w:val="0"/>
          <w:color w:val="auto"/>
          <w:sz w:val="32"/>
          <w:szCs w:val="32"/>
          <w:lang w:val="en-US" w:eastAsia="zh-CN"/>
        </w:rPr>
        <w:t>投诉举报电话。公示栏设置应方便取阅，公示资料离地面高度不宜高于2.2米。</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kern w:val="0"/>
          <w:sz w:val="32"/>
          <w:szCs w:val="32"/>
          <w:lang w:val="en-US" w:eastAsia="zh-CN"/>
        </w:rPr>
      </w:pPr>
      <w:r>
        <w:rPr>
          <w:rFonts w:hint="eastAsia" w:ascii="仿宋_GB2312" w:hAnsi="仿宋_GB2312" w:eastAsia="仿宋_GB2312" w:cs="仿宋_GB2312"/>
          <w:b w:val="0"/>
          <w:bCs w:val="0"/>
          <w:color w:val="auto"/>
          <w:sz w:val="32"/>
          <w:szCs w:val="32"/>
          <w:lang w:val="en-US" w:eastAsia="zh-CN"/>
        </w:rPr>
        <w:t>公示台设置在公示栏旁，</w:t>
      </w:r>
      <w:r>
        <w:rPr>
          <w:rFonts w:hint="eastAsia" w:ascii="仿宋" w:hAnsi="仿宋" w:eastAsia="仿宋" w:cs="仿宋"/>
          <w:b w:val="0"/>
          <w:bCs w:val="0"/>
          <w:color w:val="auto"/>
          <w:kern w:val="0"/>
          <w:sz w:val="32"/>
          <w:szCs w:val="32"/>
          <w:lang w:val="en-US" w:eastAsia="zh-CN"/>
        </w:rPr>
        <w:t>公示台正面标注</w:t>
      </w:r>
      <w:r>
        <w:rPr>
          <w:rFonts w:hint="eastAsia" w:ascii="仿宋" w:hAnsi="仿宋" w:eastAsia="仿宋" w:cs="仿宋"/>
          <w:b/>
          <w:bCs/>
          <w:color w:val="auto"/>
          <w:kern w:val="0"/>
          <w:sz w:val="32"/>
          <w:szCs w:val="32"/>
          <w:lang w:val="en-US" w:eastAsia="zh-CN"/>
        </w:rPr>
        <w:t>“商品房销售信息公示台”</w:t>
      </w:r>
      <w:r>
        <w:rPr>
          <w:rFonts w:hint="eastAsia" w:ascii="仿宋" w:hAnsi="仿宋" w:eastAsia="仿宋" w:cs="仿宋"/>
          <w:b w:val="0"/>
          <w:bCs w:val="0"/>
          <w:color w:val="auto"/>
          <w:kern w:val="0"/>
          <w:sz w:val="32"/>
          <w:szCs w:val="32"/>
          <w:lang w:val="en-US" w:eastAsia="zh-CN"/>
        </w:rPr>
        <w:t>字样。公示信息分类装订成册设置公示簿，固定在公示台上，公示簿封面标注“</w:t>
      </w:r>
      <w:r>
        <w:rPr>
          <w:rFonts w:hint="eastAsia" w:ascii="仿宋" w:hAnsi="仿宋" w:eastAsia="仿宋" w:cs="仿宋"/>
          <w:b/>
          <w:bCs/>
          <w:color w:val="auto"/>
          <w:kern w:val="0"/>
          <w:sz w:val="32"/>
          <w:szCs w:val="32"/>
          <w:lang w:val="en-US" w:eastAsia="zh-CN"/>
        </w:rPr>
        <w:t>商品房销售信息公示簿</w:t>
      </w:r>
      <w:r>
        <w:rPr>
          <w:rFonts w:hint="eastAsia" w:ascii="仿宋" w:hAnsi="仿宋" w:eastAsia="仿宋" w:cs="仿宋"/>
          <w:b w:val="0"/>
          <w:bCs w:val="0"/>
          <w:color w:val="auto"/>
          <w:kern w:val="0"/>
          <w:sz w:val="32"/>
          <w:szCs w:val="32"/>
          <w:lang w:val="en-US" w:eastAsia="zh-CN"/>
        </w:rPr>
        <w:t>”字样。</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第七条（数字公示）  </w:t>
      </w:r>
      <w:r>
        <w:rPr>
          <w:rFonts w:hint="eastAsia" w:ascii="仿宋_GB2312" w:hAnsi="仿宋_GB2312" w:eastAsia="仿宋_GB2312" w:cs="仿宋_GB2312"/>
          <w:b w:val="0"/>
          <w:bCs w:val="0"/>
          <w:color w:val="auto"/>
          <w:kern w:val="2"/>
          <w:sz w:val="32"/>
          <w:szCs w:val="32"/>
          <w:lang w:val="en-US" w:eastAsia="zh-CN"/>
        </w:rPr>
        <w:t>申请销售的项目应同步上传电子化公示信息，</w:t>
      </w:r>
      <w:r>
        <w:rPr>
          <w:rFonts w:hint="eastAsia" w:ascii="仿宋_GB2312" w:hAnsi="仿宋_GB2312" w:eastAsia="仿宋_GB2312" w:cs="仿宋_GB2312"/>
          <w:b w:val="0"/>
          <w:bCs w:val="0"/>
          <w:color w:val="auto"/>
          <w:sz w:val="32"/>
          <w:szCs w:val="32"/>
          <w:lang w:val="en-US" w:eastAsia="zh-CN"/>
        </w:rPr>
        <w:t>电子信息应与销售现场公示内容一致</w:t>
      </w:r>
      <w:r>
        <w:rPr>
          <w:rFonts w:hint="eastAsia" w:ascii="仿宋_GB2312" w:hAnsi="仿宋_GB2312" w:eastAsia="仿宋_GB2312" w:cs="仿宋_GB2312"/>
          <w:b w:val="0"/>
          <w:bCs w:val="0"/>
          <w:color w:val="auto"/>
          <w:kern w:val="2"/>
          <w:sz w:val="32"/>
          <w:szCs w:val="32"/>
          <w:lang w:val="en-US" w:eastAsia="zh-CN"/>
        </w:rPr>
        <w:t>。申领预售许可的</w:t>
      </w:r>
      <w:r>
        <w:rPr>
          <w:rFonts w:hint="eastAsia" w:ascii="仿宋" w:hAnsi="仿宋" w:eastAsia="仿宋" w:cs="仿宋"/>
          <w:b w:val="0"/>
          <w:bCs w:val="0"/>
          <w:color w:val="auto"/>
          <w:kern w:val="0"/>
          <w:sz w:val="32"/>
          <w:szCs w:val="32"/>
          <w:lang w:val="en-US" w:eastAsia="zh-CN"/>
        </w:rPr>
        <w:t>项目</w:t>
      </w:r>
      <w:r>
        <w:rPr>
          <w:rFonts w:hint="eastAsia" w:ascii="仿宋_GB2312" w:hAnsi="仿宋_GB2312" w:eastAsia="仿宋_GB2312" w:cs="仿宋_GB2312"/>
          <w:b w:val="0"/>
          <w:bCs w:val="0"/>
          <w:color w:val="auto"/>
          <w:sz w:val="32"/>
          <w:szCs w:val="32"/>
          <w:lang w:val="en-US" w:eastAsia="zh-CN"/>
        </w:rPr>
        <w:t>应在</w:t>
      </w:r>
      <w:r>
        <w:rPr>
          <w:rFonts w:hint="eastAsia" w:ascii="仿宋" w:hAnsi="仿宋" w:eastAsia="仿宋" w:cs="仿宋"/>
          <w:b w:val="0"/>
          <w:bCs w:val="0"/>
          <w:color w:val="auto"/>
          <w:kern w:val="0"/>
          <w:sz w:val="32"/>
          <w:szCs w:val="32"/>
          <w:lang w:val="en-US" w:eastAsia="zh-CN"/>
        </w:rPr>
        <w:t>销售</w:t>
      </w:r>
      <w:r>
        <w:rPr>
          <w:rFonts w:hint="eastAsia" w:ascii="仿宋_GB2312" w:hAnsi="仿宋_GB2312" w:eastAsia="仿宋_GB2312" w:cs="仿宋_GB2312"/>
          <w:b w:val="0"/>
          <w:bCs w:val="0"/>
          <w:color w:val="auto"/>
          <w:sz w:val="32"/>
          <w:szCs w:val="32"/>
          <w:lang w:val="en-US" w:eastAsia="zh-CN"/>
        </w:rPr>
        <w:t>现场明显位置公示</w:t>
      </w:r>
      <w:r>
        <w:rPr>
          <w:rFonts w:hint="eastAsia" w:ascii="仿宋_GB2312" w:hAnsi="仿宋_GB2312" w:eastAsia="仿宋_GB2312" w:cs="仿宋_GB2312"/>
          <w:b w:val="0"/>
          <w:bCs w:val="0"/>
          <w:color w:val="auto"/>
          <w:kern w:val="2"/>
          <w:sz w:val="32"/>
          <w:szCs w:val="32"/>
          <w:lang w:val="en-US" w:eastAsia="zh-CN"/>
        </w:rPr>
        <w:t>由市建设房产行政主管部门统一制定的</w:t>
      </w:r>
      <w:r>
        <w:rPr>
          <w:rFonts w:hint="eastAsia" w:ascii="仿宋_GB2312" w:hAnsi="仿宋_GB2312" w:eastAsia="仿宋_GB2312" w:cs="仿宋_GB2312"/>
          <w:b w:val="0"/>
          <w:bCs w:val="0"/>
          <w:color w:val="auto"/>
          <w:sz w:val="32"/>
          <w:szCs w:val="32"/>
          <w:lang w:val="en-US" w:eastAsia="zh-CN"/>
        </w:rPr>
        <w:t>项目信息二维码和项目代理销售经纪机构信息二维码，主动引导购房者通过手机移动端获取项目公示服务信息。</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第八条（设置查询设备）  </w:t>
      </w:r>
      <w:r>
        <w:rPr>
          <w:rFonts w:hint="eastAsia" w:ascii="仿宋_GB2312" w:hAnsi="仿宋_GB2312" w:eastAsia="仿宋_GB2312" w:cs="仿宋_GB2312"/>
          <w:b w:val="0"/>
          <w:bCs w:val="0"/>
          <w:color w:val="auto"/>
          <w:sz w:val="32"/>
          <w:szCs w:val="32"/>
          <w:lang w:val="en-US" w:eastAsia="zh-CN"/>
        </w:rPr>
        <w:t>商品房销售现场应</w:t>
      </w:r>
      <w:r>
        <w:rPr>
          <w:rFonts w:hint="eastAsia" w:ascii="仿宋_GB2312" w:hAnsi="仿宋_GB2312" w:eastAsia="仿宋_GB2312" w:cs="仿宋_GB2312"/>
          <w:b w:val="0"/>
          <w:bCs w:val="0"/>
          <w:color w:val="auto"/>
          <w:kern w:val="0"/>
          <w:sz w:val="32"/>
          <w:szCs w:val="32"/>
          <w:lang w:val="en-US" w:eastAsia="zh-CN"/>
        </w:rPr>
        <w:t>设置可联网正常使用的商品房销售信息查询专用电子设备，供购房者自行登陆</w:t>
      </w:r>
      <w:r>
        <w:rPr>
          <w:rFonts w:hint="eastAsia" w:ascii="仿宋_GB2312" w:hAnsi="仿宋_GB2312" w:eastAsia="仿宋_GB2312" w:cs="仿宋_GB2312"/>
          <w:b w:val="0"/>
          <w:bCs w:val="0"/>
          <w:color w:val="auto"/>
          <w:sz w:val="32"/>
          <w:szCs w:val="32"/>
          <w:lang w:val="en-US" w:eastAsia="zh-CN"/>
        </w:rPr>
        <w:t>市建设房产行政主管部门官方网站</w:t>
      </w:r>
      <w:r>
        <w:rPr>
          <w:rFonts w:hint="eastAsia" w:ascii="仿宋_GB2312" w:hAnsi="仿宋_GB2312" w:eastAsia="仿宋_GB2312" w:cs="仿宋_GB2312"/>
          <w:b w:val="0"/>
          <w:bCs w:val="0"/>
          <w:color w:val="auto"/>
          <w:kern w:val="0"/>
          <w:sz w:val="32"/>
          <w:szCs w:val="32"/>
          <w:lang w:val="en-US" w:eastAsia="zh-CN"/>
        </w:rPr>
        <w:t>查询项目公示信息。形式包括但不限于台式电脑、手提电脑、平板电脑等。电子设备为商品房销售信息查询专用，不得挪作他用。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kern w:val="0"/>
          <w:sz w:val="32"/>
          <w:szCs w:val="32"/>
          <w:lang w:val="en-US" w:eastAsia="zh-CN"/>
        </w:rPr>
      </w:pP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第三章 项目信息公示</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sz w:val="32"/>
          <w:szCs w:val="32"/>
          <w:lang w:val="en-US" w:eastAsia="zh-CN"/>
        </w:rPr>
        <w:t>第九条（基本信息）</w:t>
      </w:r>
      <w:r>
        <w:rPr>
          <w:rFonts w:hint="eastAsia" w:ascii="仿宋_GB2312" w:hAnsi="仿宋_GB2312" w:eastAsia="仿宋_GB2312" w:cs="仿宋_GB2312"/>
          <w:b w:val="0"/>
          <w:bCs w:val="0"/>
          <w:color w:val="auto"/>
          <w:sz w:val="32"/>
          <w:szCs w:val="32"/>
          <w:lang w:val="en-US" w:eastAsia="zh-CN"/>
        </w:rPr>
        <w:t>商品房销售现场应当公示以下内容：</w:t>
      </w:r>
      <w:r>
        <w:rPr>
          <w:rFonts w:hint="eastAsia" w:ascii="仿宋_GB2312" w:hAnsi="仿宋_GB2312" w:eastAsia="仿宋_GB2312" w:cs="仿宋_GB2312"/>
          <w:b w:val="0"/>
          <w:bCs w:val="0"/>
          <w:color w:val="auto"/>
          <w:kern w:val="0"/>
          <w:sz w:val="32"/>
          <w:szCs w:val="32"/>
          <w:lang w:val="en-US" w:eastAsia="zh-CN"/>
        </w:rPr>
        <w:t>企业信息、项目信息、销售人员信息、信用信息、明码标价监制信息、房屋销售信息、预售方案、物业服务信息、装修信息、预售款专用账户信息、商业贷款和公积金贷款信息、项目停车位（库）信息（包括人防车位信息）。公示内容发生变化的，应立即更新。</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olor w:val="auto"/>
          <w:sz w:val="32"/>
          <w:szCs w:val="32"/>
          <w:lang w:eastAsia="zh-CN"/>
        </w:rPr>
      </w:pPr>
      <w:r>
        <w:rPr>
          <w:rFonts w:hint="eastAsia" w:ascii="黑体" w:hAnsi="黑体" w:eastAsia="黑体" w:cs="黑体"/>
          <w:b w:val="0"/>
          <w:bCs w:val="0"/>
          <w:color w:val="auto"/>
          <w:sz w:val="32"/>
          <w:szCs w:val="32"/>
          <w:lang w:val="en-US" w:eastAsia="zh-CN"/>
        </w:rPr>
        <w:t>第十条（不利因素公示)</w:t>
      </w:r>
      <w:r>
        <w:rPr>
          <w:rFonts w:hint="eastAsia" w:ascii="仿宋_GB2312" w:hAnsi="黑体" w:eastAsia="仿宋_GB2312" w:cs="黑体"/>
          <w:color w:val="auto"/>
          <w:sz w:val="32"/>
          <w:szCs w:val="32"/>
          <w:lang w:eastAsia="zh-CN"/>
        </w:rPr>
        <w:t>项目内外和户型设计</w:t>
      </w:r>
      <w:r>
        <w:rPr>
          <w:rFonts w:hint="eastAsia" w:ascii="仿宋_GB2312" w:hAnsi="黑体" w:eastAsia="仿宋_GB2312" w:cs="黑体"/>
          <w:color w:val="auto"/>
          <w:sz w:val="32"/>
          <w:szCs w:val="32"/>
        </w:rPr>
        <w:t>可能对合同订立以及</w:t>
      </w:r>
      <w:r>
        <w:rPr>
          <w:rFonts w:hint="eastAsia" w:ascii="仿宋_GB2312" w:hAnsi="黑体" w:eastAsia="仿宋_GB2312" w:cs="黑体"/>
          <w:color w:val="auto"/>
          <w:sz w:val="32"/>
          <w:szCs w:val="32"/>
          <w:lang w:eastAsia="zh-CN"/>
        </w:rPr>
        <w:t>商品房</w:t>
      </w:r>
      <w:r>
        <w:rPr>
          <w:rFonts w:hint="eastAsia" w:ascii="仿宋_GB2312" w:hAnsi="黑体" w:eastAsia="仿宋_GB2312" w:cs="黑体"/>
          <w:color w:val="auto"/>
          <w:sz w:val="32"/>
          <w:szCs w:val="32"/>
        </w:rPr>
        <w:t>价格有重大影响的</w:t>
      </w:r>
      <w:r>
        <w:rPr>
          <w:rFonts w:hint="eastAsia" w:ascii="仿宋_GB2312" w:hAnsi="黑体" w:eastAsia="仿宋_GB2312" w:cs="黑体"/>
          <w:color w:val="auto"/>
          <w:sz w:val="32"/>
          <w:szCs w:val="32"/>
          <w:lang w:eastAsia="zh-CN"/>
        </w:rPr>
        <w:t>不利因素必须公示</w:t>
      </w:r>
      <w:r>
        <w:rPr>
          <w:rFonts w:hint="eastAsia" w:ascii="仿宋_GB2312" w:hAnsi="黑体" w:eastAsia="仿宋_GB2312" w:cs="黑体"/>
          <w:color w:val="auto"/>
          <w:sz w:val="32"/>
          <w:szCs w:val="32"/>
        </w:rPr>
        <w:t>，尤其是</w:t>
      </w:r>
      <w:r>
        <w:rPr>
          <w:rStyle w:val="10"/>
          <w:rFonts w:hint="eastAsia" w:ascii="仿宋_GB2312" w:hAnsi="仿宋" w:eastAsia="仿宋_GB2312"/>
          <w:color w:val="auto"/>
          <w:sz w:val="32"/>
          <w:szCs w:val="32"/>
        </w:rPr>
        <w:t>噪音、烟尘、污染、辐射、</w:t>
      </w:r>
      <w:r>
        <w:rPr>
          <w:rFonts w:ascii="仿宋_GB2312" w:hAnsi="仿宋" w:eastAsia="仿宋_GB2312"/>
          <w:color w:val="auto"/>
          <w:sz w:val="32"/>
          <w:szCs w:val="32"/>
        </w:rPr>
        <w:t>隐私、通风、采光、装修等</w:t>
      </w:r>
      <w:r>
        <w:rPr>
          <w:rFonts w:hint="eastAsia" w:ascii="仿宋_GB2312" w:hAnsi="仿宋" w:eastAsia="仿宋_GB2312"/>
          <w:color w:val="auto"/>
          <w:sz w:val="32"/>
          <w:szCs w:val="32"/>
        </w:rPr>
        <w:t>不利因素。不利因素公示应</w:t>
      </w:r>
      <w:r>
        <w:rPr>
          <w:rFonts w:hint="eastAsia" w:ascii="仿宋_GB2312" w:hAnsi="仿宋" w:eastAsia="仿宋_GB2312"/>
          <w:color w:val="auto"/>
          <w:sz w:val="32"/>
          <w:szCs w:val="32"/>
          <w:lang w:eastAsia="zh-CN"/>
        </w:rPr>
        <w:t>及时、</w:t>
      </w:r>
      <w:r>
        <w:rPr>
          <w:rFonts w:hint="eastAsia" w:ascii="仿宋_GB2312" w:hAnsi="仿宋" w:eastAsia="仿宋_GB2312"/>
          <w:color w:val="auto"/>
          <w:sz w:val="32"/>
          <w:szCs w:val="32"/>
        </w:rPr>
        <w:t>准确、全面。</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项目</w:t>
      </w:r>
      <w:r>
        <w:rPr>
          <w:rFonts w:hint="eastAsia" w:ascii="仿宋_GB2312" w:hAnsi="仿宋_GB2312" w:eastAsia="仿宋_GB2312" w:cs="仿宋_GB2312"/>
          <w:color w:val="auto"/>
          <w:kern w:val="0"/>
          <w:sz w:val="32"/>
          <w:szCs w:val="32"/>
          <w:lang w:val="en-US" w:eastAsia="zh-CN"/>
        </w:rPr>
        <w:t>外不利因素。主要指项目建筑红线外已知对本项目整体或部分楼幢可能产生影响的不利因素，包括公共厕所、垃圾站、变压器、变电站、通讯基站、道路、桥梁、高架桥、隧道、火车站、汽车站、公交站、油气库站、农贸市场、危险品仓库及其他污染、辐射、噪音源或危险场所等。</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项目内不利因素。主要指项目建筑红线内已知对本项目整体或部分楼幢可能产生影响的不利因素，包括公共厕所、化粪池、垃圾站、变压器、换热站、配电室、通讯基站、商业用房、物业用房、车库出入口、消防控制室、地下室通气口、采光井、健身场所及其他污染、辐射、噪音源等。</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户型设计不利因素。主要指根据当前经规划部门审核的平面图和户型规划设计图纸，对部分户型在视线、采光、空气质量、装修使用等方面已知可能产生影响的不利因素，包括外立面造型、外连廊、管道层、烟道、天然气管道等及户内的梁、柱位置、尺寸等。</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黑体" w:hAnsi="黑体" w:eastAsia="黑体" w:cs="黑体"/>
          <w:color w:val="auto"/>
          <w:kern w:val="2"/>
          <w:sz w:val="32"/>
          <w:szCs w:val="32"/>
          <w:lang w:val="en-US" w:eastAsia="zh-CN"/>
        </w:rPr>
        <w:t xml:space="preserve">第十一条 （预售款专用账户信息公示） </w:t>
      </w:r>
      <w:r>
        <w:rPr>
          <w:rFonts w:hint="eastAsia" w:ascii="仿宋_GB2312" w:hAnsi="仿宋_GB2312" w:eastAsia="仿宋_GB2312" w:cs="仿宋_GB2312"/>
          <w:color w:val="auto"/>
          <w:kern w:val="0"/>
          <w:sz w:val="32"/>
          <w:szCs w:val="32"/>
          <w:lang w:val="en-US" w:eastAsia="zh-CN"/>
        </w:rPr>
        <w:t>商品房预售项目应在项目销售现场和购房缴款处明显位置公示项目的商品房预售款专用账户信息，包括与预售证一一对应的商品房预售款专用账户信息、商品房预售款三方监管协议、对购房者的温馨提示等材料。</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2"/>
          <w:sz w:val="32"/>
          <w:szCs w:val="32"/>
          <w:lang w:val="en-US" w:eastAsia="zh-CN"/>
        </w:rPr>
        <w:t xml:space="preserve">第十二条（贷款信息公示） </w:t>
      </w:r>
      <w:r>
        <w:rPr>
          <w:rFonts w:hint="eastAsia" w:ascii="仿宋_GB2312" w:hAnsi="仿宋_GB2312" w:eastAsia="仿宋_GB2312" w:cs="仿宋_GB2312"/>
          <w:b w:val="0"/>
          <w:bCs w:val="0"/>
          <w:color w:val="auto"/>
          <w:kern w:val="0"/>
          <w:sz w:val="32"/>
          <w:szCs w:val="32"/>
          <w:lang w:val="en-US" w:eastAsia="zh-CN"/>
        </w:rPr>
        <w:t>商品房销售项目应公示我市住房信贷政策和不拒绝购房者选择公积金贷款和不附加公积金贷款条件的承诺。提供住房公积金贷款及商业贷款的便民服务信息，包括银行名称、咨询电话、住房公积金及商业贷款流程和贷款注意事项等公示信息。</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FF0000"/>
          <w:sz w:val="32"/>
          <w:szCs w:val="32"/>
        </w:rPr>
      </w:pPr>
      <w:r>
        <w:rPr>
          <w:rFonts w:hint="eastAsia" w:ascii="黑体" w:hAnsi="黑体" w:eastAsia="黑体" w:cs="黑体"/>
          <w:b w:val="0"/>
          <w:bCs w:val="0"/>
          <w:color w:val="auto"/>
          <w:kern w:val="0"/>
          <w:sz w:val="32"/>
          <w:szCs w:val="32"/>
          <w:lang w:val="en-US" w:eastAsia="zh-CN"/>
        </w:rPr>
        <w:t>第十三条（项目配建信息公示）</w:t>
      </w:r>
      <w:r>
        <w:rPr>
          <w:rStyle w:val="10"/>
          <w:rFonts w:hint="eastAsia" w:ascii="仿宋_GB2312" w:hAnsi="仿宋_GB2312" w:eastAsia="仿宋_GB2312" w:cs="仿宋_GB2312"/>
          <w:b w:val="0"/>
          <w:bCs w:val="0"/>
          <w:color w:val="auto"/>
          <w:sz w:val="32"/>
          <w:szCs w:val="32"/>
          <w:lang w:val="en-US" w:eastAsia="zh-CN"/>
        </w:rPr>
        <w:t xml:space="preserve"> </w:t>
      </w:r>
      <w:r>
        <w:rPr>
          <w:rStyle w:val="10"/>
          <w:rFonts w:hint="eastAsia" w:ascii="仿宋_GB2312" w:hAnsi="仿宋_GB2312" w:eastAsia="仿宋_GB2312" w:cs="仿宋_GB2312"/>
          <w:b w:val="0"/>
          <w:bCs w:val="0"/>
          <w:color w:val="auto"/>
          <w:sz w:val="32"/>
          <w:szCs w:val="32"/>
        </w:rPr>
        <w:t>项目</w:t>
      </w:r>
      <w:r>
        <w:rPr>
          <w:rStyle w:val="10"/>
          <w:rFonts w:hint="eastAsia" w:ascii="仿宋_GB2312" w:hAnsi="仿宋_GB2312" w:eastAsia="仿宋_GB2312" w:cs="仿宋_GB2312"/>
          <w:b w:val="0"/>
          <w:bCs w:val="0"/>
          <w:color w:val="auto"/>
          <w:sz w:val="32"/>
          <w:szCs w:val="32"/>
          <w:lang w:val="en-US" w:eastAsia="zh-CN"/>
        </w:rPr>
        <w:t>存在</w:t>
      </w:r>
      <w:r>
        <w:rPr>
          <w:rStyle w:val="10"/>
          <w:rFonts w:hint="eastAsia" w:ascii="仿宋_GB2312" w:hAnsi="仿宋_GB2312" w:eastAsia="仿宋_GB2312" w:cs="仿宋_GB2312"/>
          <w:b w:val="0"/>
          <w:bCs w:val="0"/>
          <w:color w:val="auto"/>
          <w:sz w:val="32"/>
          <w:szCs w:val="32"/>
        </w:rPr>
        <w:t>配建</w:t>
      </w:r>
      <w:r>
        <w:rPr>
          <w:rStyle w:val="10"/>
          <w:rFonts w:hint="eastAsia" w:ascii="仿宋_GB2312" w:hAnsi="仿宋_GB2312" w:eastAsia="仿宋_GB2312" w:cs="仿宋_GB2312"/>
          <w:b w:val="0"/>
          <w:bCs w:val="0"/>
          <w:color w:val="auto"/>
          <w:sz w:val="32"/>
          <w:szCs w:val="32"/>
          <w:lang w:eastAsia="zh-CN"/>
        </w:rPr>
        <w:t>保障性安居工程住房、人才房等房源</w:t>
      </w:r>
      <w:r>
        <w:rPr>
          <w:rStyle w:val="10"/>
          <w:rFonts w:hint="eastAsia" w:ascii="仿宋_GB2312" w:hAnsi="仿宋_GB2312" w:eastAsia="仿宋_GB2312" w:cs="仿宋_GB2312"/>
          <w:b w:val="0"/>
          <w:bCs w:val="0"/>
          <w:color w:val="auto"/>
          <w:sz w:val="32"/>
          <w:szCs w:val="32"/>
        </w:rPr>
        <w:t>的</w:t>
      </w:r>
      <w:r>
        <w:rPr>
          <w:rStyle w:val="10"/>
          <w:rFonts w:hint="eastAsia" w:ascii="仿宋_GB2312" w:hAnsi="仿宋_GB2312" w:eastAsia="仿宋_GB2312" w:cs="仿宋_GB2312"/>
          <w:b w:val="0"/>
          <w:bCs w:val="0"/>
          <w:color w:val="auto"/>
          <w:sz w:val="32"/>
          <w:szCs w:val="32"/>
          <w:lang w:eastAsia="zh-CN"/>
        </w:rPr>
        <w:t>，应公示数量、类型、位置</w:t>
      </w:r>
      <w:r>
        <w:rPr>
          <w:rStyle w:val="10"/>
          <w:rFonts w:hint="eastAsia" w:ascii="仿宋_GB2312" w:hAnsi="仿宋_GB2312" w:eastAsia="仿宋_GB2312" w:cs="仿宋_GB2312"/>
          <w:b w:val="0"/>
          <w:bCs w:val="0"/>
          <w:color w:val="auto"/>
          <w:sz w:val="32"/>
          <w:szCs w:val="32"/>
        </w:rPr>
        <w:t>分布、</w:t>
      </w:r>
      <w:r>
        <w:rPr>
          <w:rStyle w:val="10"/>
          <w:rFonts w:hint="eastAsia" w:ascii="仿宋_GB2312" w:hAnsi="仿宋_GB2312" w:eastAsia="仿宋_GB2312" w:cs="仿宋_GB2312"/>
          <w:b w:val="0"/>
          <w:bCs w:val="0"/>
          <w:color w:val="auto"/>
          <w:sz w:val="32"/>
          <w:szCs w:val="32"/>
          <w:lang w:eastAsia="zh-CN"/>
        </w:rPr>
        <w:t>产权状况及</w:t>
      </w:r>
      <w:r>
        <w:rPr>
          <w:rStyle w:val="10"/>
          <w:rFonts w:hint="eastAsia" w:ascii="仿宋_GB2312" w:hAnsi="仿宋_GB2312" w:eastAsia="仿宋_GB2312" w:cs="仿宋_GB2312"/>
          <w:b w:val="0"/>
          <w:bCs w:val="0"/>
          <w:color w:val="auto"/>
          <w:sz w:val="32"/>
          <w:szCs w:val="32"/>
        </w:rPr>
        <w:t>物业管理</w:t>
      </w:r>
      <w:r>
        <w:rPr>
          <w:rStyle w:val="10"/>
          <w:rFonts w:hint="eastAsia" w:ascii="仿宋_GB2312" w:hAnsi="仿宋_GB2312" w:eastAsia="仿宋_GB2312" w:cs="仿宋_GB2312"/>
          <w:b w:val="0"/>
          <w:bCs w:val="0"/>
          <w:color w:val="auto"/>
          <w:sz w:val="32"/>
          <w:szCs w:val="32"/>
          <w:lang w:eastAsia="zh-CN"/>
        </w:rPr>
        <w:t>模式</w:t>
      </w:r>
      <w:r>
        <w:rPr>
          <w:rStyle w:val="10"/>
          <w:rFonts w:hint="eastAsia" w:ascii="仿宋_GB2312" w:hAnsi="仿宋_GB2312" w:eastAsia="仿宋_GB2312" w:cs="仿宋_GB2312"/>
          <w:b w:val="0"/>
          <w:bCs w:val="0"/>
          <w:color w:val="auto"/>
          <w:sz w:val="32"/>
          <w:szCs w:val="32"/>
        </w:rPr>
        <w:t>、</w:t>
      </w:r>
      <w:r>
        <w:rPr>
          <w:rStyle w:val="10"/>
          <w:rFonts w:hint="eastAsia" w:ascii="仿宋_GB2312" w:hAnsi="仿宋_GB2312" w:eastAsia="仿宋_GB2312" w:cs="仿宋_GB2312"/>
          <w:b w:val="0"/>
          <w:bCs w:val="0"/>
          <w:color w:val="auto"/>
          <w:sz w:val="32"/>
          <w:szCs w:val="32"/>
          <w:lang w:val="en-US" w:eastAsia="zh-CN"/>
        </w:rPr>
        <w:t>共用</w:t>
      </w:r>
      <w:r>
        <w:rPr>
          <w:rStyle w:val="10"/>
          <w:rFonts w:hint="eastAsia" w:ascii="仿宋_GB2312" w:hAnsi="仿宋_GB2312" w:eastAsia="仿宋_GB2312" w:cs="仿宋_GB2312"/>
          <w:b w:val="0"/>
          <w:bCs w:val="0"/>
          <w:color w:val="auto"/>
          <w:sz w:val="32"/>
          <w:szCs w:val="32"/>
        </w:rPr>
        <w:t>设施设备</w:t>
      </w:r>
      <w:r>
        <w:rPr>
          <w:rStyle w:val="10"/>
          <w:rFonts w:hint="eastAsia" w:ascii="仿宋_GB2312" w:hAnsi="仿宋_GB2312" w:eastAsia="仿宋_GB2312" w:cs="仿宋_GB2312"/>
          <w:b w:val="0"/>
          <w:bCs w:val="0"/>
          <w:color w:val="auto"/>
          <w:sz w:val="32"/>
          <w:szCs w:val="32"/>
          <w:lang w:eastAsia="zh-CN"/>
        </w:rPr>
        <w:t>等信息</w:t>
      </w:r>
      <w:r>
        <w:rPr>
          <w:rStyle w:val="10"/>
          <w:rFonts w:hint="eastAsia" w:ascii="仿宋_GB2312" w:hAnsi="仿宋_GB2312" w:eastAsia="仿宋_GB2312" w:cs="仿宋_GB2312"/>
          <w:b w:val="0"/>
          <w:bCs w:val="0"/>
          <w:color w:val="auto"/>
          <w:sz w:val="32"/>
          <w:szCs w:val="32"/>
        </w:rPr>
        <w:t>，并在《前期物业服务合同》和《商品房买卖合同》中予以明示。</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黑体" w:hAnsi="黑体" w:eastAsia="黑体" w:cs="黑体"/>
          <w:color w:val="auto"/>
          <w:kern w:val="2"/>
          <w:sz w:val="32"/>
          <w:szCs w:val="32"/>
          <w:lang w:val="en-US" w:eastAsia="zh-CN"/>
        </w:rPr>
        <w:t>第十四条（商品房规划功能提醒）</w:t>
      </w:r>
      <w:r>
        <w:rPr>
          <w:rFonts w:hint="eastAsia" w:ascii="仿宋" w:hAnsi="仿宋" w:eastAsia="仿宋" w:cs="仿宋"/>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非住宅用途的商品房开发项目，公示信息应与规划部门审核的规划图纸注明的规划功能保持一致。公示信息应明确告知项目商品房功能属性，并</w:t>
      </w:r>
      <w:r>
        <w:rPr>
          <w:rStyle w:val="10"/>
          <w:rFonts w:hint="eastAsia" w:ascii="仿宋_GB2312" w:hAnsi="仿宋_GB2312" w:eastAsia="仿宋_GB2312" w:cs="仿宋_GB2312"/>
          <w:b w:val="0"/>
          <w:bCs w:val="0"/>
          <w:color w:val="auto"/>
          <w:sz w:val="32"/>
          <w:szCs w:val="32"/>
        </w:rPr>
        <w:t>在</w:t>
      </w:r>
      <w:r>
        <w:rPr>
          <w:rFonts w:hint="eastAsia" w:ascii="仿宋_GB2312" w:hAnsi="仿宋_GB2312" w:eastAsia="仿宋_GB2312" w:cs="仿宋_GB2312"/>
          <w:b w:val="0"/>
          <w:bCs w:val="0"/>
          <w:color w:val="auto"/>
          <w:sz w:val="32"/>
          <w:szCs w:val="32"/>
        </w:rPr>
        <w:t>签订《商品房销售合同》时，</w:t>
      </w:r>
      <w:r>
        <w:rPr>
          <w:rFonts w:hint="eastAsia" w:ascii="仿宋_GB2312" w:hAnsi="仿宋_GB2312" w:eastAsia="仿宋_GB2312" w:cs="仿宋_GB2312"/>
          <w:color w:val="auto"/>
          <w:kern w:val="0"/>
          <w:sz w:val="32"/>
          <w:szCs w:val="32"/>
          <w:lang w:val="en-US" w:eastAsia="zh-CN"/>
        </w:rPr>
        <w:t>由购房人书面确认公示商品房功能属性的知悉情况。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2"/>
          <w:sz w:val="32"/>
          <w:szCs w:val="32"/>
          <w:lang w:val="en-US" w:eastAsia="zh-CN"/>
        </w:rPr>
        <w:t xml:space="preserve">第十五条（其他规定） </w:t>
      </w:r>
      <w:r>
        <w:rPr>
          <w:rFonts w:hint="eastAsia" w:ascii="仿宋_GB2312" w:hAnsi="仿宋_GB2312" w:eastAsia="仿宋_GB2312" w:cs="仿宋_GB2312"/>
          <w:b w:val="0"/>
          <w:bCs w:val="0"/>
          <w:color w:val="auto"/>
          <w:kern w:val="0"/>
          <w:sz w:val="32"/>
          <w:szCs w:val="32"/>
          <w:lang w:val="en-US" w:eastAsia="zh-CN"/>
        </w:rPr>
        <w:t>购买预售商品房指南、购买商品房须知、佛山限购政策、贷款便民信息可用独立告知牌的方式公示。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Style w:val="10"/>
          <w:rFonts w:hint="eastAsia" w:ascii="仿宋_GB2312" w:hAnsi="仿宋_GB2312" w:eastAsia="仿宋_GB2312" w:cs="仿宋_GB2312"/>
          <w:b w:val="0"/>
          <w:bCs w:val="0"/>
          <w:color w:val="auto"/>
          <w:sz w:val="32"/>
          <w:szCs w:val="32"/>
        </w:rPr>
      </w:pPr>
    </w:p>
    <w:p>
      <w:pPr>
        <w:keepNext w:val="0"/>
        <w:keepLines w:val="0"/>
        <w:pageBreakBefore w:val="0"/>
        <w:numPr>
          <w:ilvl w:val="0"/>
          <w:numId w:val="2"/>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销售现场经纪机构及工作人员信息公示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kern w:val="2"/>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27" w:firstLineChars="0"/>
        <w:jc w:val="both"/>
        <w:textAlignment w:val="auto"/>
        <w:rPr>
          <w:rStyle w:val="10"/>
          <w:rFonts w:ascii="仿宋_GB2312" w:hAnsi="仿宋" w:eastAsia="仿宋_GB2312"/>
          <w:color w:val="auto"/>
          <w:sz w:val="32"/>
          <w:szCs w:val="32"/>
        </w:rPr>
      </w:pPr>
      <w:r>
        <w:rPr>
          <w:rFonts w:hint="eastAsia" w:ascii="黑体" w:hAnsi="黑体" w:eastAsia="黑体" w:cs="黑体"/>
          <w:color w:val="auto"/>
          <w:kern w:val="2"/>
          <w:sz w:val="32"/>
          <w:szCs w:val="32"/>
          <w:lang w:val="en-US" w:eastAsia="zh-CN"/>
        </w:rPr>
        <w:t>第十六条（销售机构及人员管理）</w:t>
      </w:r>
      <w:r>
        <w:rPr>
          <w:rFonts w:hint="eastAsia" w:ascii="仿宋_GB2312" w:hAnsi="仿宋_GB2312" w:eastAsia="仿宋_GB2312" w:cs="仿宋_GB2312"/>
          <w:color w:val="auto"/>
          <w:kern w:val="0"/>
          <w:sz w:val="32"/>
          <w:szCs w:val="32"/>
          <w:lang w:val="en-US" w:eastAsia="zh-CN"/>
        </w:rPr>
        <w:t>项目</w:t>
      </w:r>
      <w:r>
        <w:rPr>
          <w:rStyle w:val="10"/>
          <w:rFonts w:hint="eastAsia" w:ascii="仿宋_GB2312" w:hAnsi="仿宋" w:eastAsia="仿宋_GB2312"/>
          <w:color w:val="auto"/>
          <w:sz w:val="32"/>
          <w:szCs w:val="32"/>
          <w:lang w:eastAsia="zh-CN"/>
        </w:rPr>
        <w:t>委托代理</w:t>
      </w:r>
      <w:r>
        <w:rPr>
          <w:rStyle w:val="10"/>
          <w:rFonts w:hint="eastAsia" w:ascii="仿宋_GB2312" w:hAnsi="仿宋" w:eastAsia="仿宋_GB2312" w:cs="Times New Roman"/>
          <w:color w:val="auto"/>
          <w:sz w:val="32"/>
          <w:szCs w:val="32"/>
        </w:rPr>
        <w:t>销售</w:t>
      </w:r>
      <w:r>
        <w:rPr>
          <w:rStyle w:val="10"/>
          <w:rFonts w:hint="eastAsia" w:ascii="仿宋_GB2312" w:hAnsi="仿宋" w:eastAsia="仿宋_GB2312"/>
          <w:color w:val="auto"/>
          <w:sz w:val="32"/>
          <w:szCs w:val="32"/>
          <w:lang w:eastAsia="zh-CN"/>
        </w:rPr>
        <w:t>的</w:t>
      </w:r>
      <w:r>
        <w:rPr>
          <w:rStyle w:val="10"/>
          <w:rFonts w:hint="eastAsia" w:ascii="仿宋_GB2312" w:hAnsi="仿宋" w:eastAsia="仿宋_GB2312" w:cs="Times New Roman"/>
          <w:color w:val="auto"/>
          <w:sz w:val="32"/>
          <w:szCs w:val="32"/>
        </w:rPr>
        <w:t>机构</w:t>
      </w:r>
      <w:r>
        <w:rPr>
          <w:rStyle w:val="10"/>
          <w:rFonts w:hint="eastAsia" w:ascii="仿宋_GB2312" w:hAnsi="仿宋" w:eastAsia="仿宋_GB2312"/>
          <w:color w:val="auto"/>
          <w:sz w:val="32"/>
          <w:szCs w:val="32"/>
          <w:lang w:eastAsia="zh-CN"/>
        </w:rPr>
        <w:t>及</w:t>
      </w:r>
      <w:r>
        <w:rPr>
          <w:rStyle w:val="10"/>
          <w:rFonts w:hint="eastAsia" w:ascii="仿宋_GB2312" w:hAnsi="仿宋" w:eastAsia="仿宋_GB2312" w:cs="Times New Roman"/>
          <w:color w:val="auto"/>
          <w:sz w:val="32"/>
          <w:szCs w:val="32"/>
        </w:rPr>
        <w:t>销售人员</w:t>
      </w:r>
      <w:r>
        <w:rPr>
          <w:rStyle w:val="10"/>
          <w:rFonts w:hint="eastAsia" w:ascii="仿宋_GB2312" w:hAnsi="仿宋" w:eastAsia="仿宋_GB2312" w:cs="Times New Roman"/>
          <w:color w:val="auto"/>
          <w:sz w:val="32"/>
          <w:szCs w:val="32"/>
          <w:lang w:eastAsia="zh-CN"/>
        </w:rPr>
        <w:t>、委托代理</w:t>
      </w:r>
      <w:r>
        <w:rPr>
          <w:rStyle w:val="10"/>
          <w:rFonts w:hint="eastAsia" w:ascii="仿宋_GB2312" w:hAnsi="仿宋" w:eastAsia="仿宋_GB2312"/>
          <w:color w:val="auto"/>
          <w:sz w:val="32"/>
          <w:szCs w:val="32"/>
          <w:lang w:eastAsia="zh-CN"/>
        </w:rPr>
        <w:t>网络销售机构及其人员信息均须在现场公示栏进行公示。</w:t>
      </w:r>
      <w:r>
        <w:rPr>
          <w:rStyle w:val="10"/>
          <w:rFonts w:hint="eastAsia" w:ascii="仿宋_GB2312" w:hAnsi="仿宋" w:eastAsia="仿宋_GB2312"/>
          <w:color w:val="auto"/>
          <w:sz w:val="32"/>
          <w:szCs w:val="32"/>
          <w:lang w:val="en-US" w:eastAsia="zh-CN"/>
        </w:rPr>
        <w:t>未经房地产开发企业委托或未在销售现场公示的房地产经纪机构及从业人员，严禁在销售现场从事经纪服务。</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560" w:firstLineChars="175"/>
        <w:jc w:val="both"/>
        <w:textAlignment w:val="auto"/>
        <w:rPr>
          <w:rFonts w:hint="eastAsia" w:ascii="仿宋_GB2312" w:hAnsi="仿宋_GB2312" w:eastAsia="仿宋_GB2312" w:cs="仿宋_GB2312"/>
          <w:b w:val="0"/>
          <w:bCs w:val="0"/>
          <w:color w:val="auto"/>
          <w:kern w:val="0"/>
          <w:sz w:val="32"/>
          <w:szCs w:val="32"/>
          <w:lang w:val="en-US" w:eastAsia="zh-CN"/>
        </w:rPr>
      </w:pPr>
      <w:r>
        <w:rPr>
          <w:rStyle w:val="10"/>
          <w:rFonts w:hint="eastAsia" w:ascii="仿宋_GB2312" w:hAnsi="仿宋" w:eastAsia="仿宋_GB2312"/>
          <w:color w:val="auto"/>
          <w:sz w:val="32"/>
          <w:szCs w:val="32"/>
          <w:lang w:val="en-US" w:eastAsia="zh-CN"/>
        </w:rPr>
        <w:t>对于房地产销售项目公示</w:t>
      </w:r>
      <w:r>
        <w:rPr>
          <w:rStyle w:val="10"/>
          <w:rFonts w:hint="eastAsia" w:ascii="仿宋_GB2312" w:hAnsi="仿宋" w:eastAsia="仿宋_GB2312"/>
          <w:color w:val="auto"/>
          <w:sz w:val="32"/>
          <w:szCs w:val="32"/>
        </w:rPr>
        <w:t>，</w:t>
      </w:r>
      <w:r>
        <w:rPr>
          <w:rFonts w:hint="eastAsia" w:ascii="仿宋_GB2312" w:hAnsi="仿宋_GB2312" w:eastAsia="仿宋_GB2312" w:cs="仿宋_GB2312"/>
          <w:b w:val="0"/>
          <w:bCs w:val="0"/>
          <w:color w:val="auto"/>
          <w:kern w:val="0"/>
          <w:sz w:val="32"/>
          <w:szCs w:val="32"/>
          <w:lang w:val="en-US" w:eastAsia="zh-CN"/>
        </w:rPr>
        <w:t>销售人员应熟知项目规划设计、工程建设进度及房屋销售、金融信贷、税费缴纳、不动产登记等政策与流程及</w:t>
      </w:r>
      <w:r>
        <w:rPr>
          <w:rStyle w:val="10"/>
          <w:rFonts w:hint="eastAsia" w:ascii="仿宋_GB2312" w:hAnsi="仿宋" w:eastAsia="仿宋_GB2312"/>
          <w:color w:val="auto"/>
          <w:sz w:val="32"/>
          <w:szCs w:val="32"/>
        </w:rPr>
        <w:t>不利因素、销售政策法规、规范推广用语等</w:t>
      </w:r>
      <w:r>
        <w:rPr>
          <w:rStyle w:val="10"/>
          <w:rFonts w:hint="eastAsia" w:ascii="仿宋_GB2312" w:hAnsi="仿宋" w:eastAsia="仿宋_GB2312"/>
          <w:color w:val="auto"/>
          <w:sz w:val="32"/>
          <w:szCs w:val="32"/>
          <w:lang w:eastAsia="zh-CN"/>
        </w:rPr>
        <w:t>房地产销售项目公示</w:t>
      </w:r>
      <w:r>
        <w:rPr>
          <w:rStyle w:val="10"/>
          <w:rFonts w:hint="eastAsia" w:ascii="仿宋_GB2312" w:hAnsi="仿宋" w:eastAsia="仿宋_GB2312"/>
          <w:color w:val="auto"/>
          <w:sz w:val="32"/>
          <w:szCs w:val="32"/>
        </w:rPr>
        <w:t>方面</w:t>
      </w:r>
      <w:r>
        <w:rPr>
          <w:rStyle w:val="10"/>
          <w:rFonts w:hint="eastAsia" w:ascii="仿宋_GB2312" w:hAnsi="仿宋" w:eastAsia="仿宋_GB2312"/>
          <w:color w:val="auto"/>
          <w:sz w:val="32"/>
          <w:szCs w:val="32"/>
          <w:lang w:eastAsia="zh-CN"/>
        </w:rPr>
        <w:t>内容</w:t>
      </w:r>
      <w:r>
        <w:rPr>
          <w:rStyle w:val="10"/>
          <w:rFonts w:hint="eastAsia" w:ascii="仿宋_GB2312" w:hAnsi="仿宋" w:eastAsia="仿宋_GB2312"/>
          <w:color w:val="auto"/>
          <w:sz w:val="32"/>
          <w:szCs w:val="32"/>
        </w:rPr>
        <w:t>。</w:t>
      </w:r>
      <w:r>
        <w:rPr>
          <w:rFonts w:hint="eastAsia" w:ascii="仿宋_GB2312" w:hAnsi="仿宋_GB2312" w:eastAsia="仿宋_GB2312" w:cs="仿宋_GB2312"/>
          <w:b w:val="0"/>
          <w:bCs w:val="0"/>
          <w:color w:val="auto"/>
          <w:kern w:val="0"/>
          <w:sz w:val="32"/>
          <w:szCs w:val="32"/>
          <w:lang w:val="en-US" w:eastAsia="zh-CN"/>
        </w:rPr>
        <w:t>开发企业、经纪机构应规范销售人员对商品房销售公示内容的介绍行为、用语和流程，要求销售人员向购房人详细介绍项目公示信息。</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27" w:firstLineChars="0"/>
        <w:jc w:val="both"/>
        <w:textAlignment w:val="auto"/>
        <w:rPr>
          <w:rStyle w:val="10"/>
          <w:rFonts w:hint="eastAsia" w:ascii="仿宋_GB2312" w:hAnsi="仿宋" w:eastAsia="仿宋_GB2312"/>
          <w:color w:val="auto"/>
          <w:sz w:val="32"/>
          <w:szCs w:val="32"/>
          <w:lang w:val="en-US" w:eastAsia="zh-CN"/>
        </w:rPr>
      </w:pPr>
      <w:r>
        <w:rPr>
          <w:rFonts w:hint="eastAsia" w:ascii="黑体" w:hAnsi="黑体" w:eastAsia="黑体" w:cs="黑体"/>
          <w:color w:val="auto"/>
          <w:kern w:val="2"/>
          <w:sz w:val="32"/>
          <w:szCs w:val="32"/>
          <w:lang w:val="en-US" w:eastAsia="zh-CN"/>
        </w:rPr>
        <w:t xml:space="preserve">第十七条（经纪人员实名服务） </w:t>
      </w:r>
      <w:r>
        <w:rPr>
          <w:rStyle w:val="10"/>
          <w:rFonts w:hint="eastAsia" w:ascii="仿宋_GB2312" w:hAnsi="仿宋" w:eastAsia="仿宋_GB2312"/>
          <w:color w:val="auto"/>
          <w:sz w:val="32"/>
          <w:szCs w:val="32"/>
          <w:lang w:val="en-US" w:eastAsia="zh-CN"/>
        </w:rPr>
        <w:t>项目销售现场经纪工作人员应实名登记，服务时应当佩戴载明真实姓名、照片、机构名称、职务职称、监督投诉电话、证件有效期等信息的工作牌。持有佛山市房地产中介从业人员执业工作牌的，应佩戴上岗并在服务时主动出示。</w:t>
      </w:r>
    </w:p>
    <w:p>
      <w:pPr>
        <w:keepNext w:val="0"/>
        <w:keepLines w:val="0"/>
        <w:pageBreakBefore w:val="0"/>
        <w:widowControl/>
        <w:numPr>
          <w:ilvl w:val="-1"/>
          <w:numId w:val="0"/>
        </w:numPr>
        <w:kinsoku/>
        <w:wordWrap/>
        <w:overflowPunct/>
        <w:topLinePunct w:val="0"/>
        <w:autoSpaceDE/>
        <w:autoSpaceDN/>
        <w:bidi w:val="0"/>
        <w:adjustRightInd/>
        <w:snapToGrid w:val="0"/>
        <w:spacing w:line="560" w:lineRule="exact"/>
        <w:ind w:left="0" w:leftChars="0" w:firstLine="560" w:firstLineChars="175"/>
        <w:jc w:val="both"/>
        <w:textAlignment w:val="auto"/>
        <w:rPr>
          <w:rStyle w:val="7"/>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kern w:val="2"/>
          <w:sz w:val="32"/>
          <w:szCs w:val="32"/>
          <w:lang w:val="en-US" w:eastAsia="zh-CN"/>
        </w:rPr>
        <w:t xml:space="preserve">第十八条（服务内容公示）  </w:t>
      </w:r>
      <w:r>
        <w:rPr>
          <w:rStyle w:val="7"/>
          <w:rFonts w:hint="eastAsia" w:ascii="仿宋_GB2312" w:hAnsi="仿宋_GB2312" w:eastAsia="仿宋_GB2312" w:cs="仿宋_GB2312"/>
          <w:color w:val="auto"/>
          <w:kern w:val="0"/>
          <w:sz w:val="32"/>
          <w:szCs w:val="32"/>
          <w:lang w:val="en-US" w:eastAsia="zh-CN"/>
        </w:rPr>
        <w:t>房地产项目委托经纪机构代理销售商品房项目的，应当公示备案文件、委托合同文件及经纪人员名单，并公示不向购房人收取商品房销售代理费用等内容。</w:t>
      </w:r>
    </w:p>
    <w:p>
      <w:pPr>
        <w:keepNext w:val="0"/>
        <w:keepLines w:val="0"/>
        <w:pageBreakBefore w:val="0"/>
        <w:widowControl/>
        <w:numPr>
          <w:ilvl w:val="-1"/>
          <w:numId w:val="0"/>
        </w:numPr>
        <w:kinsoku/>
        <w:wordWrap/>
        <w:overflowPunct/>
        <w:topLinePunct w:val="0"/>
        <w:autoSpaceDE/>
        <w:autoSpaceDN/>
        <w:bidi w:val="0"/>
        <w:adjustRightInd/>
        <w:snapToGrid w:val="0"/>
        <w:spacing w:line="560" w:lineRule="exact"/>
        <w:ind w:left="0" w:leftChars="0" w:firstLine="560" w:firstLineChars="175"/>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开发企业自行委托的经纪、法律等服务，应向购房人公示相</w:t>
      </w:r>
      <w:bookmarkStart w:id="0" w:name="_GoBack"/>
      <w:r>
        <w:rPr>
          <w:rFonts w:hint="eastAsia" w:ascii="仿宋_GB2312" w:hAnsi="仿宋_GB2312" w:eastAsia="仿宋_GB2312" w:cs="仿宋_GB2312"/>
          <w:color w:val="auto"/>
          <w:kern w:val="0"/>
          <w:sz w:val="32"/>
          <w:szCs w:val="32"/>
          <w:lang w:val="en-US" w:eastAsia="zh-CN"/>
        </w:rPr>
        <w:t>关费用由开发企业负担的公示信息。销售现场提供的由购房人自行选择委托代办的相关服务，应明码标价并明确公示由购房者自愿选择的有关信息。</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27" w:firstLineChars="0"/>
        <w:jc w:val="both"/>
        <w:textAlignment w:val="auto"/>
        <w:rPr>
          <w:rStyle w:val="10"/>
          <w:rFonts w:hint="eastAsia" w:ascii="仿宋_GB2312" w:hAnsi="仿宋" w:eastAsia="仿宋_GB2312"/>
          <w:color w:val="auto"/>
          <w:sz w:val="32"/>
          <w:szCs w:val="32"/>
          <w:lang w:val="en-US" w:eastAsia="zh-CN"/>
        </w:rPr>
      </w:pPr>
      <w:r>
        <w:rPr>
          <w:rFonts w:hint="eastAsia" w:ascii="黑体" w:hAnsi="黑体" w:eastAsia="黑体" w:cs="黑体"/>
          <w:color w:val="auto"/>
          <w:kern w:val="2"/>
          <w:sz w:val="32"/>
          <w:szCs w:val="32"/>
          <w:lang w:val="en-US" w:eastAsia="zh-CN"/>
        </w:rPr>
        <w:t xml:space="preserve">第十九条（宣传信息一致性要求）  </w:t>
      </w:r>
      <w:r>
        <w:rPr>
          <w:rStyle w:val="10"/>
          <w:rFonts w:hint="eastAsia" w:ascii="仿宋_GB2312" w:hAnsi="仿宋" w:eastAsia="仿宋_GB2312"/>
          <w:color w:val="auto"/>
          <w:sz w:val="32"/>
          <w:szCs w:val="32"/>
          <w:lang w:val="en-US" w:eastAsia="zh-CN"/>
        </w:rPr>
        <w:t>房地产经纪机构及工作人员向购房者介绍的信息应客观、全面、准确，与公示信息一致。门店、网站、微信等不同渠道发布的同一项目及房源信息应真实客观，广告信息应如实宣传，不得误导购房人。</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700" w:firstLineChars="219"/>
        <w:jc w:val="both"/>
        <w:textAlignment w:val="auto"/>
        <w:rPr>
          <w:rStyle w:val="10"/>
          <w:rFonts w:hint="eastAsia" w:ascii="仿宋_GB2312" w:hAnsi="仿宋" w:eastAsia="仿宋_GB2312"/>
          <w:color w:val="auto"/>
          <w:sz w:val="32"/>
          <w:szCs w:val="32"/>
          <w:lang w:eastAsia="zh-CN"/>
        </w:rPr>
      </w:pP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商品房销售现场宣传信息</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Style w:val="10"/>
          <w:rFonts w:ascii="仿宋_GB2312" w:hAnsi="仿宋" w:eastAsia="仿宋_GB2312"/>
          <w:color w:val="auto"/>
          <w:sz w:val="32"/>
          <w:szCs w:val="32"/>
        </w:rPr>
      </w:pPr>
      <w:r>
        <w:rPr>
          <w:rFonts w:hint="eastAsia" w:ascii="黑体" w:hAnsi="黑体" w:eastAsia="黑体" w:cs="黑体"/>
          <w:b w:val="0"/>
          <w:bCs w:val="0"/>
          <w:color w:val="auto"/>
          <w:sz w:val="32"/>
          <w:szCs w:val="32"/>
          <w:lang w:val="en-US" w:eastAsia="zh-CN"/>
        </w:rPr>
        <w:t xml:space="preserve">第二十条（真实性要求）  </w:t>
      </w:r>
      <w:r>
        <w:rPr>
          <w:rFonts w:hint="eastAsia" w:ascii="仿宋" w:hAnsi="仿宋" w:eastAsia="仿宋" w:cs="仿宋"/>
          <w:color w:val="auto"/>
          <w:kern w:val="2"/>
          <w:sz w:val="32"/>
          <w:szCs w:val="32"/>
          <w:lang w:val="en-US" w:eastAsia="zh-CN"/>
        </w:rPr>
        <w:t>商品房销售现场的宣传行为及对外公示的宣传资料应符合《广告法》《房地产广告发布规定》等有关法律、法规规定，宣传资料真实、准确、客观，不得欺骗或误导</w:t>
      </w:r>
      <w:bookmarkEnd w:id="0"/>
      <w:r>
        <w:rPr>
          <w:rFonts w:hint="eastAsia" w:ascii="仿宋" w:hAnsi="仿宋" w:eastAsia="仿宋" w:cs="仿宋"/>
          <w:color w:val="auto"/>
          <w:kern w:val="2"/>
          <w:sz w:val="32"/>
          <w:szCs w:val="32"/>
          <w:lang w:val="en-US" w:eastAsia="zh-CN"/>
        </w:rPr>
        <w:t>购房者。</w:t>
      </w:r>
      <w:r>
        <w:rPr>
          <w:rStyle w:val="10"/>
          <w:rFonts w:hint="eastAsia" w:ascii="仿宋_GB2312" w:hAnsi="仿宋" w:eastAsia="仿宋_GB2312" w:cs="黑体"/>
          <w:b w:val="0"/>
          <w:bCs w:val="0"/>
          <w:color w:val="auto"/>
          <w:sz w:val="32"/>
          <w:szCs w:val="32"/>
          <w:lang w:val="en-US" w:eastAsia="zh-CN"/>
        </w:rPr>
        <w:t>开发</w:t>
      </w:r>
      <w:r>
        <w:rPr>
          <w:rStyle w:val="10"/>
          <w:rFonts w:hint="eastAsia" w:ascii="仿宋_GB2312" w:hAnsi="仿宋" w:eastAsia="仿宋_GB2312"/>
          <w:color w:val="auto"/>
          <w:sz w:val="32"/>
          <w:szCs w:val="32"/>
          <w:lang w:val="en-US" w:eastAsia="zh-CN"/>
        </w:rPr>
        <w:t>项目</w:t>
      </w:r>
      <w:r>
        <w:rPr>
          <w:rStyle w:val="10"/>
          <w:rFonts w:hint="eastAsia" w:ascii="仿宋_GB2312" w:hAnsi="仿宋" w:eastAsia="仿宋_GB2312"/>
          <w:color w:val="auto"/>
          <w:sz w:val="32"/>
          <w:szCs w:val="32"/>
        </w:rPr>
        <w:t>展板、</w:t>
      </w:r>
      <w:r>
        <w:rPr>
          <w:rFonts w:hint="eastAsia" w:ascii="仿宋_GB2312" w:eastAsia="仿宋_GB2312"/>
          <w:color w:val="auto"/>
          <w:sz w:val="32"/>
          <w:szCs w:val="32"/>
        </w:rPr>
        <w:t>沙盘</w:t>
      </w:r>
      <w:r>
        <w:rPr>
          <w:rStyle w:val="10"/>
          <w:rFonts w:hint="eastAsia" w:ascii="仿宋_GB2312" w:hAnsi="仿宋" w:eastAsia="仿宋_GB2312"/>
          <w:color w:val="auto"/>
          <w:sz w:val="32"/>
          <w:szCs w:val="32"/>
        </w:rPr>
        <w:t>、楼书、图册、APP软件</w:t>
      </w:r>
      <w:r>
        <w:rPr>
          <w:rStyle w:val="10"/>
          <w:rFonts w:ascii="仿宋_GB2312" w:hAnsi="仿宋" w:eastAsia="仿宋_GB2312"/>
          <w:color w:val="auto"/>
          <w:sz w:val="32"/>
          <w:szCs w:val="32"/>
        </w:rPr>
        <w:t>等</w:t>
      </w:r>
      <w:r>
        <w:rPr>
          <w:rStyle w:val="10"/>
          <w:rFonts w:hint="eastAsia" w:ascii="仿宋_GB2312" w:hAnsi="仿宋" w:eastAsia="仿宋_GB2312"/>
          <w:color w:val="auto"/>
          <w:sz w:val="32"/>
          <w:szCs w:val="32"/>
        </w:rPr>
        <w:t>各类</w:t>
      </w:r>
      <w:r>
        <w:rPr>
          <w:rStyle w:val="10"/>
          <w:rFonts w:ascii="仿宋_GB2312" w:hAnsi="仿宋" w:eastAsia="仿宋_GB2312"/>
          <w:color w:val="auto"/>
          <w:sz w:val="32"/>
          <w:szCs w:val="32"/>
        </w:rPr>
        <w:t>销售</w:t>
      </w:r>
      <w:r>
        <w:rPr>
          <w:rStyle w:val="10"/>
          <w:rFonts w:hint="eastAsia" w:ascii="仿宋_GB2312" w:hAnsi="仿宋" w:eastAsia="仿宋_GB2312"/>
          <w:color w:val="auto"/>
          <w:sz w:val="32"/>
          <w:szCs w:val="32"/>
          <w:lang w:eastAsia="zh-CN"/>
        </w:rPr>
        <w:t>公示资料</w:t>
      </w:r>
      <w:r>
        <w:rPr>
          <w:rStyle w:val="10"/>
          <w:rFonts w:hint="eastAsia" w:ascii="仿宋_GB2312" w:hAnsi="仿宋" w:eastAsia="仿宋_GB2312"/>
          <w:color w:val="auto"/>
          <w:sz w:val="32"/>
          <w:szCs w:val="32"/>
        </w:rPr>
        <w:t>展示</w:t>
      </w:r>
      <w:r>
        <w:rPr>
          <w:rStyle w:val="10"/>
          <w:rFonts w:hint="eastAsia" w:ascii="仿宋_GB2312" w:hAnsi="仿宋" w:eastAsia="仿宋_GB2312"/>
          <w:color w:val="auto"/>
          <w:sz w:val="32"/>
          <w:szCs w:val="32"/>
          <w:lang w:eastAsia="zh-CN"/>
        </w:rPr>
        <w:t>的</w:t>
      </w:r>
      <w:r>
        <w:rPr>
          <w:rStyle w:val="10"/>
          <w:rFonts w:hint="eastAsia" w:ascii="仿宋_GB2312" w:hAnsi="仿宋" w:eastAsia="仿宋_GB2312"/>
          <w:color w:val="auto"/>
          <w:sz w:val="32"/>
          <w:szCs w:val="32"/>
        </w:rPr>
        <w:t>项目范围内内容应当与规划许可内容一致，建筑物</w:t>
      </w:r>
      <w:r>
        <w:rPr>
          <w:rStyle w:val="10"/>
          <w:rFonts w:ascii="仿宋_GB2312" w:hAnsi="仿宋" w:eastAsia="仿宋_GB2312"/>
          <w:color w:val="auto"/>
          <w:sz w:val="32"/>
          <w:szCs w:val="32"/>
        </w:rPr>
        <w:t>、构筑物、</w:t>
      </w:r>
      <w:r>
        <w:rPr>
          <w:rStyle w:val="10"/>
          <w:rFonts w:hint="eastAsia" w:ascii="仿宋_GB2312" w:hAnsi="仿宋" w:eastAsia="仿宋_GB2312"/>
          <w:color w:val="auto"/>
          <w:sz w:val="32"/>
          <w:szCs w:val="32"/>
        </w:rPr>
        <w:t>绿地</w:t>
      </w:r>
      <w:r>
        <w:rPr>
          <w:rStyle w:val="10"/>
          <w:rFonts w:ascii="仿宋_GB2312" w:hAnsi="仿宋" w:eastAsia="仿宋_GB2312"/>
          <w:color w:val="auto"/>
          <w:sz w:val="32"/>
          <w:szCs w:val="32"/>
        </w:rPr>
        <w:t>景观、</w:t>
      </w:r>
      <w:r>
        <w:rPr>
          <w:rStyle w:val="10"/>
          <w:rFonts w:hint="eastAsia" w:ascii="仿宋_GB2312" w:hAnsi="仿宋" w:eastAsia="仿宋_GB2312"/>
          <w:color w:val="auto"/>
          <w:sz w:val="32"/>
          <w:szCs w:val="32"/>
        </w:rPr>
        <w:t>小区道路等</w:t>
      </w:r>
      <w:r>
        <w:rPr>
          <w:rStyle w:val="10"/>
          <w:rFonts w:hint="eastAsia" w:ascii="仿宋_GB2312" w:hAnsi="仿宋" w:eastAsia="仿宋_GB2312"/>
          <w:color w:val="auto"/>
          <w:sz w:val="32"/>
          <w:szCs w:val="32"/>
          <w:lang w:eastAsia="zh-CN"/>
        </w:rPr>
        <w:t>尺寸</w:t>
      </w:r>
      <w:r>
        <w:rPr>
          <w:rStyle w:val="10"/>
          <w:rFonts w:ascii="仿宋_GB2312" w:hAnsi="仿宋" w:eastAsia="仿宋_GB2312"/>
          <w:color w:val="auto"/>
          <w:sz w:val="32"/>
          <w:szCs w:val="32"/>
        </w:rPr>
        <w:t>比例</w:t>
      </w:r>
      <w:r>
        <w:rPr>
          <w:rStyle w:val="10"/>
          <w:rFonts w:hint="eastAsia" w:ascii="仿宋_GB2312" w:hAnsi="仿宋" w:eastAsia="仿宋_GB2312"/>
          <w:color w:val="auto"/>
          <w:sz w:val="32"/>
          <w:szCs w:val="32"/>
          <w:lang w:eastAsia="zh-CN"/>
        </w:rPr>
        <w:t>、坐落</w:t>
      </w:r>
      <w:r>
        <w:rPr>
          <w:rStyle w:val="10"/>
          <w:rFonts w:hint="eastAsia" w:ascii="仿宋_GB2312" w:hAnsi="仿宋" w:eastAsia="仿宋_GB2312"/>
          <w:color w:val="auto"/>
          <w:sz w:val="32"/>
          <w:szCs w:val="32"/>
        </w:rPr>
        <w:t>应</w:t>
      </w:r>
      <w:r>
        <w:rPr>
          <w:rStyle w:val="10"/>
          <w:rFonts w:ascii="仿宋_GB2312" w:hAnsi="仿宋" w:eastAsia="仿宋_GB2312"/>
          <w:color w:val="auto"/>
          <w:sz w:val="32"/>
          <w:szCs w:val="32"/>
        </w:rPr>
        <w:t>与规划许可</w:t>
      </w:r>
      <w:r>
        <w:rPr>
          <w:rStyle w:val="10"/>
          <w:rFonts w:hint="eastAsia" w:ascii="仿宋_GB2312" w:hAnsi="仿宋" w:eastAsia="仿宋_GB2312"/>
          <w:color w:val="auto"/>
          <w:sz w:val="32"/>
          <w:szCs w:val="32"/>
        </w:rPr>
        <w:t>总平面图一致；项目以外的展示内容应当与现状保持一致，</w:t>
      </w:r>
      <w:r>
        <w:rPr>
          <w:rStyle w:val="10"/>
          <w:rFonts w:hint="eastAsia" w:ascii="仿宋_GB2312" w:hAnsi="仿宋" w:eastAsia="仿宋_GB2312"/>
          <w:color w:val="auto"/>
          <w:sz w:val="32"/>
          <w:szCs w:val="32"/>
          <w:lang w:eastAsia="zh-CN"/>
        </w:rPr>
        <w:t>准确标明展示内容的规划建设状态，不宜展示未建设内容</w:t>
      </w:r>
      <w:r>
        <w:rPr>
          <w:rStyle w:val="10"/>
          <w:rFonts w:hint="eastAsia" w:ascii="仿宋_GB2312" w:hAnsi="仿宋" w:eastAsia="仿宋_GB2312"/>
          <w:color w:val="auto"/>
          <w:sz w:val="32"/>
          <w:szCs w:val="32"/>
        </w:rPr>
        <w:t>。</w:t>
      </w:r>
      <w:r>
        <w:rPr>
          <w:rFonts w:hint="eastAsia" w:ascii="仿宋_GB2312" w:hAnsi="仿宋_GB2312" w:eastAsia="仿宋_GB2312" w:cs="仿宋_GB2312"/>
          <w:b w:val="0"/>
          <w:bCs w:val="0"/>
          <w:color w:val="auto"/>
          <w:kern w:val="0"/>
          <w:sz w:val="32"/>
          <w:szCs w:val="32"/>
          <w:lang w:val="en-US" w:eastAsia="zh-CN"/>
        </w:rPr>
        <w:t>不得采取夸大有利因素或弱化、隐瞒不利因素等方式制作与规划设计或实际不相符的图标、模型。</w:t>
      </w:r>
      <w:r>
        <w:rPr>
          <w:rStyle w:val="10"/>
          <w:rFonts w:hint="eastAsia" w:ascii="仿宋_GB2312" w:hAnsi="仿宋" w:eastAsia="仿宋_GB2312"/>
          <w:color w:val="auto"/>
          <w:sz w:val="32"/>
          <w:szCs w:val="32"/>
        </w:rPr>
        <w:t>规划调整和</w:t>
      </w:r>
      <w:r>
        <w:rPr>
          <w:rFonts w:hint="eastAsia" w:ascii="仿宋_GB2312" w:eastAsia="仿宋_GB2312"/>
          <w:color w:val="auto"/>
          <w:sz w:val="32"/>
          <w:szCs w:val="32"/>
        </w:rPr>
        <w:t>设计</w:t>
      </w:r>
      <w:r>
        <w:rPr>
          <w:rStyle w:val="10"/>
          <w:rFonts w:hint="eastAsia" w:ascii="仿宋_GB2312" w:hAnsi="仿宋" w:eastAsia="仿宋_GB2312"/>
          <w:color w:val="auto"/>
          <w:sz w:val="32"/>
          <w:szCs w:val="32"/>
        </w:rPr>
        <w:t>变更影响展示内容的，应及时</w:t>
      </w:r>
      <w:r>
        <w:rPr>
          <w:rStyle w:val="10"/>
          <w:rFonts w:hint="eastAsia" w:ascii="仿宋_GB2312" w:hAnsi="仿宋" w:eastAsia="仿宋_GB2312"/>
          <w:color w:val="auto"/>
          <w:sz w:val="32"/>
          <w:szCs w:val="32"/>
          <w:lang w:val="en-US" w:eastAsia="zh-CN"/>
        </w:rPr>
        <w:t>更新</w:t>
      </w:r>
      <w:r>
        <w:rPr>
          <w:rStyle w:val="10"/>
          <w:rFonts w:hint="eastAsia" w:ascii="仿宋_GB2312" w:hAnsi="仿宋"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kern w:val="0"/>
          <w:sz w:val="32"/>
          <w:szCs w:val="32"/>
          <w:lang w:val="en-US" w:eastAsia="zh-CN"/>
        </w:rPr>
      </w:pPr>
      <w:r>
        <w:rPr>
          <w:rFonts w:hint="eastAsia" w:ascii="黑体" w:hAnsi="黑体" w:eastAsia="黑体" w:cs="黑体"/>
          <w:color w:val="auto"/>
          <w:kern w:val="2"/>
          <w:sz w:val="32"/>
          <w:szCs w:val="32"/>
          <w:lang w:val="en-US" w:eastAsia="zh-CN"/>
        </w:rPr>
        <w:t xml:space="preserve">第二十一条（广告内容）  </w:t>
      </w:r>
      <w:r>
        <w:rPr>
          <w:rFonts w:hint="eastAsia" w:ascii="仿宋_GB2312" w:hAnsi="仿宋_GB2312" w:eastAsia="仿宋_GB2312" w:cs="仿宋_GB2312"/>
          <w:b w:val="0"/>
          <w:bCs w:val="0"/>
          <w:color w:val="auto"/>
          <w:kern w:val="0"/>
          <w:sz w:val="32"/>
          <w:szCs w:val="32"/>
          <w:lang w:val="en-US" w:eastAsia="zh-CN"/>
        </w:rPr>
        <w:t>开发企业或房地产经纪机构制作宣传单、广告牌等宣传资料、发布商品房销售广告，其内容应当真实准确，不得发布不实信息，不得进行虚假宣传，不得渲染房价上涨预期，不得误导购房人，不得公示和宣传项目众筹、分期首付、首付贷、零首付、假按揭、售后包租、返本销售等信息。</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2"/>
          <w:sz w:val="32"/>
          <w:szCs w:val="32"/>
          <w:lang w:val="en-US" w:eastAsia="zh-CN"/>
        </w:rPr>
        <w:t>第二十二条 （不确定信息）</w:t>
      </w:r>
      <w:r>
        <w:rPr>
          <w:rFonts w:hint="eastAsia" w:ascii="仿宋_GB2312" w:hAnsi="仿宋_GB2312" w:eastAsia="仿宋_GB2312" w:cs="仿宋_GB2312"/>
          <w:b w:val="0"/>
          <w:bCs w:val="0"/>
          <w:color w:val="auto"/>
          <w:kern w:val="0"/>
          <w:sz w:val="32"/>
          <w:szCs w:val="32"/>
          <w:lang w:val="en-US" w:eastAsia="zh-CN"/>
        </w:rPr>
        <w:t xml:space="preserve"> 商品房相对应的学区或学校、地铁站点及其他规划配套等不确定信息，应以当时的政策信息为准，开发企业及经纪机构公示的不确定信息不得作为确定信息进行宣传推广。</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 w:val="0"/>
          <w:bCs w:val="0"/>
          <w:color w:val="auto"/>
          <w:kern w:val="0"/>
          <w:sz w:val="32"/>
          <w:szCs w:val="32"/>
          <w:lang w:val="en-US" w:eastAsia="zh-CN"/>
        </w:rPr>
      </w:pP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第六章 样板间展示及装修公示规定</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default" w:ascii="黑体" w:hAnsi="黑体" w:eastAsia="黑体" w:cs="黑体"/>
          <w:b w:val="0"/>
          <w:bCs w:val="0"/>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color w:val="auto"/>
          <w:kern w:val="2"/>
          <w:sz w:val="32"/>
          <w:szCs w:val="32"/>
          <w:lang w:val="en-US" w:eastAsia="zh-CN"/>
        </w:rPr>
        <w:t xml:space="preserve">  第二十三条  </w:t>
      </w:r>
      <w:r>
        <w:rPr>
          <w:rFonts w:hint="eastAsia" w:ascii="仿宋_GB2312" w:hAnsi="仿宋_GB2312" w:eastAsia="仿宋_GB2312" w:cs="仿宋_GB2312"/>
          <w:color w:val="auto"/>
          <w:kern w:val="2"/>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样板房优先设置在永久性建筑内。</w:t>
      </w:r>
      <w:r>
        <w:rPr>
          <w:rFonts w:hint="eastAsia" w:ascii="仿宋_GB2312" w:hAnsi="仿宋_GB2312" w:eastAsia="仿宋_GB2312" w:cs="仿宋_GB2312"/>
          <w:i w:val="0"/>
          <w:caps w:val="0"/>
          <w:color w:val="auto"/>
          <w:spacing w:val="0"/>
          <w:kern w:val="0"/>
          <w:sz w:val="32"/>
          <w:szCs w:val="32"/>
          <w:shd w:val="clear"/>
        </w:rPr>
        <w:t>样板房展示内容应与房屋实际交付标准保持一致。交付标准为毛坯的，样板房应当以毛坯形式展现；交付标准为全装修的，样板房内摆放的家具、家电等非设施设备</w:t>
      </w:r>
      <w:r>
        <w:rPr>
          <w:rFonts w:hint="eastAsia" w:ascii="仿宋_GB2312" w:hAnsi="仿宋_GB2312" w:eastAsia="仿宋_GB2312" w:cs="仿宋_GB2312"/>
          <w:i w:val="0"/>
          <w:caps w:val="0"/>
          <w:color w:val="auto"/>
          <w:spacing w:val="0"/>
          <w:kern w:val="0"/>
          <w:sz w:val="32"/>
          <w:szCs w:val="32"/>
          <w:shd w:val="clear"/>
          <w:lang w:eastAsia="zh-CN"/>
        </w:rPr>
        <w:t>的</w:t>
      </w:r>
      <w:r>
        <w:rPr>
          <w:rFonts w:hint="eastAsia" w:ascii="仿宋_GB2312" w:hAnsi="仿宋_GB2312" w:eastAsia="仿宋_GB2312" w:cs="仿宋_GB2312"/>
          <w:i w:val="0"/>
          <w:caps w:val="0"/>
          <w:color w:val="auto"/>
          <w:spacing w:val="0"/>
          <w:kern w:val="0"/>
          <w:sz w:val="32"/>
          <w:szCs w:val="32"/>
          <w:shd w:val="clear"/>
        </w:rPr>
        <w:t>，应标注尺寸大小，并在显著位置明示</w:t>
      </w:r>
      <w:r>
        <w:rPr>
          <w:rFonts w:hint="eastAsia" w:ascii="仿宋_GB2312" w:hAnsi="仿宋_GB2312" w:eastAsia="仿宋_GB2312" w:cs="仿宋_GB2312"/>
          <w:i w:val="0"/>
          <w:caps w:val="0"/>
          <w:color w:val="auto"/>
          <w:spacing w:val="0"/>
          <w:kern w:val="0"/>
          <w:sz w:val="32"/>
          <w:szCs w:val="32"/>
          <w:shd w:val="clear"/>
          <w:lang w:eastAsia="zh-CN"/>
        </w:rPr>
        <w:t>交房标准或</w:t>
      </w:r>
      <w:r>
        <w:rPr>
          <w:rFonts w:hint="eastAsia" w:ascii="仿宋_GB2312" w:hAnsi="仿宋_GB2312" w:eastAsia="仿宋_GB2312" w:cs="仿宋_GB2312"/>
          <w:i w:val="0"/>
          <w:caps w:val="0"/>
          <w:color w:val="auto"/>
          <w:spacing w:val="0"/>
          <w:kern w:val="0"/>
          <w:sz w:val="32"/>
          <w:szCs w:val="32"/>
          <w:shd w:val="clear"/>
        </w:rPr>
        <w:t>非交房标准。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2"/>
          <w:sz w:val="32"/>
          <w:szCs w:val="32"/>
          <w:lang w:val="en-US" w:eastAsia="zh-CN"/>
        </w:rPr>
        <w:t>第二十四条</w:t>
      </w:r>
      <w:r>
        <w:rPr>
          <w:rFonts w:hint="eastAsia" w:ascii="仿宋_GB2312" w:hAnsi="仿宋_GB2312" w:eastAsia="仿宋_GB2312" w:cs="仿宋_GB2312"/>
          <w:b w:val="0"/>
          <w:bCs w:val="0"/>
          <w:color w:val="auto"/>
          <w:kern w:val="0"/>
          <w:sz w:val="32"/>
          <w:szCs w:val="32"/>
          <w:lang w:val="en-US" w:eastAsia="zh-CN"/>
        </w:rPr>
        <w:t xml:space="preserve">  全装修交付商品房项目，设置专门区域公示项目装修交付使用的主要材料、设施、设备清单、名称、品牌、型号、材质等信息。主材产品可在同一档次提供1—3个产品目录。鼓励全装修交付商品房项目设置装修施工工艺展示样板房。</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color w:val="auto"/>
          <w:sz w:val="32"/>
          <w:szCs w:val="32"/>
          <w:lang w:eastAsia="zh-CN"/>
        </w:rPr>
        <w:t>第二十五条</w:t>
      </w:r>
      <w:r>
        <w:rPr>
          <w:rFonts w:hint="eastAsia" w:ascii="仿宋_GB2312" w:eastAsia="仿宋_GB2312"/>
          <w:color w:val="auto"/>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rPr>
        <w:t>开发企业在公示信息时，应当公示经审图机构审查合格的施工图纸以及预售方案中确定的户型样式、结构尺寸、交付标准、施工工艺的交付样板间，并在交付标准样板间中布置工艺样板区。销售过程中，因设计变更导致交付样板间与实际交房状况不符的，应在交付标准样板间和工艺样板区内增设设计变更前后的实体对比展示内容。</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项目存在多个户型的，应设置各个户型的交付样板间。样板间入口处应显著标识该样板房的户型编号。异地样板间应明确标识方位。</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700" w:firstLineChars="219"/>
        <w:jc w:val="both"/>
        <w:textAlignment w:val="auto"/>
        <w:rPr>
          <w:rFonts w:ascii="仿宋_GB2312" w:eastAsia="仿宋_GB2312"/>
          <w:color w:val="auto"/>
          <w:sz w:val="32"/>
          <w:szCs w:val="32"/>
        </w:rPr>
      </w:pPr>
      <w:r>
        <w:rPr>
          <w:rFonts w:hint="eastAsia" w:ascii="黑体" w:hAnsi="黑体" w:eastAsia="黑体" w:cs="黑体"/>
          <w:color w:val="auto"/>
          <w:kern w:val="2"/>
          <w:sz w:val="32"/>
          <w:szCs w:val="32"/>
          <w:lang w:val="en-US" w:eastAsia="zh-CN"/>
        </w:rPr>
        <w:t>第二十六条</w:t>
      </w:r>
      <w:r>
        <w:rPr>
          <w:rFonts w:hint="eastAsia" w:ascii="仿宋_GB2312" w:eastAsia="仿宋_GB2312"/>
          <w:color w:val="auto"/>
          <w:sz w:val="32"/>
          <w:szCs w:val="32"/>
          <w:lang w:val="en-US" w:eastAsia="zh-CN"/>
        </w:rPr>
        <w:t xml:space="preserve">  交付</w:t>
      </w:r>
      <w:r>
        <w:rPr>
          <w:rFonts w:hint="eastAsia" w:ascii="仿宋_GB2312" w:eastAsia="仿宋_GB2312"/>
          <w:color w:val="auto"/>
          <w:sz w:val="32"/>
          <w:szCs w:val="32"/>
        </w:rPr>
        <w:t>样板间的装修装饰</w:t>
      </w:r>
      <w:r>
        <w:rPr>
          <w:rFonts w:ascii="仿宋_GB2312" w:eastAsia="仿宋_GB2312"/>
          <w:color w:val="auto"/>
          <w:sz w:val="32"/>
          <w:szCs w:val="32"/>
        </w:rPr>
        <w:t>标准</w:t>
      </w:r>
      <w:r>
        <w:rPr>
          <w:rFonts w:hint="eastAsia" w:ascii="仿宋_GB2312" w:eastAsia="仿宋_GB2312"/>
          <w:color w:val="auto"/>
          <w:sz w:val="32"/>
          <w:szCs w:val="32"/>
        </w:rPr>
        <w:t>应</w:t>
      </w:r>
      <w:r>
        <w:rPr>
          <w:rFonts w:ascii="仿宋_GB2312" w:eastAsia="仿宋_GB2312"/>
          <w:color w:val="auto"/>
          <w:sz w:val="32"/>
          <w:szCs w:val="32"/>
        </w:rPr>
        <w:t>与</w:t>
      </w:r>
      <w:r>
        <w:rPr>
          <w:rFonts w:hint="eastAsia" w:ascii="仿宋_GB2312" w:eastAsia="仿宋_GB2312"/>
          <w:color w:val="auto"/>
          <w:sz w:val="32"/>
          <w:szCs w:val="32"/>
        </w:rPr>
        <w:t>预售方案中所列的清单</w:t>
      </w:r>
      <w:r>
        <w:rPr>
          <w:rFonts w:ascii="仿宋_GB2312" w:eastAsia="仿宋_GB2312"/>
          <w:color w:val="auto"/>
          <w:sz w:val="32"/>
          <w:szCs w:val="32"/>
        </w:rPr>
        <w:t>内容</w:t>
      </w:r>
      <w:r>
        <w:rPr>
          <w:rFonts w:hint="eastAsia" w:ascii="仿宋_GB2312" w:eastAsia="仿宋_GB2312"/>
          <w:color w:val="auto"/>
          <w:sz w:val="32"/>
          <w:szCs w:val="32"/>
        </w:rPr>
        <w:t>、购房合同约定的交付标准、项目实际交房状况保持一致。</w:t>
      </w:r>
      <w:r>
        <w:rPr>
          <w:rStyle w:val="10"/>
          <w:rFonts w:hint="eastAsia" w:ascii="仿宋_GB2312" w:hAnsi="仿宋" w:eastAsia="仿宋_GB2312"/>
          <w:color w:val="auto"/>
          <w:sz w:val="32"/>
          <w:szCs w:val="32"/>
        </w:rPr>
        <w:t>交付样板间和工艺样板区应保留至项目</w:t>
      </w:r>
      <w:r>
        <w:rPr>
          <w:rStyle w:val="10"/>
          <w:rFonts w:hint="eastAsia" w:ascii="仿宋_GB2312" w:hAnsi="仿宋" w:eastAsia="仿宋_GB2312"/>
          <w:color w:val="auto"/>
          <w:sz w:val="32"/>
          <w:szCs w:val="32"/>
          <w:lang w:val="en-US" w:eastAsia="zh-CN"/>
        </w:rPr>
        <w:t>全部商品房完成</w:t>
      </w:r>
      <w:r>
        <w:rPr>
          <w:rStyle w:val="10"/>
          <w:rFonts w:hint="eastAsia" w:ascii="仿宋_GB2312" w:hAnsi="仿宋" w:eastAsia="仿宋_GB2312"/>
          <w:color w:val="auto"/>
          <w:sz w:val="32"/>
          <w:szCs w:val="32"/>
        </w:rPr>
        <w:t>交付三个月后。</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第二十七条（创意样板间） </w:t>
      </w:r>
      <w:r>
        <w:rPr>
          <w:rFonts w:hint="eastAsia" w:ascii="仿宋_GB2312" w:hAnsi="仿宋_GB2312" w:eastAsia="仿宋_GB2312" w:cs="仿宋_GB2312"/>
          <w:b w:val="0"/>
          <w:bCs w:val="0"/>
          <w:color w:val="auto"/>
          <w:kern w:val="0"/>
          <w:sz w:val="32"/>
          <w:szCs w:val="32"/>
          <w:lang w:val="en-US" w:eastAsia="zh-CN"/>
        </w:rPr>
        <w:t>开发企业在设置交付样板间的基础上，可根据实际需要设置创意样板间。创意样板间的非交付标准及非交付范围的设施设备应在显著位置标注。样板间展示的所有家具应标示真实三维尺寸。鼓励样板间标示房屋交付三维尺寸。通过VR技术、三维视频等方式线上展示样板间的，应真实全面。</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样板间设置应与商品房规划属性和使用功能一致，创意样板间的设置不得诱导业主违规改变商品房规划属性和使用功能。不得用创意样板间代替交付样板间。</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第七章  监督管理</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黑体" w:hAnsi="黑体" w:eastAsia="黑体" w:cs="黑体"/>
          <w:b w:val="0"/>
          <w:bCs w:val="0"/>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第二十八条（销售现场监督管理）</w:t>
      </w:r>
      <w:r>
        <w:rPr>
          <w:rFonts w:hint="eastAsia" w:ascii="黑体" w:hAnsi="黑体" w:eastAsia="黑体" w:cs="黑体"/>
          <w:b/>
          <w:bCs/>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房</w:t>
      </w:r>
      <w:r>
        <w:rPr>
          <w:rFonts w:ascii="仿宋_GB2312" w:hAnsi="仿宋" w:eastAsia="仿宋_GB2312"/>
          <w:sz w:val="32"/>
          <w:szCs w:val="32"/>
        </w:rPr>
        <w:t>地产开发企业应当以视频和照片方式留存销售信息公示内容和样板房</w:t>
      </w:r>
      <w:r>
        <w:rPr>
          <w:rFonts w:hint="eastAsia" w:ascii="仿宋_GB2312" w:hAnsi="仿宋" w:eastAsia="仿宋_GB2312"/>
          <w:sz w:val="32"/>
          <w:szCs w:val="32"/>
          <w:lang w:eastAsia="zh-CN"/>
        </w:rPr>
        <w:t>公示</w:t>
      </w:r>
      <w:r>
        <w:rPr>
          <w:rFonts w:ascii="仿宋_GB2312" w:hAnsi="仿宋" w:eastAsia="仿宋_GB2312"/>
          <w:sz w:val="32"/>
          <w:szCs w:val="32"/>
        </w:rPr>
        <w:t>内容。</w:t>
      </w:r>
      <w:r>
        <w:rPr>
          <w:rFonts w:hint="eastAsia" w:ascii="仿宋_GB2312" w:hAnsi="仿宋" w:eastAsia="仿宋_GB2312"/>
          <w:sz w:val="32"/>
          <w:szCs w:val="32"/>
          <w:lang w:eastAsia="zh-CN"/>
        </w:rPr>
        <w:t>鼓励将</w:t>
      </w:r>
      <w:r>
        <w:rPr>
          <w:rFonts w:ascii="仿宋_GB2312" w:hAnsi="仿宋" w:eastAsia="仿宋_GB2312"/>
          <w:sz w:val="32"/>
          <w:szCs w:val="32"/>
        </w:rPr>
        <w:t>销售信息公示内容和样板房</w:t>
      </w:r>
      <w:r>
        <w:rPr>
          <w:rFonts w:hint="eastAsia" w:ascii="仿宋_GB2312" w:hAnsi="仿宋" w:eastAsia="仿宋_GB2312"/>
          <w:sz w:val="32"/>
          <w:szCs w:val="32"/>
          <w:lang w:eastAsia="zh-CN"/>
        </w:rPr>
        <w:t>公示</w:t>
      </w:r>
      <w:r>
        <w:rPr>
          <w:rFonts w:ascii="仿宋_GB2312" w:hAnsi="仿宋" w:eastAsia="仿宋_GB2312"/>
          <w:sz w:val="32"/>
          <w:szCs w:val="32"/>
        </w:rPr>
        <w:t>内容</w:t>
      </w:r>
      <w:r>
        <w:rPr>
          <w:rFonts w:hint="eastAsia" w:ascii="仿宋_GB2312" w:hAnsi="仿宋" w:eastAsia="仿宋_GB2312"/>
          <w:sz w:val="32"/>
          <w:szCs w:val="32"/>
          <w:lang w:eastAsia="zh-CN"/>
        </w:rPr>
        <w:t>进行公证。</w:t>
      </w:r>
      <w:r>
        <w:rPr>
          <w:rFonts w:hint="eastAsia" w:ascii="仿宋_GB2312" w:hAnsi="仿宋_GB2312" w:eastAsia="仿宋_GB2312" w:cs="仿宋_GB2312"/>
          <w:b w:val="0"/>
          <w:bCs w:val="0"/>
          <w:color w:val="auto"/>
          <w:kern w:val="0"/>
          <w:sz w:val="32"/>
          <w:szCs w:val="32"/>
          <w:lang w:val="en-US" w:eastAsia="zh-CN"/>
        </w:rPr>
        <w:t>各区</w:t>
      </w:r>
      <w:r>
        <w:rPr>
          <w:rFonts w:hint="eastAsia" w:ascii="仿宋_GB2312" w:hAnsi="仿宋_GB2312" w:eastAsia="仿宋_GB2312" w:cs="仿宋_GB2312"/>
          <w:b w:val="0"/>
          <w:bCs w:val="0"/>
          <w:color w:val="auto"/>
          <w:sz w:val="32"/>
          <w:szCs w:val="32"/>
          <w:lang w:val="en-US" w:eastAsia="zh-CN"/>
        </w:rPr>
        <w:t>建设房产行政主管部门首次</w:t>
      </w:r>
      <w:r>
        <w:rPr>
          <w:rFonts w:hint="eastAsia" w:ascii="仿宋_GB2312" w:hAnsi="仿宋_GB2312" w:eastAsia="仿宋_GB2312" w:cs="仿宋_GB2312"/>
          <w:b w:val="0"/>
          <w:bCs w:val="0"/>
          <w:color w:val="auto"/>
          <w:kern w:val="0"/>
          <w:sz w:val="32"/>
          <w:szCs w:val="32"/>
          <w:lang w:val="en-US" w:eastAsia="zh-CN"/>
        </w:rPr>
        <w:t>核发项目的《商品房预售许可证》前，应检查销售现场信息公示是否符合要求。商品房销售现场信息公示不符合要求的，责令整改。需要调整或撤销公示材料的，房地产开发企业应当以视频或照片方式留存销售现场公示信息内容和样板房公示信息。</w:t>
      </w:r>
    </w:p>
    <w:p>
      <w:pPr>
        <w:pStyle w:val="11"/>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区住房城乡</w:t>
      </w:r>
      <w:r>
        <w:rPr>
          <w:rFonts w:hint="eastAsia" w:ascii="仿宋_GB2312" w:hAnsi="仿宋_GB2312" w:eastAsia="仿宋_GB2312" w:cs="仿宋_GB2312"/>
          <w:b w:val="0"/>
          <w:bCs w:val="0"/>
          <w:color w:val="auto"/>
          <w:sz w:val="32"/>
          <w:szCs w:val="32"/>
          <w:lang w:val="en-US" w:eastAsia="zh-CN"/>
        </w:rPr>
        <w:t>建设主管部门</w:t>
      </w:r>
      <w:r>
        <w:rPr>
          <w:rFonts w:hint="eastAsia" w:ascii="仿宋_GB2312" w:hAnsi="仿宋_GB2312" w:eastAsia="仿宋_GB2312" w:cs="仿宋_GB2312"/>
          <w:b w:val="0"/>
          <w:bCs w:val="0"/>
          <w:color w:val="auto"/>
          <w:kern w:val="0"/>
          <w:sz w:val="32"/>
          <w:szCs w:val="32"/>
          <w:lang w:val="en-US" w:eastAsia="zh-CN"/>
        </w:rPr>
        <w:t>加强辖区商品房项目销售公示行为的检查。在检查中发现项目企业未按规定在商品房销售现场进行公示，或信息公示不完整、不规范、不及时更新等情形的，应立即责令限期整改，并记入企业信用信息档案。对拒不整改或整改不到位的企业，依照法律、法规、规章有关规定，视情节轻重，采取约谈企业主要负责人、警告、公开通报、暂停商品房销售及网签等处理。对存在误导消费、价格欺诈、虚假宣传等依法应由其他部门处理的情形，及时移交处理。相关部门出具查处结果的，各区</w:t>
      </w:r>
      <w:r>
        <w:rPr>
          <w:rFonts w:hint="eastAsia" w:ascii="仿宋_GB2312" w:hAnsi="仿宋_GB2312" w:eastAsia="仿宋_GB2312" w:cs="仿宋_GB2312"/>
          <w:b w:val="0"/>
          <w:bCs w:val="0"/>
          <w:color w:val="auto"/>
          <w:sz w:val="32"/>
          <w:szCs w:val="32"/>
          <w:lang w:val="en-US" w:eastAsia="zh-CN"/>
        </w:rPr>
        <w:t>建设房产行政主管部门</w:t>
      </w:r>
      <w:r>
        <w:rPr>
          <w:rFonts w:hint="eastAsia" w:ascii="仿宋_GB2312" w:hAnsi="仿宋_GB2312" w:eastAsia="仿宋_GB2312" w:cs="仿宋_GB2312"/>
          <w:b w:val="0"/>
          <w:bCs w:val="0"/>
          <w:color w:val="auto"/>
          <w:kern w:val="0"/>
          <w:sz w:val="32"/>
          <w:szCs w:val="32"/>
          <w:lang w:val="en-US" w:eastAsia="zh-CN"/>
        </w:rPr>
        <w:t>应依据查处结果采取信用惩戒措施。</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560" w:firstLineChars="175"/>
        <w:jc w:val="both"/>
        <w:textAlignment w:val="auto"/>
        <w:rPr>
          <w:rFonts w:hint="eastAsia" w:ascii="仿宋_GB2312" w:eastAsia="仿宋_GB2312"/>
          <w:color w:val="auto"/>
          <w:sz w:val="32"/>
          <w:szCs w:val="32"/>
        </w:rPr>
      </w:pPr>
      <w:r>
        <w:rPr>
          <w:rFonts w:hint="eastAsia" w:ascii="黑体" w:hAnsi="黑体" w:eastAsia="黑体" w:cs="黑体"/>
          <w:color w:val="auto"/>
          <w:sz w:val="32"/>
          <w:szCs w:val="32"/>
          <w:lang w:eastAsia="zh-CN"/>
        </w:rPr>
        <w:t>第二十</w:t>
      </w:r>
      <w:r>
        <w:rPr>
          <w:rFonts w:hint="eastAsia" w:ascii="黑体" w:hAnsi="黑体" w:eastAsia="黑体" w:cs="黑体"/>
          <w:color w:val="auto"/>
          <w:sz w:val="32"/>
          <w:szCs w:val="32"/>
          <w:lang w:val="en-US" w:eastAsia="zh-CN"/>
        </w:rPr>
        <w:t>九</w:t>
      </w:r>
      <w:r>
        <w:rPr>
          <w:rFonts w:hint="eastAsia" w:ascii="黑体" w:hAnsi="黑体" w:eastAsia="黑体" w:cs="黑体"/>
          <w:color w:val="auto"/>
          <w:sz w:val="32"/>
          <w:szCs w:val="32"/>
          <w:lang w:eastAsia="zh-CN"/>
        </w:rPr>
        <w:t>条</w:t>
      </w:r>
      <w:r>
        <w:rPr>
          <w:rFonts w:hint="eastAsia" w:ascii="黑体" w:hAnsi="黑体" w:eastAsia="黑体" w:cs="黑体"/>
          <w:color w:val="auto"/>
          <w:sz w:val="32"/>
          <w:szCs w:val="32"/>
          <w:lang w:val="en-US" w:eastAsia="zh-CN"/>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违反本规定的，由市、区</w:t>
      </w:r>
      <w:r>
        <w:rPr>
          <w:rFonts w:hint="eastAsia" w:ascii="仿宋_GB2312" w:eastAsia="仿宋_GB2312"/>
          <w:color w:val="auto"/>
          <w:sz w:val="32"/>
          <w:szCs w:val="32"/>
          <w:lang w:eastAsia="zh-CN"/>
        </w:rPr>
        <w:t>建设房产行政</w:t>
      </w:r>
      <w:r>
        <w:rPr>
          <w:rFonts w:hint="eastAsia" w:ascii="仿宋_GB2312" w:eastAsia="仿宋_GB2312"/>
          <w:color w:val="auto"/>
          <w:sz w:val="32"/>
          <w:szCs w:val="32"/>
        </w:rPr>
        <w:t>主管部门责令开发企业限期整改，并按《</w:t>
      </w:r>
      <w:r>
        <w:rPr>
          <w:rFonts w:hint="eastAsia" w:ascii="仿宋_GB2312" w:eastAsia="仿宋_GB2312"/>
          <w:color w:val="auto"/>
          <w:sz w:val="32"/>
          <w:szCs w:val="32"/>
          <w:lang w:eastAsia="zh-CN"/>
        </w:rPr>
        <w:t>佛山市房地产行业信用信息管理办法</w:t>
      </w:r>
      <w:r>
        <w:rPr>
          <w:rFonts w:hint="eastAsia" w:ascii="仿宋_GB2312" w:eastAsia="仿宋_GB2312"/>
          <w:color w:val="auto"/>
          <w:sz w:val="32"/>
          <w:szCs w:val="32"/>
        </w:rPr>
        <w:t>》规定进行记分。</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第八章  附则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color w:val="auto"/>
          <w:sz w:val="32"/>
          <w:szCs w:val="32"/>
          <w:lang w:eastAsia="zh-CN"/>
        </w:rPr>
        <w:t>第三十条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自2021年X月X日</w:t>
      </w:r>
      <w:r>
        <w:rPr>
          <w:rFonts w:ascii="仿宋_GB2312" w:eastAsia="仿宋_GB2312"/>
          <w:color w:val="auto"/>
          <w:sz w:val="32"/>
          <w:szCs w:val="32"/>
        </w:rPr>
        <w:t>起</w:t>
      </w:r>
      <w:r>
        <w:rPr>
          <w:rFonts w:hint="eastAsia" w:ascii="仿宋_GB2312" w:eastAsia="仿宋_GB2312"/>
          <w:color w:val="auto"/>
          <w:sz w:val="32"/>
          <w:szCs w:val="32"/>
          <w:lang w:eastAsia="zh-CN"/>
        </w:rPr>
        <w:t>实施</w:t>
      </w:r>
      <w:r>
        <w:rPr>
          <w:rFonts w:hint="eastAsia" w:ascii="仿宋_GB2312" w:eastAsia="仿宋_GB2312"/>
          <w:color w:val="auto"/>
          <w:sz w:val="32"/>
          <w:szCs w:val="32"/>
        </w:rPr>
        <w:t>，</w:t>
      </w:r>
      <w:r>
        <w:rPr>
          <w:rFonts w:hint="eastAsia" w:ascii="仿宋_GB2312" w:hAnsi="仿宋_GB2312" w:eastAsia="仿宋_GB2312" w:cs="仿宋_GB2312"/>
          <w:b w:val="0"/>
          <w:bCs w:val="0"/>
          <w:color w:val="auto"/>
          <w:kern w:val="0"/>
          <w:sz w:val="32"/>
          <w:szCs w:val="32"/>
          <w:lang w:val="en-US" w:eastAsia="zh-CN"/>
        </w:rPr>
        <w:t>有效期为五年</w:t>
      </w:r>
      <w:r>
        <w:rPr>
          <w:rFonts w:hint="eastAsia" w:ascii="仿宋_GB2312" w:eastAsia="仿宋_GB2312"/>
          <w:color w:val="auto"/>
          <w:sz w:val="32"/>
          <w:szCs w:val="32"/>
        </w:rPr>
        <w:t>。</w:t>
      </w:r>
      <w:r>
        <w:rPr>
          <w:rFonts w:hint="eastAsia" w:ascii="仿宋_GB2312" w:hAnsi="仿宋_GB2312" w:eastAsia="仿宋_GB2312" w:cs="仿宋_GB2312"/>
          <w:b w:val="0"/>
          <w:bCs w:val="0"/>
          <w:color w:val="auto"/>
          <w:kern w:val="0"/>
          <w:sz w:val="32"/>
          <w:szCs w:val="32"/>
          <w:lang w:val="en-US" w:eastAsia="zh-CN"/>
        </w:rPr>
        <w:t>原《佛山市住房和城乡建设局关于规范商品房销售信息公示的通知》（佛建房市（2010）2号）同时废止。</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auto"/>
        <w:rPr>
          <w:rFonts w:hint="eastAsia" w:ascii="仿宋" w:hAnsi="仿宋" w:eastAsia="仿宋" w:cs="仿宋"/>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right"/>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佛山市住房和城乡建设局</w:t>
      </w:r>
    </w:p>
    <w:p>
      <w:pPr>
        <w:keepNext w:val="0"/>
        <w:keepLines w:val="0"/>
        <w:pageBreakBefore w:val="0"/>
        <w:kinsoku/>
        <w:wordWrap/>
        <w:overflowPunct/>
        <w:topLinePunct w:val="0"/>
        <w:autoSpaceDE/>
        <w:autoSpaceDN/>
        <w:bidi w:val="0"/>
        <w:adjustRightInd/>
        <w:spacing w:line="560" w:lineRule="exact"/>
        <w:ind w:left="0" w:leftChars="0"/>
        <w:jc w:val="right"/>
        <w:textAlignment w:val="auto"/>
        <w:rPr>
          <w:rFonts w:hint="eastAsia" w:ascii="仿宋_GB2312" w:eastAsia="仿宋_GB2312" w:hAnsiTheme="minorHAnsi" w:cstheme="minorBidi"/>
          <w:b w:val="0"/>
          <w:bCs w:val="0"/>
          <w:color w:val="auto"/>
          <w:kern w:val="2"/>
          <w:sz w:val="28"/>
          <w:szCs w:val="28"/>
          <w:lang w:val="en-US" w:eastAsia="zh-CN"/>
        </w:rPr>
      </w:pPr>
      <w:r>
        <w:rPr>
          <w:rFonts w:hint="eastAsia" w:ascii="仿宋_GB2312" w:hAnsi="仿宋_GB2312" w:eastAsia="仿宋_GB2312" w:cs="仿宋_GB2312"/>
          <w:b w:val="0"/>
          <w:bCs w:val="0"/>
          <w:color w:val="auto"/>
          <w:kern w:val="0"/>
          <w:sz w:val="32"/>
          <w:szCs w:val="32"/>
          <w:lang w:val="en-US" w:eastAsia="zh-CN"/>
        </w:rPr>
        <w:t xml:space="preserve">                                   二〇二一年十月 日</w:t>
      </w:r>
    </w:p>
    <w:sectPr>
      <w:footerReference r:id="rId3" w:type="default"/>
      <w:pgSz w:w="11906" w:h="16838"/>
      <w:pgMar w:top="2154" w:right="1474" w:bottom="147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2DF1DD-BC1C-42FD-B924-2D9E194AF19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72E9477-3352-4A11-AAB3-D2DF84BFD291}"/>
  </w:font>
  <w:font w:name="方正小标宋简体">
    <w:panose1 w:val="03000509000000000000"/>
    <w:charset w:val="86"/>
    <w:family w:val="auto"/>
    <w:pitch w:val="default"/>
    <w:sig w:usb0="00000001" w:usb1="080E0000" w:usb2="00000000" w:usb3="00000000" w:csb0="00040000" w:csb1="00000000"/>
    <w:embedRegular r:id="rId3" w:fontKey="{A8BF5816-DE60-43C2-AF0B-56160FD80CEA}"/>
  </w:font>
  <w:font w:name="仿宋_GB2312">
    <w:panose1 w:val="02010609030101010101"/>
    <w:charset w:val="86"/>
    <w:family w:val="modern"/>
    <w:pitch w:val="default"/>
    <w:sig w:usb0="00000001" w:usb1="080E0000" w:usb2="00000000" w:usb3="00000000" w:csb0="00040000" w:csb1="00000000"/>
    <w:embedRegular r:id="rId4" w:fontKey="{C5984A10-ED66-4EF9-8FCD-37FF579F43FA}"/>
  </w:font>
  <w:font w:name="仿宋">
    <w:panose1 w:val="02010609060101010101"/>
    <w:charset w:val="86"/>
    <w:family w:val="auto"/>
    <w:pitch w:val="default"/>
    <w:sig w:usb0="800002BF" w:usb1="38CF7CFA" w:usb2="00000016" w:usb3="00000000" w:csb0="00040001" w:csb1="00000000"/>
    <w:embedRegular r:id="rId5" w:fontKey="{5DC32878-A2DF-4BB0-94B8-59247781FDF8}"/>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3FC3E5"/>
    <w:multiLevelType w:val="singleLevel"/>
    <w:tmpl w:val="993FC3E5"/>
    <w:lvl w:ilvl="0" w:tentative="0">
      <w:start w:val="4"/>
      <w:numFmt w:val="chineseCounting"/>
      <w:suff w:val="space"/>
      <w:lvlText w:val="第%1章"/>
      <w:lvlJc w:val="left"/>
      <w:rPr>
        <w:rFonts w:hint="eastAsia"/>
      </w:rPr>
    </w:lvl>
  </w:abstractNum>
  <w:abstractNum w:abstractNumId="1">
    <w:nsid w:val="0A82479A"/>
    <w:multiLevelType w:val="singleLevel"/>
    <w:tmpl w:val="0A82479A"/>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trackRevisions w:val="1"/>
  <w:documentProtection w:enforcement="0"/>
  <w:defaultTabStop w:val="420"/>
  <w:drawingGridHorizontalSpacing w:val="102"/>
  <w:drawingGridVerticalSpacing w:val="30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F011F"/>
    <w:rsid w:val="00D74136"/>
    <w:rsid w:val="00D85D0A"/>
    <w:rsid w:val="00E2266B"/>
    <w:rsid w:val="00E675F8"/>
    <w:rsid w:val="010822FE"/>
    <w:rsid w:val="012131D6"/>
    <w:rsid w:val="01601779"/>
    <w:rsid w:val="017A3299"/>
    <w:rsid w:val="01F045A8"/>
    <w:rsid w:val="0200584D"/>
    <w:rsid w:val="021449BE"/>
    <w:rsid w:val="022455F3"/>
    <w:rsid w:val="022C7487"/>
    <w:rsid w:val="02591F29"/>
    <w:rsid w:val="02612C1D"/>
    <w:rsid w:val="026E7D75"/>
    <w:rsid w:val="028404BE"/>
    <w:rsid w:val="035C1A20"/>
    <w:rsid w:val="03671CF1"/>
    <w:rsid w:val="03AB3253"/>
    <w:rsid w:val="03AD33DD"/>
    <w:rsid w:val="03FE3A82"/>
    <w:rsid w:val="0421607B"/>
    <w:rsid w:val="04D74665"/>
    <w:rsid w:val="05025CAC"/>
    <w:rsid w:val="057C10BF"/>
    <w:rsid w:val="057D6E26"/>
    <w:rsid w:val="05836F6F"/>
    <w:rsid w:val="05961630"/>
    <w:rsid w:val="05EC05A4"/>
    <w:rsid w:val="06483F6C"/>
    <w:rsid w:val="066B426F"/>
    <w:rsid w:val="06736F16"/>
    <w:rsid w:val="068C7E3E"/>
    <w:rsid w:val="06A55173"/>
    <w:rsid w:val="06E005BB"/>
    <w:rsid w:val="06F212E7"/>
    <w:rsid w:val="06FC037B"/>
    <w:rsid w:val="070233AB"/>
    <w:rsid w:val="0715211E"/>
    <w:rsid w:val="07161387"/>
    <w:rsid w:val="071C3C46"/>
    <w:rsid w:val="072E3BD5"/>
    <w:rsid w:val="07351C86"/>
    <w:rsid w:val="074B3566"/>
    <w:rsid w:val="07854C80"/>
    <w:rsid w:val="07A9688D"/>
    <w:rsid w:val="07DF162B"/>
    <w:rsid w:val="084F6E99"/>
    <w:rsid w:val="087C7E1D"/>
    <w:rsid w:val="08DF6807"/>
    <w:rsid w:val="090264EF"/>
    <w:rsid w:val="09142841"/>
    <w:rsid w:val="092F2D6D"/>
    <w:rsid w:val="097D5EF3"/>
    <w:rsid w:val="097F7089"/>
    <w:rsid w:val="09B1103B"/>
    <w:rsid w:val="0A670E89"/>
    <w:rsid w:val="0A7E31AD"/>
    <w:rsid w:val="0AB0303C"/>
    <w:rsid w:val="0AE95327"/>
    <w:rsid w:val="0B1110AB"/>
    <w:rsid w:val="0B7C515D"/>
    <w:rsid w:val="0B80452A"/>
    <w:rsid w:val="0B931709"/>
    <w:rsid w:val="0BE3086E"/>
    <w:rsid w:val="0BF80FE7"/>
    <w:rsid w:val="0C294109"/>
    <w:rsid w:val="0C667CFE"/>
    <w:rsid w:val="0C7406FB"/>
    <w:rsid w:val="0C7C6AAD"/>
    <w:rsid w:val="0CD53751"/>
    <w:rsid w:val="0D160776"/>
    <w:rsid w:val="0DBE5C6C"/>
    <w:rsid w:val="0DCF139D"/>
    <w:rsid w:val="0DE71829"/>
    <w:rsid w:val="0E065D6F"/>
    <w:rsid w:val="0E571930"/>
    <w:rsid w:val="0E9236C5"/>
    <w:rsid w:val="0EB06E29"/>
    <w:rsid w:val="0EDE6CDA"/>
    <w:rsid w:val="0EE452BF"/>
    <w:rsid w:val="0F302D62"/>
    <w:rsid w:val="0F4B5D30"/>
    <w:rsid w:val="0FF31386"/>
    <w:rsid w:val="10DF36FD"/>
    <w:rsid w:val="110B33B2"/>
    <w:rsid w:val="112B2128"/>
    <w:rsid w:val="115D0487"/>
    <w:rsid w:val="116B7A6B"/>
    <w:rsid w:val="118E2314"/>
    <w:rsid w:val="119645DA"/>
    <w:rsid w:val="11DC7305"/>
    <w:rsid w:val="12415E80"/>
    <w:rsid w:val="124C15AD"/>
    <w:rsid w:val="126B0BBB"/>
    <w:rsid w:val="12A207B7"/>
    <w:rsid w:val="12C162AC"/>
    <w:rsid w:val="12C33379"/>
    <w:rsid w:val="134C3869"/>
    <w:rsid w:val="13707630"/>
    <w:rsid w:val="138D3824"/>
    <w:rsid w:val="1399518F"/>
    <w:rsid w:val="13B51F3A"/>
    <w:rsid w:val="13BF79AC"/>
    <w:rsid w:val="13F00E6C"/>
    <w:rsid w:val="13F359D1"/>
    <w:rsid w:val="142C435E"/>
    <w:rsid w:val="14A77643"/>
    <w:rsid w:val="14A8294F"/>
    <w:rsid w:val="14CA4701"/>
    <w:rsid w:val="15067F09"/>
    <w:rsid w:val="15253B2F"/>
    <w:rsid w:val="16107EE7"/>
    <w:rsid w:val="16571703"/>
    <w:rsid w:val="169C7425"/>
    <w:rsid w:val="16A410A3"/>
    <w:rsid w:val="173366F4"/>
    <w:rsid w:val="17470884"/>
    <w:rsid w:val="17631C66"/>
    <w:rsid w:val="176C5CDB"/>
    <w:rsid w:val="176D6F3D"/>
    <w:rsid w:val="177B2620"/>
    <w:rsid w:val="17AB4121"/>
    <w:rsid w:val="17D172C6"/>
    <w:rsid w:val="17E6399E"/>
    <w:rsid w:val="17FA6CF6"/>
    <w:rsid w:val="18594836"/>
    <w:rsid w:val="1877597F"/>
    <w:rsid w:val="19AB2608"/>
    <w:rsid w:val="19AD00A4"/>
    <w:rsid w:val="1A245BBC"/>
    <w:rsid w:val="1A4C3616"/>
    <w:rsid w:val="1AC77420"/>
    <w:rsid w:val="1AE519BA"/>
    <w:rsid w:val="1B06239A"/>
    <w:rsid w:val="1BC31FC4"/>
    <w:rsid w:val="1BD36969"/>
    <w:rsid w:val="1BED78EE"/>
    <w:rsid w:val="1C6167F7"/>
    <w:rsid w:val="1C755B97"/>
    <w:rsid w:val="1C930617"/>
    <w:rsid w:val="1CEE06E5"/>
    <w:rsid w:val="1CEE77E7"/>
    <w:rsid w:val="1D087007"/>
    <w:rsid w:val="1D162335"/>
    <w:rsid w:val="1D33228F"/>
    <w:rsid w:val="1D5948EB"/>
    <w:rsid w:val="1DDD20F9"/>
    <w:rsid w:val="1E4C5304"/>
    <w:rsid w:val="1E762E3B"/>
    <w:rsid w:val="1E797C63"/>
    <w:rsid w:val="1EDB1E31"/>
    <w:rsid w:val="1EF10BE9"/>
    <w:rsid w:val="1F1B67E8"/>
    <w:rsid w:val="1F2A09B2"/>
    <w:rsid w:val="1F952B0E"/>
    <w:rsid w:val="1FA12CA5"/>
    <w:rsid w:val="1FA531A3"/>
    <w:rsid w:val="1FD51D22"/>
    <w:rsid w:val="206937E5"/>
    <w:rsid w:val="20D0110E"/>
    <w:rsid w:val="20D8120E"/>
    <w:rsid w:val="20FF5E32"/>
    <w:rsid w:val="213E0BAC"/>
    <w:rsid w:val="21436352"/>
    <w:rsid w:val="21536D90"/>
    <w:rsid w:val="215D6DFC"/>
    <w:rsid w:val="21A00951"/>
    <w:rsid w:val="21AD0E25"/>
    <w:rsid w:val="22015138"/>
    <w:rsid w:val="221D78D8"/>
    <w:rsid w:val="2281006A"/>
    <w:rsid w:val="228111D8"/>
    <w:rsid w:val="22A31343"/>
    <w:rsid w:val="22A75332"/>
    <w:rsid w:val="22AA1E47"/>
    <w:rsid w:val="22FD7234"/>
    <w:rsid w:val="232A324D"/>
    <w:rsid w:val="23306E6A"/>
    <w:rsid w:val="23322EFB"/>
    <w:rsid w:val="23511562"/>
    <w:rsid w:val="238E3C3E"/>
    <w:rsid w:val="23A35C7A"/>
    <w:rsid w:val="23A454D1"/>
    <w:rsid w:val="23DA5D84"/>
    <w:rsid w:val="23F66277"/>
    <w:rsid w:val="2431290A"/>
    <w:rsid w:val="24C92BA0"/>
    <w:rsid w:val="24F2480E"/>
    <w:rsid w:val="24F65C3B"/>
    <w:rsid w:val="252C44FD"/>
    <w:rsid w:val="254E55C4"/>
    <w:rsid w:val="255C2A38"/>
    <w:rsid w:val="255E780A"/>
    <w:rsid w:val="25D30E22"/>
    <w:rsid w:val="2682721B"/>
    <w:rsid w:val="268C0049"/>
    <w:rsid w:val="26ED5F71"/>
    <w:rsid w:val="2765146E"/>
    <w:rsid w:val="27951124"/>
    <w:rsid w:val="27B61B68"/>
    <w:rsid w:val="28060C67"/>
    <w:rsid w:val="2886019C"/>
    <w:rsid w:val="28875245"/>
    <w:rsid w:val="28A006D8"/>
    <w:rsid w:val="28BB0C77"/>
    <w:rsid w:val="28BD6B4A"/>
    <w:rsid w:val="293142F4"/>
    <w:rsid w:val="29504E22"/>
    <w:rsid w:val="295D4270"/>
    <w:rsid w:val="295F6720"/>
    <w:rsid w:val="29610142"/>
    <w:rsid w:val="29637EFB"/>
    <w:rsid w:val="29927AAE"/>
    <w:rsid w:val="29F90DFD"/>
    <w:rsid w:val="2A451281"/>
    <w:rsid w:val="2A4E53FD"/>
    <w:rsid w:val="2A6E5BFF"/>
    <w:rsid w:val="2A9474F2"/>
    <w:rsid w:val="2AFF4221"/>
    <w:rsid w:val="2B410AC5"/>
    <w:rsid w:val="2B7067EB"/>
    <w:rsid w:val="2B720F56"/>
    <w:rsid w:val="2B757AF7"/>
    <w:rsid w:val="2BA002AB"/>
    <w:rsid w:val="2C1F5698"/>
    <w:rsid w:val="2C66233B"/>
    <w:rsid w:val="2C8757B7"/>
    <w:rsid w:val="2CA63A54"/>
    <w:rsid w:val="2CD23530"/>
    <w:rsid w:val="2D1419FD"/>
    <w:rsid w:val="2D28545D"/>
    <w:rsid w:val="2DB113B1"/>
    <w:rsid w:val="2DB53735"/>
    <w:rsid w:val="2DD500A2"/>
    <w:rsid w:val="2E1C555D"/>
    <w:rsid w:val="2E517D06"/>
    <w:rsid w:val="2E5A699E"/>
    <w:rsid w:val="2E797E63"/>
    <w:rsid w:val="2E963079"/>
    <w:rsid w:val="2EA25195"/>
    <w:rsid w:val="2F0422D6"/>
    <w:rsid w:val="2F2D30A4"/>
    <w:rsid w:val="2F4D1573"/>
    <w:rsid w:val="2FCB2451"/>
    <w:rsid w:val="300E4ECB"/>
    <w:rsid w:val="30136EA3"/>
    <w:rsid w:val="30BA454A"/>
    <w:rsid w:val="30DA617A"/>
    <w:rsid w:val="315B4987"/>
    <w:rsid w:val="31957A00"/>
    <w:rsid w:val="31960F38"/>
    <w:rsid w:val="31AB76DA"/>
    <w:rsid w:val="31D125BF"/>
    <w:rsid w:val="31E70909"/>
    <w:rsid w:val="32076B48"/>
    <w:rsid w:val="32360B4F"/>
    <w:rsid w:val="32F5500B"/>
    <w:rsid w:val="32F56B7B"/>
    <w:rsid w:val="33141E20"/>
    <w:rsid w:val="333B10FB"/>
    <w:rsid w:val="338F511C"/>
    <w:rsid w:val="33A72A12"/>
    <w:rsid w:val="33B50AC7"/>
    <w:rsid w:val="344B43A9"/>
    <w:rsid w:val="34986BA1"/>
    <w:rsid w:val="34BC070A"/>
    <w:rsid w:val="34C9108D"/>
    <w:rsid w:val="34F41D69"/>
    <w:rsid w:val="35323C0D"/>
    <w:rsid w:val="353C0F9A"/>
    <w:rsid w:val="35A85539"/>
    <w:rsid w:val="35C604AA"/>
    <w:rsid w:val="36032194"/>
    <w:rsid w:val="364879F6"/>
    <w:rsid w:val="366427DA"/>
    <w:rsid w:val="36AC413E"/>
    <w:rsid w:val="36AF5A4D"/>
    <w:rsid w:val="36BF54D7"/>
    <w:rsid w:val="36F7319B"/>
    <w:rsid w:val="372A48AB"/>
    <w:rsid w:val="37422AE8"/>
    <w:rsid w:val="37770600"/>
    <w:rsid w:val="379F0957"/>
    <w:rsid w:val="38107112"/>
    <w:rsid w:val="38443FA3"/>
    <w:rsid w:val="394332D7"/>
    <w:rsid w:val="396730B8"/>
    <w:rsid w:val="39CC002B"/>
    <w:rsid w:val="39D33342"/>
    <w:rsid w:val="3A317290"/>
    <w:rsid w:val="3A551BF0"/>
    <w:rsid w:val="3AB4066C"/>
    <w:rsid w:val="3AEA4845"/>
    <w:rsid w:val="3B215A48"/>
    <w:rsid w:val="3B663D46"/>
    <w:rsid w:val="3B912A51"/>
    <w:rsid w:val="3BAA33F9"/>
    <w:rsid w:val="3C21142B"/>
    <w:rsid w:val="3C21455C"/>
    <w:rsid w:val="3C493DF6"/>
    <w:rsid w:val="3C9B4AD3"/>
    <w:rsid w:val="3CA7136E"/>
    <w:rsid w:val="3CAF6E0A"/>
    <w:rsid w:val="3CBA6C46"/>
    <w:rsid w:val="3CCF773D"/>
    <w:rsid w:val="3D530566"/>
    <w:rsid w:val="3E023B45"/>
    <w:rsid w:val="3E0F00FB"/>
    <w:rsid w:val="3E13721E"/>
    <w:rsid w:val="3E2F4C21"/>
    <w:rsid w:val="3E801060"/>
    <w:rsid w:val="3E873846"/>
    <w:rsid w:val="3ED60513"/>
    <w:rsid w:val="3EF235F3"/>
    <w:rsid w:val="3F0322D0"/>
    <w:rsid w:val="3F1571B1"/>
    <w:rsid w:val="3F20463D"/>
    <w:rsid w:val="3F2B3D0D"/>
    <w:rsid w:val="3F302CA4"/>
    <w:rsid w:val="3FAB2559"/>
    <w:rsid w:val="3FFB3C81"/>
    <w:rsid w:val="404256BB"/>
    <w:rsid w:val="40503C08"/>
    <w:rsid w:val="408A16BB"/>
    <w:rsid w:val="40974F7F"/>
    <w:rsid w:val="40AC1968"/>
    <w:rsid w:val="40AF24A5"/>
    <w:rsid w:val="410D1D1D"/>
    <w:rsid w:val="411075C0"/>
    <w:rsid w:val="41D13654"/>
    <w:rsid w:val="425409AC"/>
    <w:rsid w:val="42674472"/>
    <w:rsid w:val="42684803"/>
    <w:rsid w:val="42D8281B"/>
    <w:rsid w:val="42FF2D60"/>
    <w:rsid w:val="430F48D3"/>
    <w:rsid w:val="43CB00CA"/>
    <w:rsid w:val="440B45CD"/>
    <w:rsid w:val="44192191"/>
    <w:rsid w:val="442215DF"/>
    <w:rsid w:val="44230A25"/>
    <w:rsid w:val="44B109D9"/>
    <w:rsid w:val="4525574B"/>
    <w:rsid w:val="456A0166"/>
    <w:rsid w:val="45A656F6"/>
    <w:rsid w:val="45C15E0A"/>
    <w:rsid w:val="45E968DF"/>
    <w:rsid w:val="45F469C9"/>
    <w:rsid w:val="461A0AC7"/>
    <w:rsid w:val="46466734"/>
    <w:rsid w:val="46545C9F"/>
    <w:rsid w:val="4658201D"/>
    <w:rsid w:val="466F0834"/>
    <w:rsid w:val="467E7DD2"/>
    <w:rsid w:val="469F4C61"/>
    <w:rsid w:val="46A05E9C"/>
    <w:rsid w:val="46B04929"/>
    <w:rsid w:val="46ED293D"/>
    <w:rsid w:val="47702FEB"/>
    <w:rsid w:val="4809172D"/>
    <w:rsid w:val="48222B9D"/>
    <w:rsid w:val="48405778"/>
    <w:rsid w:val="4851052F"/>
    <w:rsid w:val="486E05EC"/>
    <w:rsid w:val="4881680F"/>
    <w:rsid w:val="48B101D7"/>
    <w:rsid w:val="48E4039D"/>
    <w:rsid w:val="48F31823"/>
    <w:rsid w:val="48F57222"/>
    <w:rsid w:val="49963D58"/>
    <w:rsid w:val="49AE547E"/>
    <w:rsid w:val="49B334D4"/>
    <w:rsid w:val="4A00259B"/>
    <w:rsid w:val="4A206189"/>
    <w:rsid w:val="4AA44A41"/>
    <w:rsid w:val="4AD83AF8"/>
    <w:rsid w:val="4AFE6EF1"/>
    <w:rsid w:val="4B35794A"/>
    <w:rsid w:val="4B361C1C"/>
    <w:rsid w:val="4B57103D"/>
    <w:rsid w:val="4BB92086"/>
    <w:rsid w:val="4C9F6D5E"/>
    <w:rsid w:val="4CA3485F"/>
    <w:rsid w:val="4CDC059A"/>
    <w:rsid w:val="4CF00101"/>
    <w:rsid w:val="4D99207A"/>
    <w:rsid w:val="4D9B58FB"/>
    <w:rsid w:val="4DAF5EC9"/>
    <w:rsid w:val="4DB00A1F"/>
    <w:rsid w:val="4DF566F9"/>
    <w:rsid w:val="4DFD517A"/>
    <w:rsid w:val="4E155C86"/>
    <w:rsid w:val="4E4C7242"/>
    <w:rsid w:val="4E6F4715"/>
    <w:rsid w:val="4EC01E7F"/>
    <w:rsid w:val="4EF86AB1"/>
    <w:rsid w:val="4EFF6755"/>
    <w:rsid w:val="4F2D5111"/>
    <w:rsid w:val="4F6750A4"/>
    <w:rsid w:val="4F9639B9"/>
    <w:rsid w:val="501251DB"/>
    <w:rsid w:val="501F2F46"/>
    <w:rsid w:val="504A0936"/>
    <w:rsid w:val="50683AAB"/>
    <w:rsid w:val="508152A6"/>
    <w:rsid w:val="50AC70E8"/>
    <w:rsid w:val="50C97BDC"/>
    <w:rsid w:val="50E22842"/>
    <w:rsid w:val="5168768B"/>
    <w:rsid w:val="51A13A36"/>
    <w:rsid w:val="51B949E5"/>
    <w:rsid w:val="51DD2232"/>
    <w:rsid w:val="527E65CA"/>
    <w:rsid w:val="52C74624"/>
    <w:rsid w:val="52DB6A04"/>
    <w:rsid w:val="52E341D6"/>
    <w:rsid w:val="52EA56EC"/>
    <w:rsid w:val="539175EF"/>
    <w:rsid w:val="539C65EA"/>
    <w:rsid w:val="53A621CF"/>
    <w:rsid w:val="53C54EE8"/>
    <w:rsid w:val="53C77BFB"/>
    <w:rsid w:val="53F047C4"/>
    <w:rsid w:val="53F121E9"/>
    <w:rsid w:val="546B21B7"/>
    <w:rsid w:val="547B3D0A"/>
    <w:rsid w:val="548C4B85"/>
    <w:rsid w:val="552860F2"/>
    <w:rsid w:val="55387B11"/>
    <w:rsid w:val="554E6D9E"/>
    <w:rsid w:val="55680FA5"/>
    <w:rsid w:val="558F31A9"/>
    <w:rsid w:val="55E57B3C"/>
    <w:rsid w:val="566D7D41"/>
    <w:rsid w:val="566E2DC4"/>
    <w:rsid w:val="567E2ED3"/>
    <w:rsid w:val="56814C10"/>
    <w:rsid w:val="568155ED"/>
    <w:rsid w:val="56A30303"/>
    <w:rsid w:val="56AF463E"/>
    <w:rsid w:val="56F12F27"/>
    <w:rsid w:val="572C38B2"/>
    <w:rsid w:val="57564570"/>
    <w:rsid w:val="58567DF8"/>
    <w:rsid w:val="587277C5"/>
    <w:rsid w:val="59175B83"/>
    <w:rsid w:val="591918FB"/>
    <w:rsid w:val="59563657"/>
    <w:rsid w:val="599A59C2"/>
    <w:rsid w:val="59C366CA"/>
    <w:rsid w:val="59C953D6"/>
    <w:rsid w:val="59EE66CA"/>
    <w:rsid w:val="5A2340E2"/>
    <w:rsid w:val="5A4D5044"/>
    <w:rsid w:val="5A5B7D96"/>
    <w:rsid w:val="5A6F040B"/>
    <w:rsid w:val="5A8A6DEF"/>
    <w:rsid w:val="5B0138E6"/>
    <w:rsid w:val="5B404C85"/>
    <w:rsid w:val="5B7F0D98"/>
    <w:rsid w:val="5BD0781D"/>
    <w:rsid w:val="5C6E3BE9"/>
    <w:rsid w:val="5C78712E"/>
    <w:rsid w:val="5CDF6ABC"/>
    <w:rsid w:val="5CFD26A2"/>
    <w:rsid w:val="5D0B075C"/>
    <w:rsid w:val="5D3B323F"/>
    <w:rsid w:val="5D441FE1"/>
    <w:rsid w:val="5D507BC0"/>
    <w:rsid w:val="5D51407B"/>
    <w:rsid w:val="5DEA3CCF"/>
    <w:rsid w:val="5DEB5C74"/>
    <w:rsid w:val="5E0F19EB"/>
    <w:rsid w:val="5EC026E8"/>
    <w:rsid w:val="5ED37913"/>
    <w:rsid w:val="5F0300FB"/>
    <w:rsid w:val="5F771700"/>
    <w:rsid w:val="5FA35FFF"/>
    <w:rsid w:val="608874FE"/>
    <w:rsid w:val="61064A6E"/>
    <w:rsid w:val="611250E7"/>
    <w:rsid w:val="61383239"/>
    <w:rsid w:val="617A463F"/>
    <w:rsid w:val="61945071"/>
    <w:rsid w:val="61960EA3"/>
    <w:rsid w:val="61C65EC8"/>
    <w:rsid w:val="61C825BB"/>
    <w:rsid w:val="61DD2EFD"/>
    <w:rsid w:val="61FB658D"/>
    <w:rsid w:val="623936F7"/>
    <w:rsid w:val="62523CB3"/>
    <w:rsid w:val="6255771D"/>
    <w:rsid w:val="625930F8"/>
    <w:rsid w:val="625E1794"/>
    <w:rsid w:val="628A71CB"/>
    <w:rsid w:val="62926EEB"/>
    <w:rsid w:val="62A45A5F"/>
    <w:rsid w:val="63056F79"/>
    <w:rsid w:val="637362EC"/>
    <w:rsid w:val="63C45621"/>
    <w:rsid w:val="63CD72DA"/>
    <w:rsid w:val="65016C28"/>
    <w:rsid w:val="65241959"/>
    <w:rsid w:val="653B007C"/>
    <w:rsid w:val="65471CC9"/>
    <w:rsid w:val="65E1555E"/>
    <w:rsid w:val="66B8148D"/>
    <w:rsid w:val="66EE2614"/>
    <w:rsid w:val="66F50452"/>
    <w:rsid w:val="673327D3"/>
    <w:rsid w:val="67400D43"/>
    <w:rsid w:val="67511E29"/>
    <w:rsid w:val="67636D12"/>
    <w:rsid w:val="676A3FBF"/>
    <w:rsid w:val="67B25CD3"/>
    <w:rsid w:val="68356236"/>
    <w:rsid w:val="683D6FEB"/>
    <w:rsid w:val="68977500"/>
    <w:rsid w:val="689E07F5"/>
    <w:rsid w:val="68D225E3"/>
    <w:rsid w:val="69187DB7"/>
    <w:rsid w:val="697B3E63"/>
    <w:rsid w:val="6A632988"/>
    <w:rsid w:val="6B3C073D"/>
    <w:rsid w:val="6C35513F"/>
    <w:rsid w:val="6C3B7374"/>
    <w:rsid w:val="6C755B0F"/>
    <w:rsid w:val="6C834772"/>
    <w:rsid w:val="6CBD09FF"/>
    <w:rsid w:val="6D1B45E0"/>
    <w:rsid w:val="6D3740B3"/>
    <w:rsid w:val="6D3D520A"/>
    <w:rsid w:val="6DC8182B"/>
    <w:rsid w:val="6DE94787"/>
    <w:rsid w:val="6E3F2193"/>
    <w:rsid w:val="6EA65FD4"/>
    <w:rsid w:val="6F0963E2"/>
    <w:rsid w:val="6F680576"/>
    <w:rsid w:val="6F6A4455"/>
    <w:rsid w:val="6FEA46DC"/>
    <w:rsid w:val="70156EF8"/>
    <w:rsid w:val="70564F21"/>
    <w:rsid w:val="707C0943"/>
    <w:rsid w:val="70917E2D"/>
    <w:rsid w:val="70D860EF"/>
    <w:rsid w:val="70EE0590"/>
    <w:rsid w:val="7125066D"/>
    <w:rsid w:val="712D48F3"/>
    <w:rsid w:val="714C47C6"/>
    <w:rsid w:val="714F46F4"/>
    <w:rsid w:val="716D0A4A"/>
    <w:rsid w:val="717570F9"/>
    <w:rsid w:val="71B072C1"/>
    <w:rsid w:val="71CF13D0"/>
    <w:rsid w:val="72177F1B"/>
    <w:rsid w:val="72216ACC"/>
    <w:rsid w:val="72384276"/>
    <w:rsid w:val="72833075"/>
    <w:rsid w:val="728814CA"/>
    <w:rsid w:val="728E44BC"/>
    <w:rsid w:val="73021ED7"/>
    <w:rsid w:val="733965E3"/>
    <w:rsid w:val="736B00F7"/>
    <w:rsid w:val="73C21962"/>
    <w:rsid w:val="73D11C9A"/>
    <w:rsid w:val="74017B82"/>
    <w:rsid w:val="7451590C"/>
    <w:rsid w:val="746230B3"/>
    <w:rsid w:val="74772DF3"/>
    <w:rsid w:val="75092065"/>
    <w:rsid w:val="75DD6F92"/>
    <w:rsid w:val="7627434C"/>
    <w:rsid w:val="767237F7"/>
    <w:rsid w:val="768A144E"/>
    <w:rsid w:val="76C24070"/>
    <w:rsid w:val="77457EAC"/>
    <w:rsid w:val="77590819"/>
    <w:rsid w:val="784A4131"/>
    <w:rsid w:val="789C0F14"/>
    <w:rsid w:val="789D2FEE"/>
    <w:rsid w:val="78D80A64"/>
    <w:rsid w:val="791A015F"/>
    <w:rsid w:val="795E20F1"/>
    <w:rsid w:val="79685F40"/>
    <w:rsid w:val="796B144E"/>
    <w:rsid w:val="79896E8B"/>
    <w:rsid w:val="799A0DC6"/>
    <w:rsid w:val="7A5124B0"/>
    <w:rsid w:val="7AC74FB8"/>
    <w:rsid w:val="7B4E42C0"/>
    <w:rsid w:val="7BA60CB5"/>
    <w:rsid w:val="7BDA3CC2"/>
    <w:rsid w:val="7C361FB8"/>
    <w:rsid w:val="7C7E4246"/>
    <w:rsid w:val="7CB250D4"/>
    <w:rsid w:val="7CE5524A"/>
    <w:rsid w:val="7CF558A4"/>
    <w:rsid w:val="7D6D3F21"/>
    <w:rsid w:val="7DC03573"/>
    <w:rsid w:val="7DC5213A"/>
    <w:rsid w:val="7DE21E4A"/>
    <w:rsid w:val="7E1A61E6"/>
    <w:rsid w:val="7E2D0A52"/>
    <w:rsid w:val="7E30317C"/>
    <w:rsid w:val="7E4836E9"/>
    <w:rsid w:val="7E576B72"/>
    <w:rsid w:val="7E6E3C9D"/>
    <w:rsid w:val="7E6E750B"/>
    <w:rsid w:val="7E7111B3"/>
    <w:rsid w:val="7EA16879"/>
    <w:rsid w:val="7F0F4D3D"/>
    <w:rsid w:val="7FC06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18"/>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styleId="9">
    <w:name w:val="page number"/>
    <w:basedOn w:val="7"/>
    <w:qFormat/>
    <w:uiPriority w:val="0"/>
  </w:style>
  <w:style w:type="character" w:customStyle="1" w:styleId="10">
    <w:name w:val="NormalCharacter"/>
    <w:semiHidden/>
    <w:qFormat/>
    <w:uiPriority w:val="0"/>
  </w:style>
  <w:style w:type="paragraph" w:customStyle="1" w:styleId="11">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2020-07-20T02:48:00Z</dcterms:created>
  <dc:creator>Administrator</dc:creator>
  <cp:lastModifiedBy>孔竞兰</cp:lastModifiedBy>
  <cp:lastPrinted>2021-11-29T07:05:00Z</cp:lastPrinted>
  <dcterms:modified xsi:type="dcterms:W3CDTF">2021-12-03T07:35:17Z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E5FCE393691E468581676809A471E272</vt:lpwstr>
  </property>
</Properties>
</file>