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32"/>
          <w:szCs w:val="32"/>
        </w:rPr>
      </w:pPr>
      <w:bookmarkStart w:id="29" w:name="_GoBack"/>
      <w:bookmarkEnd w:id="29"/>
      <w:bookmarkStart w:id="0" w:name="_Toc4203"/>
      <w:bookmarkStart w:id="1" w:name="_Toc300298637"/>
      <w:bookmarkStart w:id="2" w:name="_Toc296330806"/>
      <w:r>
        <w:rPr>
          <w:rFonts w:hint="eastAsia"/>
          <w:sz w:val="32"/>
          <w:szCs w:val="32"/>
        </w:rPr>
        <w:t>附件：</w:t>
      </w:r>
    </w:p>
    <w:p/>
    <w:p/>
    <w:p>
      <w:pPr>
        <w:jc w:val="center"/>
        <w:rPr>
          <w:rFonts w:asciiTheme="majorEastAsia" w:hAnsiTheme="majorEastAsia" w:eastAsiaTheme="majorEastAsia" w:cstheme="majorEastAsia"/>
          <w:b/>
          <w:bCs/>
          <w:sz w:val="72"/>
          <w:szCs w:val="72"/>
        </w:rPr>
      </w:pP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吉林省预拌砂浆发展规划（征求意见稿）</w:t>
      </w:r>
    </w:p>
    <w:p>
      <w:pPr>
        <w:jc w:val="center"/>
        <w:rPr>
          <w:rFonts w:asciiTheme="majorEastAsia" w:hAnsiTheme="majorEastAsia" w:eastAsiaTheme="majorEastAsia" w:cstheme="majorEastAsia"/>
          <w:b/>
          <w:bCs/>
          <w:sz w:val="72"/>
          <w:szCs w:val="7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仿宋" w:hAnsi="仿宋" w:eastAsia="仿宋" w:cs="仿宋"/>
          <w:b/>
          <w:bCs/>
          <w:sz w:val="36"/>
          <w:szCs w:val="36"/>
        </w:rPr>
      </w:pPr>
      <w:r>
        <w:rPr>
          <w:rFonts w:hint="eastAsia" w:ascii="仿宋" w:hAnsi="仿宋" w:eastAsia="仿宋" w:cs="仿宋"/>
          <w:b/>
          <w:bCs/>
          <w:sz w:val="36"/>
          <w:szCs w:val="36"/>
        </w:rPr>
        <w:t>吉林省住房和城乡建设厅编制</w:t>
      </w:r>
    </w:p>
    <w:p>
      <w:pPr>
        <w:jc w:val="center"/>
        <w:rPr>
          <w:rFonts w:ascii="仿宋" w:hAnsi="仿宋" w:eastAsia="仿宋" w:cs="仿宋"/>
          <w:b/>
          <w:bCs/>
          <w:sz w:val="48"/>
          <w:szCs w:val="48"/>
        </w:rPr>
      </w:pPr>
      <w:r>
        <w:rPr>
          <w:rFonts w:hint="eastAsia" w:ascii="仿宋" w:hAnsi="仿宋" w:eastAsia="仿宋" w:cs="仿宋"/>
          <w:b/>
          <w:bCs/>
          <w:sz w:val="36"/>
          <w:szCs w:val="36"/>
        </w:rPr>
        <w:t>2021年10月</w:t>
      </w:r>
    </w:p>
    <w:p>
      <w:pPr>
        <w:jc w:val="center"/>
        <w:rPr>
          <w:rFonts w:ascii="仿宋" w:hAnsi="仿宋" w:eastAsia="仿宋" w:cs="仿宋"/>
          <w:b/>
          <w:bCs/>
          <w:sz w:val="48"/>
          <w:szCs w:val="48"/>
        </w:rPr>
      </w:pPr>
    </w:p>
    <w:p>
      <w:pPr>
        <w:jc w:val="center"/>
      </w:pPr>
    </w:p>
    <w:p>
      <w:pPr>
        <w:jc w:val="center"/>
      </w:pPr>
    </w:p>
    <w:p>
      <w:pPr>
        <w:jc w:val="center"/>
        <w:sectPr>
          <w:headerReference r:id="rId3" w:type="default"/>
          <w:footerReference r:id="rId4" w:type="default"/>
          <w:pgSz w:w="11906" w:h="16838"/>
          <w:pgMar w:top="1797" w:right="1440" w:bottom="1797" w:left="1440" w:header="851" w:footer="992" w:gutter="0"/>
          <w:cols w:space="720" w:num="1"/>
          <w:docGrid w:linePitch="312" w:charSpace="0"/>
        </w:sectPr>
      </w:pPr>
    </w:p>
    <w:p>
      <w:pPr>
        <w:jc w:val="center"/>
        <w:rPr>
          <w:b/>
          <w:bCs/>
          <w:sz w:val="44"/>
          <w:szCs w:val="44"/>
        </w:rPr>
      </w:pPr>
      <w:r>
        <w:rPr>
          <w:b/>
          <w:bCs/>
          <w:sz w:val="44"/>
          <w:szCs w:val="44"/>
        </w:rPr>
        <w:t>目录</w:t>
      </w:r>
    </w:p>
    <w:p>
      <w:pPr>
        <w:rPr>
          <w:sz w:val="32"/>
          <w:szCs w:val="32"/>
        </w:rPr>
      </w:pPr>
      <w:bookmarkStart w:id="3" w:name="_Toc299949244"/>
    </w:p>
    <w:p>
      <w:pPr>
        <w:rPr>
          <w:sz w:val="32"/>
          <w:szCs w:val="32"/>
        </w:rPr>
      </w:pPr>
      <w:r>
        <w:rPr>
          <w:sz w:val="32"/>
          <w:szCs w:val="32"/>
        </w:rPr>
        <w:fldChar w:fldCharType="begin"/>
      </w:r>
      <w:r>
        <w:rPr>
          <w:sz w:val="32"/>
          <w:szCs w:val="32"/>
        </w:rPr>
        <w:instrText xml:space="preserve"> TOC \o "1-2" \h \z \u </w:instrText>
      </w:r>
      <w:r>
        <w:rPr>
          <w:sz w:val="32"/>
          <w:szCs w:val="32"/>
        </w:rPr>
        <w:fldChar w:fldCharType="separate"/>
      </w:r>
      <w:r>
        <w:fldChar w:fldCharType="begin"/>
      </w:r>
      <w:r>
        <w:instrText xml:space="preserve"> HYPERLINK \l "_Toc4203" </w:instrText>
      </w:r>
      <w:r>
        <w:fldChar w:fldCharType="separate"/>
      </w:r>
      <w:r>
        <w:rPr>
          <w:rFonts w:hint="eastAsia" w:asciiTheme="majorEastAsia" w:hAnsiTheme="majorEastAsia" w:eastAsiaTheme="majorEastAsia" w:cstheme="majorEastAsia"/>
          <w:b/>
          <w:bCs/>
          <w:sz w:val="32"/>
          <w:szCs w:val="32"/>
        </w:rPr>
        <w:t>前言</w:t>
      </w:r>
      <w:r>
        <w:rPr>
          <w:rFonts w:hint="eastAsia" w:asciiTheme="majorEastAsia" w:hAnsiTheme="majorEastAsia" w:eastAsiaTheme="majorEastAsia" w:cstheme="majorEastAsia"/>
          <w:b/>
          <w:bCs/>
          <w:sz w:val="32"/>
          <w:szCs w:val="32"/>
        </w:rPr>
        <w:tab/>
      </w:r>
      <w:r>
        <w:rPr>
          <w:rFonts w:hint="eastAsia" w:asciiTheme="majorEastAsia" w:hAnsiTheme="majorEastAsia" w:eastAsiaTheme="majorEastAsia" w:cstheme="majorEastAsia"/>
          <w:b/>
          <w:bCs/>
          <w:sz w:val="32"/>
          <w:szCs w:val="32"/>
        </w:rPr>
        <w:fldChar w:fldCharType="end"/>
      </w:r>
    </w:p>
    <w:p>
      <w:pPr>
        <w:rPr>
          <w:sz w:val="32"/>
          <w:szCs w:val="32"/>
        </w:rPr>
      </w:pPr>
      <w:r>
        <w:fldChar w:fldCharType="begin"/>
      </w:r>
      <w:r>
        <w:instrText xml:space="preserve"> HYPERLINK \l "_Toc22078" </w:instrText>
      </w:r>
      <w:r>
        <w:fldChar w:fldCharType="separate"/>
      </w:r>
      <w:r>
        <w:rPr>
          <w:rFonts w:hint="eastAsia" w:asciiTheme="majorEastAsia" w:hAnsiTheme="majorEastAsia" w:eastAsiaTheme="majorEastAsia" w:cstheme="majorEastAsia"/>
          <w:b/>
          <w:bCs/>
          <w:sz w:val="32"/>
          <w:szCs w:val="32"/>
        </w:rPr>
        <w:t>第一章发展基本情况</w:t>
      </w:r>
      <w:r>
        <w:rPr>
          <w:sz w:val="32"/>
          <w:szCs w:val="32"/>
        </w:rPr>
        <w:tab/>
      </w:r>
      <w:r>
        <w:rPr>
          <w:sz w:val="32"/>
          <w:szCs w:val="32"/>
        </w:rPr>
        <w:fldChar w:fldCharType="end"/>
      </w:r>
    </w:p>
    <w:p>
      <w:pPr>
        <w:rPr>
          <w:sz w:val="32"/>
          <w:szCs w:val="32"/>
        </w:rPr>
      </w:pPr>
      <w:r>
        <w:fldChar w:fldCharType="begin"/>
      </w:r>
      <w:r>
        <w:instrText xml:space="preserve"> HYPERLINK \l "_Toc27455" </w:instrText>
      </w:r>
      <w:r>
        <w:fldChar w:fldCharType="separate"/>
      </w:r>
      <w:r>
        <w:rPr>
          <w:sz w:val="32"/>
          <w:szCs w:val="32"/>
        </w:rPr>
        <w:t>1.1 吉林省</w:t>
      </w:r>
      <w:r>
        <w:rPr>
          <w:rFonts w:hint="eastAsia"/>
          <w:sz w:val="32"/>
          <w:szCs w:val="32"/>
        </w:rPr>
        <w:t>建筑</w:t>
      </w:r>
      <w:r>
        <w:rPr>
          <w:sz w:val="32"/>
          <w:szCs w:val="32"/>
        </w:rPr>
        <w:t>业发展情况</w:t>
      </w:r>
      <w:r>
        <w:rPr>
          <w:sz w:val="32"/>
          <w:szCs w:val="32"/>
        </w:rPr>
        <w:tab/>
      </w:r>
      <w:r>
        <w:rPr>
          <w:sz w:val="32"/>
          <w:szCs w:val="32"/>
        </w:rPr>
        <w:fldChar w:fldCharType="end"/>
      </w:r>
    </w:p>
    <w:p>
      <w:pPr>
        <w:rPr>
          <w:sz w:val="32"/>
          <w:szCs w:val="32"/>
        </w:rPr>
      </w:pPr>
      <w:r>
        <w:fldChar w:fldCharType="begin"/>
      </w:r>
      <w:r>
        <w:instrText xml:space="preserve"> HYPERLINK \l "_Toc3390" </w:instrText>
      </w:r>
      <w:r>
        <w:fldChar w:fldCharType="separate"/>
      </w:r>
      <w:r>
        <w:rPr>
          <w:sz w:val="32"/>
          <w:szCs w:val="32"/>
        </w:rPr>
        <w:t>1.2 吉林省砂浆行业发展现状</w:t>
      </w:r>
      <w:r>
        <w:rPr>
          <w:sz w:val="32"/>
          <w:szCs w:val="32"/>
        </w:rPr>
        <w:tab/>
      </w:r>
      <w:r>
        <w:rPr>
          <w:sz w:val="32"/>
          <w:szCs w:val="32"/>
        </w:rPr>
        <w:fldChar w:fldCharType="end"/>
      </w:r>
    </w:p>
    <w:p>
      <w:pPr>
        <w:rPr>
          <w:sz w:val="32"/>
          <w:szCs w:val="32"/>
        </w:rPr>
      </w:pPr>
      <w:r>
        <w:fldChar w:fldCharType="begin"/>
      </w:r>
      <w:r>
        <w:instrText xml:space="preserve"> HYPERLINK \l "_Toc1774" </w:instrText>
      </w:r>
      <w:r>
        <w:fldChar w:fldCharType="separate"/>
      </w:r>
      <w:r>
        <w:rPr>
          <w:sz w:val="32"/>
          <w:szCs w:val="32"/>
        </w:rPr>
        <w:t>1.3 生产能力现状</w:t>
      </w:r>
      <w:r>
        <w:rPr>
          <w:sz w:val="32"/>
          <w:szCs w:val="32"/>
        </w:rPr>
        <w:fldChar w:fldCharType="end"/>
      </w:r>
    </w:p>
    <w:p>
      <w:pPr>
        <w:rPr>
          <w:sz w:val="32"/>
          <w:szCs w:val="32"/>
        </w:rPr>
      </w:pPr>
      <w:r>
        <w:fldChar w:fldCharType="begin"/>
      </w:r>
      <w:r>
        <w:instrText xml:space="preserve"> HYPERLINK \l "_Toc12999" </w:instrText>
      </w:r>
      <w:r>
        <w:fldChar w:fldCharType="separate"/>
      </w:r>
      <w:r>
        <w:rPr>
          <w:sz w:val="32"/>
          <w:szCs w:val="32"/>
        </w:rPr>
        <w:t>1.4 存在的主要矛盾和问题</w:t>
      </w:r>
      <w:r>
        <w:rPr>
          <w:sz w:val="32"/>
          <w:szCs w:val="32"/>
        </w:rPr>
        <w:fldChar w:fldCharType="end"/>
      </w:r>
    </w:p>
    <w:p>
      <w:pPr>
        <w:rPr>
          <w:sz w:val="32"/>
          <w:szCs w:val="32"/>
        </w:rPr>
      </w:pPr>
      <w:r>
        <w:fldChar w:fldCharType="begin"/>
      </w:r>
      <w:r>
        <w:instrText xml:space="preserve"> HYPERLINK \l "_Toc31922" </w:instrText>
      </w:r>
      <w:r>
        <w:fldChar w:fldCharType="separate"/>
      </w:r>
      <w:r>
        <w:rPr>
          <w:rFonts w:hint="eastAsia" w:asciiTheme="majorEastAsia" w:hAnsiTheme="majorEastAsia" w:eastAsiaTheme="majorEastAsia" w:cstheme="majorEastAsia"/>
          <w:b/>
          <w:bCs/>
          <w:sz w:val="32"/>
          <w:szCs w:val="32"/>
        </w:rPr>
        <w:t>第二章 发展环境分析</w:t>
      </w:r>
      <w:r>
        <w:rPr>
          <w:sz w:val="32"/>
          <w:szCs w:val="32"/>
        </w:rPr>
        <w:tab/>
      </w:r>
      <w:r>
        <w:rPr>
          <w:sz w:val="32"/>
          <w:szCs w:val="32"/>
        </w:rPr>
        <w:fldChar w:fldCharType="end"/>
      </w:r>
    </w:p>
    <w:p>
      <w:pPr>
        <w:rPr>
          <w:sz w:val="32"/>
          <w:szCs w:val="32"/>
        </w:rPr>
      </w:pPr>
      <w:r>
        <w:fldChar w:fldCharType="begin"/>
      </w:r>
      <w:r>
        <w:instrText xml:space="preserve"> HYPERLINK \l "_Toc11772" </w:instrText>
      </w:r>
      <w:r>
        <w:fldChar w:fldCharType="separate"/>
      </w:r>
      <w:r>
        <w:rPr>
          <w:sz w:val="32"/>
          <w:szCs w:val="32"/>
        </w:rPr>
        <w:t>2.1 宏观环境</w:t>
      </w:r>
      <w:r>
        <w:rPr>
          <w:sz w:val="32"/>
          <w:szCs w:val="32"/>
        </w:rPr>
        <w:tab/>
      </w:r>
      <w:r>
        <w:rPr>
          <w:sz w:val="32"/>
          <w:szCs w:val="32"/>
        </w:rPr>
        <w:fldChar w:fldCharType="end"/>
      </w:r>
    </w:p>
    <w:p>
      <w:pPr>
        <w:rPr>
          <w:sz w:val="32"/>
          <w:szCs w:val="32"/>
        </w:rPr>
      </w:pPr>
      <w:r>
        <w:fldChar w:fldCharType="begin"/>
      </w:r>
      <w:r>
        <w:instrText xml:space="preserve"> HYPERLINK \l "_Toc18095" </w:instrText>
      </w:r>
      <w:r>
        <w:fldChar w:fldCharType="separate"/>
      </w:r>
      <w:r>
        <w:rPr>
          <w:sz w:val="32"/>
          <w:szCs w:val="32"/>
        </w:rPr>
        <w:t>2.2 政策环境</w:t>
      </w:r>
      <w:r>
        <w:rPr>
          <w:sz w:val="32"/>
          <w:szCs w:val="32"/>
        </w:rPr>
        <w:tab/>
      </w:r>
      <w:r>
        <w:rPr>
          <w:sz w:val="32"/>
          <w:szCs w:val="32"/>
        </w:rPr>
        <w:fldChar w:fldCharType="end"/>
      </w:r>
    </w:p>
    <w:p>
      <w:pPr>
        <w:rPr>
          <w:sz w:val="32"/>
          <w:szCs w:val="32"/>
        </w:rPr>
      </w:pPr>
      <w:r>
        <w:fldChar w:fldCharType="begin"/>
      </w:r>
      <w:r>
        <w:instrText xml:space="preserve"> HYPERLINK \l "_Toc10709" </w:instrText>
      </w:r>
      <w:r>
        <w:fldChar w:fldCharType="separate"/>
      </w:r>
      <w:r>
        <w:rPr>
          <w:sz w:val="32"/>
          <w:szCs w:val="32"/>
        </w:rPr>
        <w:t>2.3 社会环境</w:t>
      </w:r>
      <w:r>
        <w:rPr>
          <w:sz w:val="32"/>
          <w:szCs w:val="32"/>
        </w:rPr>
        <w:tab/>
      </w:r>
      <w:r>
        <w:rPr>
          <w:sz w:val="32"/>
          <w:szCs w:val="32"/>
        </w:rPr>
        <w:fldChar w:fldCharType="end"/>
      </w:r>
    </w:p>
    <w:p>
      <w:pPr>
        <w:rPr>
          <w:sz w:val="32"/>
          <w:szCs w:val="32"/>
        </w:rPr>
      </w:pPr>
      <w:r>
        <w:fldChar w:fldCharType="begin"/>
      </w:r>
      <w:r>
        <w:instrText xml:space="preserve"> HYPERLINK \l "_Toc8147" </w:instrText>
      </w:r>
      <w:r>
        <w:fldChar w:fldCharType="separate"/>
      </w:r>
      <w:r>
        <w:rPr>
          <w:rFonts w:hint="eastAsia" w:asciiTheme="majorEastAsia" w:hAnsiTheme="majorEastAsia" w:eastAsiaTheme="majorEastAsia" w:cstheme="majorEastAsia"/>
          <w:b/>
          <w:bCs/>
          <w:sz w:val="32"/>
          <w:szCs w:val="32"/>
        </w:rPr>
        <w:t>第三章 指导思想、主要原则、总体目标</w:t>
      </w:r>
      <w:r>
        <w:rPr>
          <w:sz w:val="32"/>
          <w:szCs w:val="32"/>
        </w:rPr>
        <w:tab/>
      </w:r>
      <w:r>
        <w:rPr>
          <w:sz w:val="32"/>
          <w:szCs w:val="32"/>
        </w:rPr>
        <w:fldChar w:fldCharType="end"/>
      </w:r>
    </w:p>
    <w:p>
      <w:pPr>
        <w:rPr>
          <w:sz w:val="32"/>
          <w:szCs w:val="32"/>
        </w:rPr>
      </w:pPr>
      <w:r>
        <w:fldChar w:fldCharType="begin"/>
      </w:r>
      <w:r>
        <w:instrText xml:space="preserve"> HYPERLINK \l "_Toc10746" </w:instrText>
      </w:r>
      <w:r>
        <w:fldChar w:fldCharType="separate"/>
      </w:r>
      <w:r>
        <w:rPr>
          <w:sz w:val="32"/>
          <w:szCs w:val="32"/>
        </w:rPr>
        <w:t>3.1指导思想</w:t>
      </w:r>
      <w:r>
        <w:rPr>
          <w:sz w:val="32"/>
          <w:szCs w:val="32"/>
        </w:rPr>
        <w:tab/>
      </w:r>
      <w:r>
        <w:rPr>
          <w:sz w:val="32"/>
          <w:szCs w:val="32"/>
        </w:rPr>
        <w:fldChar w:fldCharType="end"/>
      </w:r>
    </w:p>
    <w:p>
      <w:pPr>
        <w:rPr>
          <w:sz w:val="32"/>
          <w:szCs w:val="32"/>
        </w:rPr>
      </w:pPr>
      <w:r>
        <w:fldChar w:fldCharType="begin"/>
      </w:r>
      <w:r>
        <w:instrText xml:space="preserve"> HYPERLINK \l "_Toc10196" </w:instrText>
      </w:r>
      <w:r>
        <w:fldChar w:fldCharType="separate"/>
      </w:r>
      <w:r>
        <w:rPr>
          <w:sz w:val="32"/>
          <w:szCs w:val="32"/>
        </w:rPr>
        <w:t>3.2</w:t>
      </w:r>
      <w:r>
        <w:rPr>
          <w:rFonts w:hint="eastAsia"/>
          <w:sz w:val="32"/>
          <w:szCs w:val="32"/>
        </w:rPr>
        <w:t>需求预测</w:t>
      </w:r>
      <w:r>
        <w:rPr>
          <w:sz w:val="32"/>
          <w:szCs w:val="32"/>
        </w:rPr>
        <w:tab/>
      </w:r>
      <w:r>
        <w:rPr>
          <w:sz w:val="32"/>
          <w:szCs w:val="32"/>
        </w:rPr>
        <w:fldChar w:fldCharType="end"/>
      </w:r>
    </w:p>
    <w:p>
      <w:pPr>
        <w:rPr>
          <w:sz w:val="32"/>
          <w:szCs w:val="32"/>
        </w:rPr>
      </w:pPr>
      <w:r>
        <w:fldChar w:fldCharType="begin"/>
      </w:r>
      <w:r>
        <w:instrText xml:space="preserve"> HYPERLINK \l "_Toc30538" </w:instrText>
      </w:r>
      <w:r>
        <w:fldChar w:fldCharType="separate"/>
      </w:r>
      <w:r>
        <w:rPr>
          <w:sz w:val="32"/>
          <w:szCs w:val="32"/>
        </w:rPr>
        <w:t>3.3</w:t>
      </w:r>
      <w:r>
        <w:rPr>
          <w:rFonts w:hint="eastAsia"/>
          <w:sz w:val="32"/>
          <w:szCs w:val="32"/>
        </w:rPr>
        <w:t>砂浆产能与砂浆应用工作目标</w:t>
      </w:r>
      <w:r>
        <w:rPr>
          <w:sz w:val="32"/>
          <w:szCs w:val="32"/>
        </w:rPr>
        <w:tab/>
      </w:r>
      <w:r>
        <w:rPr>
          <w:sz w:val="32"/>
          <w:szCs w:val="32"/>
        </w:rPr>
        <w:fldChar w:fldCharType="end"/>
      </w:r>
    </w:p>
    <w:p>
      <w:pPr>
        <w:rPr>
          <w:sz w:val="32"/>
          <w:szCs w:val="32"/>
        </w:rPr>
      </w:pPr>
      <w:r>
        <w:fldChar w:fldCharType="begin"/>
      </w:r>
      <w:r>
        <w:instrText xml:space="preserve"> HYPERLINK \l "_Toc5132" </w:instrText>
      </w:r>
      <w:r>
        <w:fldChar w:fldCharType="separate"/>
      </w:r>
      <w:r>
        <w:rPr>
          <w:sz w:val="32"/>
          <w:szCs w:val="32"/>
        </w:rPr>
        <w:t>3.4发展目标</w:t>
      </w:r>
      <w:r>
        <w:rPr>
          <w:sz w:val="32"/>
          <w:szCs w:val="32"/>
        </w:rPr>
        <w:tab/>
      </w:r>
      <w:r>
        <w:rPr>
          <w:sz w:val="32"/>
          <w:szCs w:val="32"/>
        </w:rPr>
        <w:fldChar w:fldCharType="end"/>
      </w:r>
    </w:p>
    <w:p>
      <w:pPr>
        <w:rPr>
          <w:sz w:val="32"/>
          <w:szCs w:val="32"/>
        </w:rPr>
      </w:pPr>
      <w:r>
        <w:fldChar w:fldCharType="begin"/>
      </w:r>
      <w:r>
        <w:instrText xml:space="preserve"> HYPERLINK \l "_Toc10694" </w:instrText>
      </w:r>
      <w:r>
        <w:fldChar w:fldCharType="separate"/>
      </w:r>
      <w:r>
        <w:rPr>
          <w:rFonts w:hint="eastAsia" w:asciiTheme="majorEastAsia" w:hAnsiTheme="majorEastAsia" w:eastAsiaTheme="majorEastAsia" w:cstheme="majorEastAsia"/>
          <w:b/>
          <w:bCs/>
          <w:sz w:val="32"/>
          <w:szCs w:val="32"/>
        </w:rPr>
        <w:t>第四章 规划布局</w:t>
      </w:r>
      <w:r>
        <w:rPr>
          <w:sz w:val="32"/>
          <w:szCs w:val="32"/>
        </w:rPr>
        <w:tab/>
      </w:r>
      <w:r>
        <w:rPr>
          <w:sz w:val="32"/>
          <w:szCs w:val="32"/>
        </w:rPr>
        <w:fldChar w:fldCharType="end"/>
      </w:r>
    </w:p>
    <w:p>
      <w:pPr>
        <w:rPr>
          <w:sz w:val="32"/>
          <w:szCs w:val="32"/>
        </w:rPr>
      </w:pPr>
      <w:r>
        <w:fldChar w:fldCharType="begin"/>
      </w:r>
      <w:r>
        <w:instrText xml:space="preserve"> HYPERLINK \l "_Toc15427" </w:instrText>
      </w:r>
      <w:r>
        <w:fldChar w:fldCharType="separate"/>
      </w:r>
      <w:r>
        <w:rPr>
          <w:sz w:val="32"/>
          <w:szCs w:val="32"/>
        </w:rPr>
        <w:t>4.1基本原则</w:t>
      </w:r>
      <w:r>
        <w:rPr>
          <w:sz w:val="32"/>
          <w:szCs w:val="32"/>
        </w:rPr>
        <w:tab/>
      </w:r>
      <w:r>
        <w:rPr>
          <w:sz w:val="32"/>
          <w:szCs w:val="32"/>
        </w:rPr>
        <w:fldChar w:fldCharType="end"/>
      </w:r>
    </w:p>
    <w:p>
      <w:pPr>
        <w:rPr>
          <w:sz w:val="32"/>
          <w:szCs w:val="32"/>
        </w:rPr>
      </w:pPr>
      <w:r>
        <w:fldChar w:fldCharType="begin"/>
      </w:r>
      <w:r>
        <w:instrText xml:space="preserve"> HYPERLINK \l "_Toc704" </w:instrText>
      </w:r>
      <w:r>
        <w:fldChar w:fldCharType="separate"/>
      </w:r>
      <w:r>
        <w:rPr>
          <w:sz w:val="32"/>
          <w:szCs w:val="32"/>
        </w:rPr>
        <w:t>4.2规划布局</w:t>
      </w:r>
      <w:r>
        <w:rPr>
          <w:sz w:val="32"/>
          <w:szCs w:val="32"/>
        </w:rPr>
        <w:tab/>
      </w:r>
      <w:r>
        <w:rPr>
          <w:sz w:val="32"/>
          <w:szCs w:val="32"/>
        </w:rPr>
        <w:fldChar w:fldCharType="end"/>
      </w:r>
    </w:p>
    <w:p>
      <w:pPr>
        <w:rPr>
          <w:sz w:val="32"/>
          <w:szCs w:val="32"/>
        </w:rPr>
      </w:pPr>
      <w:r>
        <w:fldChar w:fldCharType="begin"/>
      </w:r>
      <w:r>
        <w:instrText xml:space="preserve"> HYPERLINK \l "_Toc2719" </w:instrText>
      </w:r>
      <w:r>
        <w:fldChar w:fldCharType="separate"/>
      </w:r>
      <w:r>
        <w:rPr>
          <w:rFonts w:hint="eastAsia" w:asciiTheme="majorEastAsia" w:hAnsiTheme="majorEastAsia" w:eastAsiaTheme="majorEastAsia" w:cstheme="majorEastAsia"/>
          <w:b/>
          <w:bCs/>
          <w:sz w:val="32"/>
          <w:szCs w:val="32"/>
        </w:rPr>
        <w:t>第五章 保障措施</w:t>
      </w:r>
      <w:r>
        <w:rPr>
          <w:sz w:val="32"/>
          <w:szCs w:val="32"/>
        </w:rPr>
        <w:tab/>
      </w:r>
      <w:r>
        <w:rPr>
          <w:sz w:val="32"/>
          <w:szCs w:val="32"/>
        </w:rPr>
        <w:fldChar w:fldCharType="end"/>
      </w:r>
    </w:p>
    <w:p>
      <w:pPr>
        <w:rPr>
          <w:sz w:val="32"/>
          <w:szCs w:val="32"/>
        </w:rPr>
        <w:sectPr>
          <w:headerReference r:id="rId5" w:type="default"/>
          <w:pgSz w:w="11906" w:h="16838"/>
          <w:pgMar w:top="1797" w:right="1440" w:bottom="1797" w:left="1440" w:header="851" w:footer="992" w:gutter="0"/>
          <w:cols w:space="720" w:num="1"/>
          <w:docGrid w:linePitch="312" w:charSpace="0"/>
        </w:sectPr>
      </w:pPr>
      <w:r>
        <w:fldChar w:fldCharType="begin"/>
      </w:r>
      <w:r>
        <w:instrText xml:space="preserve"> HYPERLINK \l "_Toc8561" </w:instrText>
      </w:r>
      <w:r>
        <w:fldChar w:fldCharType="separate"/>
      </w:r>
      <w:r>
        <w:rPr>
          <w:sz w:val="32"/>
          <w:szCs w:val="32"/>
        </w:rPr>
        <w:t>5.1保障措施</w:t>
      </w:r>
      <w:r>
        <w:rPr>
          <w:sz w:val="32"/>
          <w:szCs w:val="32"/>
        </w:rPr>
        <w:tab/>
      </w:r>
      <w:r>
        <w:rPr>
          <w:sz w:val="32"/>
          <w:szCs w:val="32"/>
        </w:rPr>
        <w:fldChar w:fldCharType="end"/>
      </w:r>
    </w:p>
    <w:p>
      <w:pPr>
        <w:jc w:val="center"/>
      </w:pPr>
      <w:r>
        <w:rPr>
          <w:sz w:val="32"/>
          <w:szCs w:val="32"/>
        </w:rPr>
        <w:fldChar w:fldCharType="end"/>
      </w:r>
      <w:bookmarkEnd w:id="3"/>
      <w:r>
        <w:rPr>
          <w:rFonts w:hint="eastAsia"/>
        </w:rPr>
        <w:tab/>
      </w:r>
    </w:p>
    <w:p>
      <w:pPr>
        <w:jc w:val="center"/>
        <w:rPr>
          <w:sz w:val="30"/>
          <w:szCs w:val="30"/>
        </w:rPr>
      </w:pPr>
      <w:r>
        <w:rPr>
          <w:rFonts w:hint="eastAsia"/>
          <w:b/>
          <w:bCs/>
          <w:sz w:val="44"/>
          <w:szCs w:val="44"/>
        </w:rPr>
        <w:t>前言</w:t>
      </w:r>
      <w:bookmarkEnd w:id="0"/>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pPr>
      <w:r>
        <w:rPr>
          <w:rFonts w:hint="eastAsia" w:ascii="仿宋" w:hAnsi="仿宋" w:eastAsia="仿宋" w:cs="仿宋"/>
          <w:sz w:val="30"/>
          <w:szCs w:val="30"/>
        </w:rPr>
        <w:t>预拌砂浆是随着建筑业技术进步发展起来的新型建筑材料，是建筑行业发展到一定水平的产物。对促进节能减排、保证工程质量、提高施工水平有着重要意义。</w:t>
      </w:r>
    </w:p>
    <w:p>
      <w:pPr>
        <w:spacing w:line="480" w:lineRule="exact"/>
        <w:rPr>
          <w:rFonts w:ascii="仿宋" w:hAnsi="仿宋" w:eastAsia="仿宋" w:cs="仿宋"/>
          <w:sz w:val="30"/>
          <w:szCs w:val="30"/>
        </w:rPr>
      </w:pPr>
      <w:r>
        <w:rPr>
          <w:rFonts w:hint="eastAsia" w:ascii="仿宋" w:hAnsi="仿宋" w:eastAsia="仿宋" w:cs="仿宋"/>
          <w:sz w:val="30"/>
          <w:szCs w:val="30"/>
        </w:rPr>
        <w:t>为节约资源，保护环境，改善城市空气质量，加强城市建设施工管理，提高建设工程工效和质量，结合我省实际情况，推动我省预拌砂浆的科学发展，确保我省建筑业的优质发展制定本规划。</w:t>
      </w:r>
    </w:p>
    <w:p>
      <w:pPr>
        <w:spacing w:line="480" w:lineRule="exact"/>
        <w:rPr>
          <w:rFonts w:ascii="仿宋" w:hAnsi="仿宋" w:eastAsia="仿宋" w:cs="仿宋"/>
          <w:sz w:val="30"/>
          <w:szCs w:val="30"/>
        </w:rPr>
      </w:pPr>
      <w:r>
        <w:rPr>
          <w:rFonts w:hint="eastAsia" w:ascii="仿宋" w:hAnsi="仿宋" w:eastAsia="仿宋" w:cs="仿宋"/>
          <w:sz w:val="30"/>
          <w:szCs w:val="30"/>
        </w:rPr>
        <w:t>规划期限为2021年至2025年。</w:t>
      </w: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sectPr>
          <w:headerReference r:id="rId6" w:type="default"/>
          <w:pgSz w:w="11906" w:h="16838"/>
          <w:pgMar w:top="1797" w:right="1440" w:bottom="1797" w:left="1440" w:header="851" w:footer="992" w:gutter="0"/>
          <w:cols w:space="720" w:num="1"/>
          <w:docGrid w:linePitch="312" w:charSpace="0"/>
        </w:sectPr>
      </w:pPr>
    </w:p>
    <w:p>
      <w:pPr>
        <w:spacing w:line="480" w:lineRule="exact"/>
        <w:jc w:val="center"/>
        <w:rPr>
          <w:rFonts w:asciiTheme="majorEastAsia" w:hAnsiTheme="majorEastAsia" w:eastAsiaTheme="majorEastAsia" w:cstheme="majorEastAsia"/>
          <w:b/>
          <w:bCs/>
          <w:sz w:val="44"/>
          <w:szCs w:val="44"/>
        </w:rPr>
      </w:pPr>
      <w:bookmarkStart w:id="4" w:name="_Toc22078"/>
      <w:r>
        <w:rPr>
          <w:rFonts w:hint="eastAsia" w:asciiTheme="majorEastAsia" w:hAnsiTheme="majorEastAsia" w:eastAsiaTheme="majorEastAsia" w:cstheme="majorEastAsia"/>
          <w:b/>
          <w:bCs/>
          <w:sz w:val="44"/>
          <w:szCs w:val="44"/>
        </w:rPr>
        <w:t>第一章 发展基本情况</w:t>
      </w:r>
      <w:bookmarkEnd w:id="4"/>
    </w:p>
    <w:p>
      <w:pPr>
        <w:spacing w:line="480" w:lineRule="exact"/>
        <w:rPr>
          <w:rFonts w:ascii="仿宋" w:hAnsi="仿宋" w:eastAsia="仿宋" w:cs="仿宋"/>
          <w:sz w:val="30"/>
          <w:szCs w:val="30"/>
        </w:rPr>
      </w:pPr>
      <w:bookmarkStart w:id="5" w:name="_Toc27455"/>
    </w:p>
    <w:p>
      <w:pPr>
        <w:spacing w:line="480" w:lineRule="exact"/>
        <w:rPr>
          <w:rFonts w:ascii="仿宋" w:hAnsi="仿宋" w:eastAsia="仿宋" w:cs="仿宋"/>
          <w:b/>
          <w:bCs/>
          <w:sz w:val="30"/>
          <w:szCs w:val="30"/>
        </w:rPr>
      </w:pPr>
      <w:r>
        <w:rPr>
          <w:rFonts w:hint="eastAsia" w:ascii="仿宋" w:hAnsi="仿宋" w:eastAsia="仿宋" w:cs="仿宋"/>
          <w:b/>
          <w:bCs/>
          <w:sz w:val="30"/>
          <w:szCs w:val="30"/>
        </w:rPr>
        <w:t>1.吉林省建筑业发展情况</w:t>
      </w:r>
      <w:bookmarkEnd w:id="5"/>
    </w:p>
    <w:p>
      <w:pPr>
        <w:spacing w:line="480" w:lineRule="exact"/>
        <w:rPr>
          <w:rFonts w:ascii="仿宋" w:hAnsi="仿宋" w:eastAsia="仿宋" w:cs="仿宋"/>
          <w:b/>
          <w:bCs/>
          <w:sz w:val="30"/>
          <w:szCs w:val="30"/>
        </w:rPr>
      </w:pPr>
      <w:r>
        <w:rPr>
          <w:rFonts w:hint="eastAsia" w:ascii="仿宋" w:hAnsi="仿宋" w:eastAsia="仿宋" w:cs="仿宋"/>
          <w:b/>
          <w:bCs/>
          <w:sz w:val="30"/>
          <w:szCs w:val="30"/>
        </w:rPr>
        <w:t>1.1.1  我省建筑业发展情况</w:t>
      </w:r>
    </w:p>
    <w:p>
      <w:pPr>
        <w:spacing w:line="480" w:lineRule="exact"/>
        <w:rPr>
          <w:rFonts w:ascii="仿宋" w:hAnsi="仿宋" w:eastAsia="仿宋" w:cs="仿宋"/>
          <w:sz w:val="30"/>
          <w:szCs w:val="30"/>
        </w:rPr>
      </w:pPr>
      <w:r>
        <w:rPr>
          <w:rFonts w:hint="eastAsia" w:ascii="仿宋" w:hAnsi="仿宋" w:eastAsia="仿宋" w:cs="仿宋"/>
          <w:sz w:val="30"/>
          <w:szCs w:val="30"/>
        </w:rPr>
        <w:t>2021年1月25日在吉林省第十三届人民代表大会第四次会议提出，吉林省“十三五”规划主要目标如期实现。根据《中共吉林省委关于制定吉林省国民经济和社会发展第十四个五年规划和二〇三五年远景目标的建议》，省政府编制了《吉林省国民经济和社会发展第十四个五年规划和2035年远景目标纲要（草案）》（以下简称草案），（草案）明确提出了“十四五”时期我省经济社会发展的指导思想和遵循原则，对标2030年实现全面振兴全方位振兴、2035年基本实现社会主义现代化，综合考虑外部环境条件和自身发展基础，提出“十四五”时期发展目标：到2025年，高质量发展取得突破性进展，民生改善取得标志性成果，风清气正昂扬向上的振兴氛围实现根本性提升，确保全面振兴全方位振兴率先实现突破，为全面实现新一轮东北振兴战略目标奠定坚实基础。（草案）围绕实现“十四五”发展目标和2035年远景目标，提出了一系列重点任务，其中包括巩固绿色发展优势，加强生态环境治理，加快建设美丽吉林；实施新基建“761”工程，完善现代基础设施体系，提升振兴发展支撑能力。</w:t>
      </w:r>
    </w:p>
    <w:p>
      <w:pPr>
        <w:spacing w:line="480" w:lineRule="exact"/>
        <w:rPr>
          <w:rFonts w:ascii="仿宋" w:hAnsi="仿宋" w:eastAsia="仿宋" w:cs="仿宋"/>
          <w:sz w:val="30"/>
          <w:szCs w:val="30"/>
        </w:rPr>
      </w:pPr>
      <w:r>
        <w:rPr>
          <w:rFonts w:hint="eastAsia" w:ascii="仿宋" w:hAnsi="仿宋" w:eastAsia="仿宋" w:cs="仿宋"/>
          <w:sz w:val="30"/>
          <w:szCs w:val="30"/>
        </w:rPr>
        <w:t>根据2019年吉林省国民经济和社会发展统计公报，全年全省全部工业增加值3347.82亿元，比上年增长3.1%。规模以上工业增加值增长3.1%。　　</w:t>
      </w:r>
    </w:p>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2019年建筑业主要工业产品产量及其增长速度</w:t>
      </w:r>
    </w:p>
    <w:p>
      <w:pPr>
        <w:spacing w:line="480" w:lineRule="exact"/>
        <w:rPr>
          <w:rFonts w:ascii="仿宋" w:hAnsi="仿宋" w:eastAsia="仿宋" w:cs="仿宋"/>
          <w:sz w:val="30"/>
          <w:szCs w:val="30"/>
        </w:rPr>
      </w:pPr>
    </w:p>
    <w:tbl>
      <w:tblPr>
        <w:tblStyle w:val="32"/>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9"/>
        <w:gridCol w:w="1365"/>
        <w:gridCol w:w="1395"/>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659" w:type="dxa"/>
            <w:tcMar>
              <w:top w:w="0" w:type="dxa"/>
              <w:left w:w="108" w:type="dxa"/>
              <w:bottom w:w="0" w:type="dxa"/>
              <w:right w:w="108" w:type="dxa"/>
            </w:tcMar>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产品名称</w:t>
            </w:r>
          </w:p>
        </w:tc>
        <w:tc>
          <w:tcPr>
            <w:tcW w:w="1365" w:type="dxa"/>
            <w:tcMar>
              <w:top w:w="0" w:type="dxa"/>
              <w:left w:w="108" w:type="dxa"/>
              <w:bottom w:w="0" w:type="dxa"/>
              <w:right w:w="108" w:type="dxa"/>
            </w:tcMar>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单位</w:t>
            </w:r>
          </w:p>
        </w:tc>
        <w:tc>
          <w:tcPr>
            <w:tcW w:w="1395" w:type="dxa"/>
            <w:tcMar>
              <w:top w:w="0" w:type="dxa"/>
              <w:left w:w="108" w:type="dxa"/>
              <w:bottom w:w="0" w:type="dxa"/>
              <w:right w:w="108" w:type="dxa"/>
            </w:tcMar>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产量</w:t>
            </w:r>
          </w:p>
        </w:tc>
        <w:tc>
          <w:tcPr>
            <w:tcW w:w="2227" w:type="dxa"/>
            <w:tcMar>
              <w:top w:w="0" w:type="dxa"/>
              <w:left w:w="108" w:type="dxa"/>
              <w:bottom w:w="0" w:type="dxa"/>
              <w:right w:w="108" w:type="dxa"/>
            </w:tcMar>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比上年增长（%）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659" w:type="dxa"/>
            <w:tcMar>
              <w:top w:w="0" w:type="dxa"/>
              <w:left w:w="108" w:type="dxa"/>
              <w:bottom w:w="0" w:type="dxa"/>
              <w:right w:w="108" w:type="dxa"/>
            </w:tcMar>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水泥</w:t>
            </w:r>
          </w:p>
        </w:tc>
        <w:tc>
          <w:tcPr>
            <w:tcW w:w="1365" w:type="dxa"/>
            <w:tcMar>
              <w:top w:w="0" w:type="dxa"/>
              <w:left w:w="108" w:type="dxa"/>
              <w:bottom w:w="0" w:type="dxa"/>
              <w:right w:w="108" w:type="dxa"/>
            </w:tcMar>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万吨</w:t>
            </w:r>
          </w:p>
        </w:tc>
        <w:tc>
          <w:tcPr>
            <w:tcW w:w="1395" w:type="dxa"/>
            <w:tcMar>
              <w:top w:w="0" w:type="dxa"/>
              <w:left w:w="108" w:type="dxa"/>
              <w:bottom w:w="0" w:type="dxa"/>
              <w:right w:w="108" w:type="dxa"/>
            </w:tcMar>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1801.84</w:t>
            </w:r>
          </w:p>
        </w:tc>
        <w:tc>
          <w:tcPr>
            <w:tcW w:w="2227" w:type="dxa"/>
            <w:tcMar>
              <w:top w:w="0" w:type="dxa"/>
              <w:left w:w="108" w:type="dxa"/>
              <w:bottom w:w="0" w:type="dxa"/>
              <w:right w:w="108" w:type="dxa"/>
            </w:tcMar>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659" w:type="dxa"/>
            <w:tcMar>
              <w:top w:w="0" w:type="dxa"/>
              <w:left w:w="108" w:type="dxa"/>
              <w:bottom w:w="0" w:type="dxa"/>
              <w:right w:w="108" w:type="dxa"/>
            </w:tcMar>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钢材</w:t>
            </w:r>
          </w:p>
        </w:tc>
        <w:tc>
          <w:tcPr>
            <w:tcW w:w="1365" w:type="dxa"/>
            <w:tcMar>
              <w:top w:w="0" w:type="dxa"/>
              <w:left w:w="108" w:type="dxa"/>
              <w:bottom w:w="0" w:type="dxa"/>
              <w:right w:w="108" w:type="dxa"/>
            </w:tcMar>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万吨</w:t>
            </w:r>
          </w:p>
        </w:tc>
        <w:tc>
          <w:tcPr>
            <w:tcW w:w="1395" w:type="dxa"/>
            <w:tcMar>
              <w:top w:w="0" w:type="dxa"/>
              <w:left w:w="108" w:type="dxa"/>
              <w:bottom w:w="0" w:type="dxa"/>
              <w:right w:w="108" w:type="dxa"/>
            </w:tcMar>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1544.24</w:t>
            </w:r>
          </w:p>
        </w:tc>
        <w:tc>
          <w:tcPr>
            <w:tcW w:w="2227" w:type="dxa"/>
            <w:tcMar>
              <w:top w:w="0" w:type="dxa"/>
              <w:left w:w="108" w:type="dxa"/>
              <w:bottom w:w="0" w:type="dxa"/>
              <w:right w:w="108" w:type="dxa"/>
            </w:tcMar>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19.1</w:t>
            </w:r>
          </w:p>
        </w:tc>
      </w:tr>
    </w:tbl>
    <w:p>
      <w:pPr>
        <w:spacing w:line="480" w:lineRule="exact"/>
        <w:rPr>
          <w:rFonts w:ascii="仿宋" w:hAnsi="仿宋" w:eastAsia="仿宋" w:cs="仿宋"/>
          <w:sz w:val="30"/>
          <w:szCs w:val="30"/>
        </w:rPr>
      </w:pPr>
      <w:r>
        <w:rPr>
          <w:rFonts w:hint="eastAsia" w:ascii="仿宋" w:hAnsi="仿宋" w:eastAsia="仿宋" w:cs="仿宋"/>
          <w:sz w:val="30"/>
          <w:szCs w:val="30"/>
        </w:rPr>
        <w:t>　　全年全省全社会建筑业增加值808.63亿元，比上年增长0.5%。全省具有资质等级的总承包和专业承包建筑业企业完成总产值1863.10亿元，下降14.7%。　　</w:t>
      </w:r>
    </w:p>
    <w:p>
      <w:pPr>
        <w:spacing w:line="480" w:lineRule="exact"/>
        <w:rPr>
          <w:rFonts w:ascii="仿宋" w:hAnsi="仿宋" w:eastAsia="仿宋" w:cs="仿宋"/>
          <w:sz w:val="30"/>
          <w:szCs w:val="30"/>
        </w:rPr>
      </w:pPr>
      <w:r>
        <w:rPr>
          <w:rFonts w:hint="eastAsia" w:ascii="仿宋" w:hAnsi="仿宋" w:eastAsia="仿宋" w:cs="仿宋"/>
          <w:sz w:val="30"/>
          <w:szCs w:val="30"/>
        </w:rPr>
        <w:t>全年全省房地产开发投资比上年增长11.9%，其中住宅投资增长15.5%，办公楼投资下降8.8%，商业营业用房投资下降8.8%。</w:t>
      </w:r>
    </w:p>
    <w:p>
      <w:pPr>
        <w:spacing w:line="480" w:lineRule="exact"/>
        <w:rPr>
          <w:rFonts w:ascii="仿宋" w:hAnsi="仿宋" w:eastAsia="仿宋" w:cs="仿宋"/>
          <w:sz w:val="30"/>
          <w:szCs w:val="30"/>
        </w:rPr>
      </w:pPr>
      <w:r>
        <w:rPr>
          <w:rFonts w:hint="eastAsia" w:ascii="仿宋" w:hAnsi="仿宋" w:eastAsia="仿宋" w:cs="仿宋"/>
          <w:sz w:val="30"/>
          <w:szCs w:val="30"/>
        </w:rPr>
        <w:t>　　</w:t>
      </w: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pPr>
      <w:r>
        <w:rPr>
          <w:rFonts w:hint="eastAsia" w:ascii="仿宋" w:hAnsi="仿宋" w:eastAsia="仿宋" w:cs="仿宋"/>
          <w:b/>
          <w:bCs/>
          <w:sz w:val="30"/>
          <w:szCs w:val="30"/>
        </w:rPr>
        <w:t>1.1.2地区建筑业发展情况（根据吉林省统计年鉴数据）</w:t>
      </w:r>
    </w:p>
    <w:p>
      <w:pPr>
        <w:spacing w:line="480" w:lineRule="exact"/>
        <w:jc w:val="center"/>
        <w:rPr>
          <w:rFonts w:ascii="仿宋" w:hAnsi="仿宋" w:eastAsia="仿宋" w:cs="仿宋"/>
          <w:b/>
          <w:bCs/>
          <w:sz w:val="30"/>
          <w:szCs w:val="30"/>
        </w:rPr>
      </w:pPr>
    </w:p>
    <w:p>
      <w:pPr>
        <w:spacing w:line="480" w:lineRule="exact"/>
        <w:jc w:val="center"/>
        <w:rPr>
          <w:rFonts w:ascii="仿宋" w:hAnsi="仿宋" w:eastAsia="仿宋" w:cs="仿宋"/>
          <w:b/>
          <w:bCs/>
          <w:sz w:val="30"/>
          <w:szCs w:val="30"/>
        </w:rPr>
      </w:pPr>
    </w:p>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2019年吉林省建筑业开工情况</w:t>
      </w:r>
    </w:p>
    <w:p>
      <w:pPr>
        <w:spacing w:line="480" w:lineRule="exact"/>
        <w:jc w:val="right"/>
        <w:rPr>
          <w:rFonts w:ascii="仿宋" w:hAnsi="仿宋" w:eastAsia="仿宋" w:cs="仿宋"/>
          <w:sz w:val="30"/>
          <w:szCs w:val="30"/>
        </w:rPr>
      </w:pPr>
      <w:r>
        <w:rPr>
          <w:rFonts w:hint="eastAsia" w:ascii="仿宋" w:hAnsi="仿宋" w:eastAsia="仿宋" w:cs="仿宋"/>
          <w:szCs w:val="24"/>
        </w:rPr>
        <w:t>单位：万平方米</w:t>
      </w:r>
    </w:p>
    <w:tbl>
      <w:tblPr>
        <w:tblStyle w:val="32"/>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899"/>
        <w:gridCol w:w="1680"/>
        <w:gridCol w:w="2007"/>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序号</w:t>
            </w:r>
          </w:p>
        </w:tc>
        <w:tc>
          <w:tcPr>
            <w:tcW w:w="1899"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地区</w:t>
            </w:r>
          </w:p>
        </w:tc>
        <w:tc>
          <w:tcPr>
            <w:tcW w:w="1680"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建筑业面积</w:t>
            </w:r>
          </w:p>
        </w:tc>
        <w:tc>
          <w:tcPr>
            <w:tcW w:w="2007"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当年新开工面积</w:t>
            </w:r>
          </w:p>
        </w:tc>
        <w:tc>
          <w:tcPr>
            <w:tcW w:w="284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1</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长春市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5843</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3562</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2</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吉林市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463</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227</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3</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四平市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271</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106</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4</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辽源市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138</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98</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5</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通化市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234</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157</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6</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白山市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108</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35</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7</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松原市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265</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222</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8</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白城市</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104</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61</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9</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延边州</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536</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258</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10</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长白山管委会</w:t>
            </w:r>
          </w:p>
        </w:tc>
        <w:tc>
          <w:tcPr>
            <w:tcW w:w="1680"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23</w:t>
            </w:r>
          </w:p>
        </w:tc>
        <w:tc>
          <w:tcPr>
            <w:tcW w:w="2007"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20</w:t>
            </w:r>
          </w:p>
        </w:tc>
        <w:tc>
          <w:tcPr>
            <w:tcW w:w="2848" w:type="dxa"/>
          </w:tcPr>
          <w:p>
            <w:pPr>
              <w:widowControl w:val="0"/>
              <w:spacing w:line="48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08" w:type="dxa"/>
          </w:tcPr>
          <w:p>
            <w:pPr>
              <w:widowControl w:val="0"/>
              <w:spacing w:line="480" w:lineRule="exact"/>
              <w:jc w:val="center"/>
              <w:rPr>
                <w:rFonts w:ascii="仿宋" w:hAnsi="仿宋" w:eastAsia="仿宋" w:cs="仿宋"/>
                <w:b/>
                <w:bCs/>
                <w:sz w:val="30"/>
                <w:szCs w:val="30"/>
              </w:rPr>
            </w:pPr>
            <w:r>
              <w:rPr>
                <w:rFonts w:hint="eastAsia" w:ascii="仿宋" w:hAnsi="仿宋" w:eastAsia="仿宋" w:cs="仿宋"/>
                <w:b/>
                <w:bCs/>
                <w:sz w:val="30"/>
                <w:szCs w:val="30"/>
              </w:rPr>
              <w:t>11</w:t>
            </w:r>
          </w:p>
        </w:tc>
        <w:tc>
          <w:tcPr>
            <w:tcW w:w="1899"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梅河口新区</w:t>
            </w:r>
          </w:p>
        </w:tc>
        <w:tc>
          <w:tcPr>
            <w:tcW w:w="3687" w:type="dxa"/>
            <w:gridSpan w:val="2"/>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年平均约300</w:t>
            </w:r>
          </w:p>
        </w:tc>
        <w:tc>
          <w:tcPr>
            <w:tcW w:w="2848" w:type="dxa"/>
          </w:tcPr>
          <w:p>
            <w:pPr>
              <w:widowControl w:val="0"/>
              <w:spacing w:line="480" w:lineRule="exact"/>
              <w:jc w:val="center"/>
              <w:rPr>
                <w:rFonts w:ascii="仿宋" w:hAnsi="仿宋" w:eastAsia="仿宋" w:cs="仿宋"/>
                <w:sz w:val="30"/>
                <w:szCs w:val="30"/>
              </w:rPr>
            </w:pPr>
            <w:r>
              <w:rPr>
                <w:rFonts w:hint="eastAsia" w:ascii="仿宋" w:hAnsi="仿宋" w:eastAsia="仿宋" w:cs="仿宋"/>
                <w:sz w:val="30"/>
                <w:szCs w:val="30"/>
              </w:rPr>
              <w:t>2021年9月挂牌成立</w:t>
            </w:r>
          </w:p>
        </w:tc>
      </w:tr>
    </w:tbl>
    <w:p>
      <w:pPr>
        <w:spacing w:line="480" w:lineRule="exact"/>
        <w:rPr>
          <w:rFonts w:ascii="仿宋" w:hAnsi="仿宋" w:eastAsia="仿宋" w:cs="仿宋"/>
          <w:sz w:val="30"/>
          <w:szCs w:val="30"/>
        </w:rPr>
      </w:pPr>
    </w:p>
    <w:p>
      <w:pPr>
        <w:spacing w:line="480" w:lineRule="exact"/>
        <w:rPr>
          <w:rFonts w:ascii="仿宋" w:hAnsi="仿宋" w:eastAsia="仿宋" w:cs="仿宋"/>
          <w:b/>
          <w:bCs/>
          <w:sz w:val="30"/>
          <w:szCs w:val="30"/>
        </w:rPr>
      </w:pPr>
      <w:r>
        <w:rPr>
          <w:rFonts w:hint="eastAsia" w:ascii="仿宋" w:hAnsi="仿宋" w:eastAsia="仿宋" w:cs="仿宋"/>
          <w:b/>
          <w:bCs/>
          <w:sz w:val="30"/>
          <w:szCs w:val="30"/>
        </w:rPr>
        <w:t>1.2吉林省砂浆发展现状</w:t>
      </w:r>
    </w:p>
    <w:p>
      <w:pPr>
        <w:spacing w:line="480" w:lineRule="exact"/>
        <w:rPr>
          <w:rFonts w:ascii="仿宋" w:hAnsi="仿宋" w:eastAsia="仿宋" w:cs="仿宋"/>
          <w:sz w:val="30"/>
          <w:szCs w:val="30"/>
        </w:rPr>
      </w:pPr>
      <w:r>
        <w:rPr>
          <w:rFonts w:hint="eastAsia" w:ascii="仿宋" w:hAnsi="仿宋" w:eastAsia="仿宋" w:cs="仿宋"/>
          <w:b/>
          <w:bCs/>
          <w:sz w:val="30"/>
          <w:szCs w:val="30"/>
        </w:rPr>
        <w:t>预拌砂浆政策及工作背景</w:t>
      </w:r>
    </w:p>
    <w:p>
      <w:pPr>
        <w:spacing w:line="480" w:lineRule="exact"/>
        <w:rPr>
          <w:rFonts w:ascii="仿宋" w:hAnsi="仿宋" w:eastAsia="仿宋" w:cs="仿宋"/>
          <w:sz w:val="30"/>
          <w:szCs w:val="30"/>
        </w:rPr>
      </w:pPr>
      <w:r>
        <w:rPr>
          <w:rFonts w:hint="eastAsia" w:ascii="仿宋" w:hAnsi="仿宋" w:eastAsia="仿宋" w:cs="仿宋"/>
          <w:sz w:val="30"/>
          <w:szCs w:val="30"/>
        </w:rPr>
        <w:t>吉林省人民政府令第214号《吉林省促进散装水泥和预拌混凝土、预拌砂浆发展办法》已经2010年省政府第3次常务会议讨论通过，自2010年9月1日起施行。2011年3月1日实施《预拌砂浆技术规程》 （DB22/T1024-2011）。2012年省住建厅发布吉建办（2012）27号文《关于在全省加快推广使用预拌砂浆的通知》；同时为规范吉林省绿色预拌混凝土及砂浆评价标识工作，加快绿色预拌混凝土及砂浆推广应用、促进绿色建筑发展，2016年8月17日实施《吉林省绿色预拌混凝土及砂浆评价技术导则》。</w:t>
      </w:r>
    </w:p>
    <w:p>
      <w:pPr>
        <w:spacing w:line="480" w:lineRule="exact"/>
        <w:rPr>
          <w:rFonts w:ascii="仿宋" w:hAnsi="仿宋" w:eastAsia="仿宋" w:cs="仿宋"/>
          <w:sz w:val="30"/>
          <w:szCs w:val="30"/>
        </w:rPr>
      </w:pPr>
      <w:r>
        <w:rPr>
          <w:rFonts w:hint="eastAsia" w:ascii="仿宋" w:hAnsi="仿宋" w:eastAsia="仿宋" w:cs="仿宋"/>
          <w:sz w:val="30"/>
          <w:szCs w:val="30"/>
        </w:rPr>
        <w:t>2017年我省研究和落实国家有关发展政策，着重推广预拌砂浆在建筑工程中应用。发布《吉林省住房和城乡建设厅关于在全省禁止建筑工程施工现场搅拌砂浆及推广使用预拌砂浆的指导意见》（吉建办〔2017〕34号）。该指导意见为加快我省禁止现场搅拌（以下简称“禁现”），提出以科学发展观、建设节约型、环境友好型社会为主线，以完善和落实相关法律法规为保障，以市场为导向，推广使用预拌砂浆；要合理规划“禁现”布局，制定实施方案；要强化措施，支持和规范预拌砂浆行业加快发展。长春市和吉林市出台文件，落实该指导意见的要求。</w:t>
      </w:r>
    </w:p>
    <w:p>
      <w:pPr>
        <w:spacing w:line="480" w:lineRule="exact"/>
        <w:rPr>
          <w:rFonts w:ascii="仿宋" w:hAnsi="仿宋" w:eastAsia="仿宋" w:cs="仿宋"/>
          <w:sz w:val="30"/>
          <w:szCs w:val="30"/>
        </w:rPr>
      </w:pPr>
      <w:r>
        <w:rPr>
          <w:rFonts w:hint="eastAsia" w:ascii="仿宋" w:hAnsi="仿宋" w:eastAsia="仿宋" w:cs="仿宋"/>
          <w:sz w:val="30"/>
          <w:szCs w:val="30"/>
        </w:rPr>
        <w:t>为推进吉林省预拌砂浆工作，省散装水泥办公室于2019年10月开始分别对黑龙江省（含哈尔滨市）散办、湖南省（含长沙市）散办、四川省（含成都市）散办、浙江省（含杭州市）散办、山东省散办、广西（含南宁市）散办进行了调研学习，重点考察了解六省区五市在预拌砂浆推广工作中的方法与经验。</w:t>
      </w:r>
    </w:p>
    <w:p>
      <w:pPr>
        <w:spacing w:line="480" w:lineRule="exact"/>
        <w:rPr>
          <w:rFonts w:ascii="仿宋" w:hAnsi="仿宋" w:eastAsia="仿宋" w:cs="仿宋"/>
          <w:sz w:val="30"/>
          <w:szCs w:val="30"/>
        </w:rPr>
      </w:pPr>
      <w:r>
        <w:rPr>
          <w:rFonts w:hint="eastAsia" w:ascii="仿宋" w:hAnsi="仿宋" w:eastAsia="仿宋" w:cs="仿宋"/>
          <w:sz w:val="30"/>
          <w:szCs w:val="30"/>
        </w:rPr>
        <w:t>按照吉林省现阶段年2000亿建筑业产值，房屋建筑施工面积约3500万平方米来换算，我省每年大约需要使用预拌砂浆850--900万吨。</w:t>
      </w:r>
    </w:p>
    <w:p>
      <w:pPr>
        <w:spacing w:line="480" w:lineRule="exact"/>
        <w:rPr>
          <w:rFonts w:ascii="仿宋" w:hAnsi="仿宋" w:eastAsia="仿宋" w:cs="仿宋"/>
          <w:sz w:val="30"/>
          <w:szCs w:val="30"/>
        </w:rPr>
      </w:pPr>
      <w:r>
        <w:rPr>
          <w:rFonts w:hint="eastAsia" w:ascii="仿宋" w:hAnsi="仿宋" w:eastAsia="仿宋" w:cs="仿宋"/>
          <w:sz w:val="30"/>
          <w:szCs w:val="30"/>
        </w:rPr>
        <w:t>2019年12月26日，为全面贯彻习近平生态文明思想，深入落实《吉林省促进散装水泥和预拌混凝土预拌砂浆发展办法》（省政府令第266号）、《国务院办公厅关于转发国家发改委住房城乡建设部绿色建筑行动方案的通知》（国办发〔2013〕1号）和国家《绿色建筑评价标准》（GB/T50378-2019），推动建筑行业高质量发展和技术进步，保护和改善生态环境，进一步做好推广使用预拌砂浆，禁止建筑工程施工现场搅拌砂浆工作，省住建厅发布《吉林省住房和城乡建设厅关于进一步做好使用预拌砂浆工作的意见》（吉建发〔2019〕3号）文件，要求，长春市（本级）、吉林市（本级）2020年新开工项目禁止在建筑工程施工现场搅拌砂浆，必须使用预拌砂浆。其他市、县2020年为推广使用预拌砂浆过渡期，鼓励在建筑工程中推广使用预拌砂浆。2021年全省城市（含县城）禁止施工现场搅拌砂浆，使用预拌砂浆。</w:t>
      </w:r>
    </w:p>
    <w:p>
      <w:pPr>
        <w:spacing w:line="480" w:lineRule="exact"/>
        <w:rPr>
          <w:rFonts w:ascii="仿宋" w:hAnsi="仿宋" w:eastAsia="仿宋" w:cs="仿宋"/>
          <w:sz w:val="30"/>
          <w:szCs w:val="30"/>
        </w:rPr>
      </w:pPr>
      <w:r>
        <w:rPr>
          <w:rFonts w:hint="eastAsia" w:ascii="仿宋" w:hAnsi="仿宋" w:eastAsia="仿宋" w:cs="仿宋"/>
          <w:sz w:val="30"/>
          <w:szCs w:val="30"/>
        </w:rPr>
        <w:t>2020年6月5日，为进一步加强预拌砂浆生产、进场检验、现场施工管理、验收等环节质量监管，省住建厅发布《关于加强预拌砂浆质量管理的通知》（吉建质〔2020〕6号）。</w:t>
      </w:r>
    </w:p>
    <w:p>
      <w:pPr>
        <w:spacing w:line="480" w:lineRule="exact"/>
        <w:rPr>
          <w:rFonts w:ascii="仿宋" w:hAnsi="仿宋" w:eastAsia="仿宋" w:cs="仿宋"/>
          <w:sz w:val="30"/>
          <w:szCs w:val="30"/>
        </w:rPr>
      </w:pPr>
      <w:r>
        <w:rPr>
          <w:rFonts w:hint="eastAsia" w:ascii="仿宋" w:hAnsi="仿宋" w:eastAsia="仿宋" w:cs="仿宋"/>
          <w:sz w:val="30"/>
          <w:szCs w:val="30"/>
        </w:rPr>
        <w:t>2020年7月14日，为进一步强化预拌砂浆应用管理，省住建厅发布《关于进一步加强预拌砂浆推广应用工作的通知》（吉建散〔2020〕2号）。</w:t>
      </w:r>
    </w:p>
    <w:p>
      <w:pPr>
        <w:spacing w:line="480" w:lineRule="exact"/>
        <w:rPr>
          <w:rFonts w:ascii="仿宋" w:hAnsi="仿宋" w:eastAsia="仿宋" w:cs="仿宋"/>
          <w:sz w:val="30"/>
          <w:szCs w:val="30"/>
        </w:rPr>
      </w:pPr>
      <w:r>
        <w:rPr>
          <w:rFonts w:hint="eastAsia" w:ascii="仿宋" w:hAnsi="仿宋" w:eastAsia="仿宋" w:cs="仿宋"/>
          <w:sz w:val="30"/>
          <w:szCs w:val="30"/>
        </w:rPr>
        <w:t>2020年11月27日，吉林省住房和城乡建设厅、吉林省市场监督管理厅联合发布《绿色预拌砂浆站评价标准》(DB22/T 5049-2020)，自发布之日起开始实施。</w:t>
      </w:r>
    </w:p>
    <w:p>
      <w:pPr>
        <w:spacing w:line="480" w:lineRule="exact"/>
        <w:rPr>
          <w:rFonts w:ascii="仿宋" w:hAnsi="仿宋" w:eastAsia="仿宋" w:cs="仿宋"/>
          <w:sz w:val="30"/>
          <w:szCs w:val="30"/>
        </w:rPr>
      </w:pPr>
      <w:r>
        <w:rPr>
          <w:rFonts w:hint="eastAsia" w:ascii="仿宋" w:hAnsi="仿宋" w:eastAsia="仿宋" w:cs="仿宋"/>
          <w:sz w:val="30"/>
          <w:szCs w:val="30"/>
        </w:rPr>
        <w:t>2021年4月29日，吉林省住房和城乡建设厅、吉林省市场监督管理厅联合发布《预拌砂浆应用技术标准》（DB22/T 5056-2021）,自发布之日起开始实施。</w:t>
      </w:r>
    </w:p>
    <w:p>
      <w:pPr>
        <w:spacing w:line="480" w:lineRule="exact"/>
        <w:rPr>
          <w:rFonts w:ascii="仿宋" w:hAnsi="仿宋" w:eastAsia="仿宋" w:cs="仿宋"/>
          <w:b/>
          <w:bCs/>
          <w:sz w:val="30"/>
          <w:szCs w:val="30"/>
        </w:rPr>
      </w:pPr>
      <w:bookmarkStart w:id="6" w:name="_Toc28851202"/>
      <w:bookmarkStart w:id="7" w:name="_Toc1774"/>
      <w:r>
        <w:rPr>
          <w:rFonts w:hint="eastAsia" w:ascii="仿宋" w:hAnsi="仿宋" w:eastAsia="仿宋" w:cs="仿宋"/>
          <w:b/>
          <w:bCs/>
          <w:sz w:val="30"/>
          <w:szCs w:val="30"/>
        </w:rPr>
        <w:t xml:space="preserve">1.3 </w:t>
      </w:r>
      <w:bookmarkEnd w:id="6"/>
      <w:r>
        <w:rPr>
          <w:rFonts w:hint="eastAsia" w:ascii="仿宋" w:hAnsi="仿宋" w:eastAsia="仿宋" w:cs="仿宋"/>
          <w:b/>
          <w:bCs/>
          <w:sz w:val="30"/>
          <w:szCs w:val="30"/>
        </w:rPr>
        <w:t>生产能力现状</w:t>
      </w:r>
      <w:bookmarkEnd w:id="7"/>
    </w:p>
    <w:p>
      <w:pPr>
        <w:spacing w:line="480" w:lineRule="exact"/>
        <w:rPr>
          <w:rFonts w:ascii="仿宋" w:hAnsi="仿宋" w:eastAsia="仿宋" w:cs="仿宋"/>
          <w:sz w:val="30"/>
          <w:szCs w:val="30"/>
        </w:rPr>
      </w:pPr>
      <w:r>
        <w:rPr>
          <w:rFonts w:hint="eastAsia" w:ascii="仿宋" w:hAnsi="仿宋" w:eastAsia="仿宋" w:cs="仿宋"/>
          <w:sz w:val="30"/>
          <w:szCs w:val="30"/>
        </w:rPr>
        <w:t>目前我省预拌砂浆行业生产能力区域发展不均衡。现有预拌干混砂浆生产企业共19家，年设计生产能力600万吨。</w:t>
      </w:r>
    </w:p>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吉林省预拌干混砂浆生产企业汇总表</w:t>
      </w:r>
    </w:p>
    <w:p>
      <w:pPr>
        <w:spacing w:line="480" w:lineRule="exact"/>
        <w:jc w:val="center"/>
        <w:rPr>
          <w:rFonts w:ascii="仿宋" w:hAnsi="仿宋" w:eastAsia="仿宋" w:cs="仿宋"/>
          <w:b/>
          <w:bCs/>
          <w:sz w:val="30"/>
          <w:szCs w:val="30"/>
        </w:rPr>
      </w:pPr>
    </w:p>
    <w:tbl>
      <w:tblPr>
        <w:tblStyle w:val="32"/>
        <w:tblW w:w="9039" w:type="dxa"/>
        <w:tblInd w:w="137" w:type="dxa"/>
        <w:tblLayout w:type="fixed"/>
        <w:tblCellMar>
          <w:top w:w="0" w:type="dxa"/>
          <w:left w:w="108" w:type="dxa"/>
          <w:bottom w:w="0" w:type="dxa"/>
          <w:right w:w="108" w:type="dxa"/>
        </w:tblCellMar>
      </w:tblPr>
      <w:tblGrid>
        <w:gridCol w:w="889"/>
        <w:gridCol w:w="4734"/>
        <w:gridCol w:w="1133"/>
        <w:gridCol w:w="850"/>
        <w:gridCol w:w="1433"/>
      </w:tblGrid>
      <w:tr>
        <w:tblPrEx>
          <w:tblCellMar>
            <w:top w:w="0" w:type="dxa"/>
            <w:left w:w="108" w:type="dxa"/>
            <w:bottom w:w="0" w:type="dxa"/>
            <w:right w:w="108" w:type="dxa"/>
          </w:tblCellMar>
        </w:tblPrEx>
        <w:trPr>
          <w:trHeight w:val="1144"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地区</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企业名称</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设计产能（万吨）</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建设情况</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生产线使用砂类型</w:t>
            </w:r>
          </w:p>
        </w:tc>
      </w:tr>
      <w:tr>
        <w:tblPrEx>
          <w:tblCellMar>
            <w:top w:w="0" w:type="dxa"/>
            <w:left w:w="108" w:type="dxa"/>
            <w:bottom w:w="0" w:type="dxa"/>
            <w:right w:w="108" w:type="dxa"/>
          </w:tblCellMar>
        </w:tblPrEx>
        <w:trPr>
          <w:trHeight w:val="678" w:hRule="atLeast"/>
        </w:trPr>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长春</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长春昌驰新材料科技有限公司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40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机制砂60%、天然砂40%</w:t>
            </w:r>
          </w:p>
        </w:tc>
      </w:tr>
      <w:tr>
        <w:tblPrEx>
          <w:tblCellMar>
            <w:top w:w="0" w:type="dxa"/>
            <w:left w:w="108" w:type="dxa"/>
            <w:bottom w:w="0" w:type="dxa"/>
            <w:right w:w="108" w:type="dxa"/>
          </w:tblCellMar>
        </w:tblPrEx>
        <w:trPr>
          <w:trHeight w:val="9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吉林鹏霖新型建材科技有限公司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天然砂</w:t>
            </w:r>
          </w:p>
        </w:tc>
      </w:tr>
      <w:tr>
        <w:tblPrEx>
          <w:tblCellMar>
            <w:top w:w="0" w:type="dxa"/>
            <w:left w:w="108" w:type="dxa"/>
            <w:bottom w:w="0" w:type="dxa"/>
            <w:right w:w="108" w:type="dxa"/>
          </w:tblCellMar>
        </w:tblPrEx>
        <w:trPr>
          <w:trHeight w:val="605"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长春市博岩建筑材料有限公司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40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机制砂、天然砂</w:t>
            </w:r>
          </w:p>
        </w:tc>
      </w:tr>
      <w:tr>
        <w:tblPrEx>
          <w:tblCellMar>
            <w:top w:w="0" w:type="dxa"/>
            <w:left w:w="108" w:type="dxa"/>
            <w:bottom w:w="0" w:type="dxa"/>
            <w:right w:w="108" w:type="dxa"/>
          </w:tblCellMar>
        </w:tblPrEx>
        <w:trPr>
          <w:trHeight w:val="628"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吉林省金磊商品混凝土有限公司（榆树）</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在建</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天然砂</w:t>
            </w:r>
          </w:p>
        </w:tc>
      </w:tr>
      <w:tr>
        <w:tblPrEx>
          <w:tblCellMar>
            <w:top w:w="0" w:type="dxa"/>
            <w:left w:w="108" w:type="dxa"/>
            <w:bottom w:w="0" w:type="dxa"/>
            <w:right w:w="108" w:type="dxa"/>
          </w:tblCellMar>
        </w:tblPrEx>
        <w:trPr>
          <w:trHeight w:val="60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吉林省兴业建设发展有限公司（德惠）</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在建</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9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吉林省亿豪新型环保建筑材料有限公司（九台）</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9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吉林省海堂商砼有限公司（公主岭）</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50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2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吉林祥兴新材料科技有限公司（双阳）</w:t>
            </w:r>
          </w:p>
        </w:tc>
        <w:tc>
          <w:tcPr>
            <w:tcW w:w="1133" w:type="dxa"/>
            <w:tcBorders>
              <w:top w:val="single" w:color="000000" w:sz="4" w:space="0"/>
              <w:left w:val="single" w:color="000000"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30" w:hRule="atLeast"/>
        </w:trPr>
        <w:tc>
          <w:tcPr>
            <w:tcW w:w="889" w:type="dxa"/>
            <w:vMerge w:val="continue"/>
            <w:tcBorders>
              <w:left w:val="single" w:color="000000" w:sz="4" w:space="0"/>
              <w:bottom w:val="single" w:color="000000" w:sz="4" w:space="0"/>
              <w:right w:val="single" w:color="auto" w:sz="4" w:space="0"/>
            </w:tcBorders>
            <w:vAlign w:val="center"/>
          </w:tcPr>
          <w:p>
            <w:pPr>
              <w:spacing w:line="480" w:lineRule="exact"/>
              <w:rPr>
                <w:rFonts w:ascii="仿宋" w:hAnsi="仿宋" w:eastAsia="仿宋" w:cs="仿宋"/>
                <w:sz w:val="30"/>
                <w:szCs w:val="30"/>
              </w:rPr>
            </w:pPr>
          </w:p>
        </w:tc>
        <w:tc>
          <w:tcPr>
            <w:tcW w:w="4734" w:type="dxa"/>
            <w:tcBorders>
              <w:top w:val="single" w:color="auto" w:sz="4" w:space="0"/>
              <w:left w:val="single" w:color="auto"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吉林省吉拓新型环保材料科技有限公司</w:t>
            </w:r>
          </w:p>
        </w:tc>
        <w:tc>
          <w:tcPr>
            <w:tcW w:w="1133" w:type="dxa"/>
            <w:tcBorders>
              <w:top w:val="single" w:color="auto" w:sz="4" w:space="0"/>
              <w:left w:val="single" w:color="000000"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auto" w:sz="4" w:space="0"/>
              <w:left w:val="single" w:color="000000" w:sz="4" w:space="0"/>
              <w:bottom w:val="single" w:color="auto"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在建</w:t>
            </w:r>
          </w:p>
        </w:tc>
        <w:tc>
          <w:tcPr>
            <w:tcW w:w="1433" w:type="dxa"/>
            <w:tcBorders>
              <w:top w:val="single" w:color="auto" w:sz="4" w:space="0"/>
              <w:left w:val="single" w:color="000000" w:sz="4" w:space="0"/>
              <w:bottom w:val="single" w:color="auto" w:sz="4" w:space="0"/>
              <w:right w:val="single" w:color="auto"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29"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w:t>
            </w:r>
          </w:p>
        </w:tc>
        <w:tc>
          <w:tcPr>
            <w:tcW w:w="4734" w:type="dxa"/>
            <w:tcBorders>
              <w:top w:val="single" w:color="auto"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吉林市安欣干混砂浆有限公司</w:t>
            </w:r>
          </w:p>
        </w:tc>
        <w:tc>
          <w:tcPr>
            <w:tcW w:w="1133" w:type="dxa"/>
            <w:tcBorders>
              <w:top w:val="single" w:color="auto"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auto"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auto"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34"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辽源</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辽源市亨通干混预拌砂浆站</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595"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通化</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通化添富建材有限公司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397"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松原</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松原市飞达商品混凝土有限公司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00" w:hRule="atLeast"/>
        </w:trPr>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白城</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白城市筑成新型建筑材料有限公司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0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白城市昊东混凝土制品有限公司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天然砂</w:t>
            </w:r>
          </w:p>
        </w:tc>
      </w:tr>
      <w:tr>
        <w:tblPrEx>
          <w:tblCellMar>
            <w:top w:w="0" w:type="dxa"/>
            <w:left w:w="108" w:type="dxa"/>
            <w:bottom w:w="0" w:type="dxa"/>
            <w:right w:w="108" w:type="dxa"/>
          </w:tblCellMar>
        </w:tblPrEx>
        <w:trPr>
          <w:trHeight w:val="595"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镇赉县晟腾建筑材料有限公司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00" w:hRule="atLeast"/>
        </w:trPr>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延边</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汪清县春磊混凝土有限公司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30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w:t>
            </w:r>
          </w:p>
        </w:tc>
      </w:tr>
      <w:tr>
        <w:tblPrEx>
          <w:tblCellMar>
            <w:top w:w="0" w:type="dxa"/>
            <w:left w:w="108" w:type="dxa"/>
            <w:bottom w:w="0" w:type="dxa"/>
            <w:right w:w="108" w:type="dxa"/>
          </w:tblCellMar>
        </w:tblPrEx>
        <w:trPr>
          <w:trHeight w:val="600" w:hRule="atLeast"/>
        </w:trPr>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延边盛泰建材销售有限公司（龙井）</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50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建成</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天然砂</w:t>
            </w:r>
          </w:p>
        </w:tc>
      </w:tr>
      <w:tr>
        <w:tblPrEx>
          <w:tblCellMar>
            <w:top w:w="0" w:type="dxa"/>
            <w:left w:w="108" w:type="dxa"/>
            <w:bottom w:w="0" w:type="dxa"/>
            <w:right w:w="108" w:type="dxa"/>
          </w:tblCellMar>
        </w:tblPrEx>
        <w:trPr>
          <w:trHeight w:val="771"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长白山</w:t>
            </w:r>
          </w:p>
        </w:tc>
        <w:tc>
          <w:tcPr>
            <w:tcW w:w="473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安图县鼎兴商品混凝土有限公司</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在建</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 w:hAnsi="仿宋" w:eastAsia="仿宋" w:cs="仿宋"/>
                <w:sz w:val="30"/>
                <w:szCs w:val="30"/>
              </w:rPr>
            </w:pPr>
            <w:r>
              <w:rPr>
                <w:rFonts w:hint="eastAsia" w:ascii="仿宋" w:hAnsi="仿宋" w:eastAsia="仿宋" w:cs="仿宋"/>
                <w:sz w:val="30"/>
                <w:szCs w:val="30"/>
              </w:rPr>
              <w:t>机制砂、天然砂</w:t>
            </w:r>
          </w:p>
        </w:tc>
      </w:tr>
    </w:tbl>
    <w:p>
      <w:pPr>
        <w:spacing w:line="480" w:lineRule="exact"/>
        <w:rPr>
          <w:rFonts w:ascii="仿宋" w:hAnsi="仿宋" w:eastAsia="仿宋" w:cs="仿宋"/>
          <w:sz w:val="30"/>
          <w:szCs w:val="30"/>
        </w:rPr>
      </w:pPr>
      <w:bookmarkStart w:id="8" w:name="_Toc12999"/>
      <w:r>
        <w:rPr>
          <w:rFonts w:hint="eastAsia" w:ascii="仿宋" w:hAnsi="仿宋" w:eastAsia="仿宋" w:cs="仿宋"/>
          <w:b/>
          <w:bCs/>
          <w:sz w:val="30"/>
          <w:szCs w:val="30"/>
        </w:rPr>
        <w:t>1.4 存在的主要矛盾和问题</w:t>
      </w:r>
      <w:bookmarkEnd w:id="8"/>
    </w:p>
    <w:p>
      <w:pPr>
        <w:spacing w:line="480" w:lineRule="exact"/>
        <w:rPr>
          <w:rFonts w:ascii="仿宋" w:hAnsi="仿宋" w:eastAsia="仿宋" w:cs="仿宋"/>
          <w:sz w:val="30"/>
          <w:szCs w:val="30"/>
        </w:rPr>
      </w:pPr>
      <w:r>
        <w:rPr>
          <w:rFonts w:hint="eastAsia" w:ascii="仿宋" w:hAnsi="仿宋" w:eastAsia="仿宋" w:cs="仿宋"/>
          <w:b/>
          <w:bCs/>
          <w:sz w:val="30"/>
          <w:szCs w:val="30"/>
        </w:rPr>
        <w:t>1.4.1</w:t>
      </w:r>
      <w:r>
        <w:rPr>
          <w:rFonts w:hint="eastAsia" w:ascii="仿宋" w:hAnsi="仿宋" w:eastAsia="仿宋" w:cs="仿宋"/>
          <w:sz w:val="30"/>
          <w:szCs w:val="30"/>
        </w:rPr>
        <w:t>预拌砂浆使用率偏低。由于政策宣传等原因，预拌砂浆的社会认知度不够，传统习惯思维依然存在；因建设单位和施工企业对预拌砂浆的了解深度不足，片面考虑销售价格因素而忽略综合成本因素，错误的理解成本，是目前推广使用预拌砂浆最大的阻力。据不完全统计，吉林省2019年的预拌砂浆使用率仅为2.08%。预拌砂浆为何不能全面推广，问题更多的出在预拌砂浆行业本身。预拌砂浆要想快速发展，提高认识非常关键，也需要更多的科技工作者投入到砂浆应用技术的研究工作中去。目前砂浆企业生产设备和化验室配置检验还不够规范；生产技术人员管理水平和从业人员技术水平有待于提高。</w:t>
      </w:r>
    </w:p>
    <w:p>
      <w:pPr>
        <w:spacing w:line="480" w:lineRule="exact"/>
        <w:rPr>
          <w:rFonts w:ascii="仿宋" w:hAnsi="仿宋" w:eastAsia="仿宋" w:cs="仿宋"/>
          <w:sz w:val="30"/>
          <w:szCs w:val="30"/>
        </w:rPr>
      </w:pPr>
      <w:r>
        <w:rPr>
          <w:rFonts w:hint="eastAsia" w:ascii="仿宋" w:hAnsi="仿宋" w:eastAsia="仿宋" w:cs="仿宋"/>
          <w:b/>
          <w:bCs/>
          <w:sz w:val="30"/>
          <w:szCs w:val="30"/>
        </w:rPr>
        <w:t>1.4.2</w:t>
      </w:r>
      <w:r>
        <w:rPr>
          <w:rFonts w:hint="eastAsia" w:ascii="仿宋" w:hAnsi="仿宋" w:eastAsia="仿宋" w:cs="仿宋"/>
          <w:sz w:val="30"/>
          <w:szCs w:val="30"/>
        </w:rPr>
        <w:t>禁止现场搅拌的力度有待加强。目前一些地方政府对建筑工程使用预拌砂浆还不够重视，致使预拌砂浆应用和发展不均衡。</w:t>
      </w:r>
    </w:p>
    <w:p>
      <w:pPr>
        <w:spacing w:line="480" w:lineRule="exact"/>
        <w:rPr>
          <w:rFonts w:ascii="仿宋" w:hAnsi="仿宋" w:eastAsia="仿宋" w:cs="仿宋"/>
          <w:sz w:val="30"/>
          <w:szCs w:val="30"/>
        </w:rPr>
      </w:pPr>
      <w:r>
        <w:rPr>
          <w:rFonts w:hint="eastAsia" w:ascii="仿宋" w:hAnsi="仿宋" w:eastAsia="仿宋" w:cs="仿宋"/>
          <w:b/>
          <w:bCs/>
          <w:sz w:val="30"/>
          <w:szCs w:val="30"/>
        </w:rPr>
        <w:t>1.4.3</w:t>
      </w:r>
      <w:r>
        <w:rPr>
          <w:rFonts w:hint="eastAsia" w:ascii="仿宋" w:hAnsi="仿宋" w:eastAsia="仿宋" w:cs="仿宋"/>
          <w:sz w:val="30"/>
          <w:szCs w:val="30"/>
        </w:rPr>
        <w:t>建筑施工方式有待向高效转变。目前施工使用的砂浆大多还是采用人工抹灰的方式，效率低、施工进度慢。机械化喷涂抹灰施工技术在我省还没有应用，制约着预拌砂浆新技术的应用和推广。   </w:t>
      </w:r>
    </w:p>
    <w:p>
      <w:pPr>
        <w:spacing w:line="480" w:lineRule="exact"/>
        <w:rPr>
          <w:rFonts w:ascii="仿宋" w:hAnsi="仿宋" w:eastAsia="仿宋" w:cs="仿宋"/>
          <w:sz w:val="30"/>
          <w:szCs w:val="30"/>
        </w:rPr>
      </w:pPr>
      <w:r>
        <w:rPr>
          <w:rFonts w:hint="eastAsia" w:ascii="仿宋" w:hAnsi="仿宋" w:eastAsia="仿宋" w:cs="仿宋"/>
          <w:b/>
          <w:bCs/>
          <w:sz w:val="30"/>
          <w:szCs w:val="30"/>
        </w:rPr>
        <w:t>1.4.4</w:t>
      </w:r>
      <w:r>
        <w:rPr>
          <w:rFonts w:hint="eastAsia" w:ascii="仿宋" w:hAnsi="仿宋" w:eastAsia="仿宋" w:cs="仿宋"/>
          <w:sz w:val="30"/>
          <w:szCs w:val="30"/>
        </w:rPr>
        <w:t>企业预拌砂浆产品单一、技术含量低。多数厂家只生产普通砂浆，产品技术附加值偏低，技术含量高、效益好的特种砂浆产量和使用没有形成规模。企业缺乏新产品自我研发能力，创新动力不足，从长远上讲，不能满足市场的发展需求，也不利于企业长远发展和做大做强。    </w:t>
      </w:r>
    </w:p>
    <w:p>
      <w:pPr>
        <w:spacing w:line="480" w:lineRule="exact"/>
        <w:rPr>
          <w:rFonts w:ascii="仿宋" w:hAnsi="仿宋" w:eastAsia="仿宋" w:cs="仿宋"/>
          <w:sz w:val="30"/>
          <w:szCs w:val="30"/>
        </w:rPr>
      </w:pPr>
      <w:r>
        <w:rPr>
          <w:rFonts w:hint="eastAsia" w:ascii="仿宋" w:hAnsi="仿宋" w:eastAsia="仿宋" w:cs="仿宋"/>
          <w:b/>
          <w:bCs/>
          <w:sz w:val="30"/>
          <w:szCs w:val="30"/>
        </w:rPr>
        <w:t>1.4.5</w:t>
      </w:r>
      <w:r>
        <w:rPr>
          <w:rFonts w:hint="eastAsia" w:ascii="仿宋" w:hAnsi="仿宋" w:eastAsia="仿宋" w:cs="仿宋"/>
          <w:sz w:val="30"/>
          <w:szCs w:val="30"/>
        </w:rPr>
        <w:t>市场秩序不够规范。企业间存在着恶性竞争，不利于行业健康发展，普遍存在的下游企业拖欠账款的问题，加重了砂浆企业的负担。</w:t>
      </w:r>
      <w:r>
        <w:rPr>
          <w:rFonts w:hint="eastAsia" w:ascii="仿宋" w:hAnsi="仿宋" w:eastAsia="仿宋" w:cs="仿宋"/>
          <w:b/>
          <w:bCs/>
          <w:sz w:val="30"/>
          <w:szCs w:val="30"/>
        </w:rPr>
        <w:t>1.4.6</w:t>
      </w:r>
      <w:r>
        <w:rPr>
          <w:rFonts w:hint="eastAsia" w:ascii="仿宋" w:hAnsi="仿宋" w:eastAsia="仿宋" w:cs="仿宋"/>
          <w:sz w:val="30"/>
          <w:szCs w:val="30"/>
        </w:rPr>
        <w:t>吉林省预拌砂浆工作虽发展多年，但进展缓慢，整个建筑业对推广和使用预拌砂浆没有形成绿色发展认识，只是简单的从材料经济方面考虑使用预拌砂浆增加了些许成本，并没有考虑工期、人工等综合成本。预拌砂浆的推广应用需要政府给予一定的政策环境扶持，加大依法行政管理的力度，促进预拌砂浆持续较快发展。 </w:t>
      </w: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sectPr>
          <w:headerReference r:id="rId7" w:type="default"/>
          <w:pgSz w:w="11906" w:h="16838"/>
          <w:pgMar w:top="1797" w:right="1440" w:bottom="1797" w:left="1440" w:header="851" w:footer="992" w:gutter="0"/>
          <w:cols w:space="720" w:num="1"/>
          <w:docGrid w:linePitch="312" w:charSpace="0"/>
        </w:sectPr>
      </w:pPr>
    </w:p>
    <w:p>
      <w:pPr>
        <w:numPr>
          <w:ilvl w:val="0"/>
          <w:numId w:val="1"/>
        </w:numPr>
        <w:spacing w:line="480" w:lineRule="exact"/>
        <w:jc w:val="center"/>
        <w:rPr>
          <w:rFonts w:asciiTheme="majorEastAsia" w:hAnsiTheme="majorEastAsia" w:eastAsiaTheme="majorEastAsia" w:cstheme="majorEastAsia"/>
          <w:b/>
          <w:bCs/>
          <w:sz w:val="44"/>
          <w:szCs w:val="44"/>
        </w:rPr>
      </w:pPr>
      <w:bookmarkStart w:id="9" w:name="_Toc31922"/>
      <w:r>
        <w:rPr>
          <w:rFonts w:hint="eastAsia" w:asciiTheme="majorEastAsia" w:hAnsiTheme="majorEastAsia" w:eastAsiaTheme="majorEastAsia" w:cstheme="majorEastAsia"/>
          <w:b/>
          <w:bCs/>
          <w:sz w:val="44"/>
          <w:szCs w:val="44"/>
        </w:rPr>
        <w:t>发展环境分析</w:t>
      </w:r>
      <w:bookmarkEnd w:id="9"/>
    </w:p>
    <w:p>
      <w:pPr>
        <w:spacing w:line="480" w:lineRule="exact"/>
        <w:jc w:val="both"/>
        <w:rPr>
          <w:rFonts w:asciiTheme="majorEastAsia" w:hAnsiTheme="majorEastAsia" w:eastAsiaTheme="majorEastAsia" w:cstheme="majorEastAsia"/>
          <w:b/>
          <w:bCs/>
          <w:sz w:val="44"/>
          <w:szCs w:val="44"/>
        </w:rPr>
      </w:pPr>
    </w:p>
    <w:p>
      <w:pPr>
        <w:spacing w:line="480" w:lineRule="exact"/>
        <w:rPr>
          <w:rFonts w:ascii="仿宋" w:hAnsi="仿宋" w:eastAsia="仿宋" w:cs="仿宋"/>
          <w:sz w:val="30"/>
          <w:szCs w:val="30"/>
        </w:rPr>
      </w:pPr>
      <w:bookmarkStart w:id="10" w:name="_Toc11772"/>
      <w:r>
        <w:rPr>
          <w:rFonts w:hint="eastAsia" w:ascii="仿宋" w:hAnsi="仿宋" w:eastAsia="仿宋" w:cs="仿宋"/>
          <w:b/>
          <w:bCs/>
          <w:sz w:val="30"/>
          <w:szCs w:val="30"/>
        </w:rPr>
        <w:t>2.1 宏观环境</w:t>
      </w:r>
      <w:bookmarkEnd w:id="10"/>
    </w:p>
    <w:p>
      <w:pPr>
        <w:spacing w:line="480" w:lineRule="exact"/>
        <w:rPr>
          <w:rFonts w:ascii="仿宋" w:hAnsi="仿宋" w:eastAsia="仿宋" w:cs="仿宋"/>
          <w:sz w:val="30"/>
          <w:szCs w:val="30"/>
        </w:rPr>
      </w:pPr>
      <w:r>
        <w:rPr>
          <w:rFonts w:hint="eastAsia" w:ascii="仿宋" w:hAnsi="仿宋" w:eastAsia="仿宋" w:cs="仿宋"/>
          <w:sz w:val="30"/>
          <w:szCs w:val="30"/>
        </w:rPr>
        <w:t>全国已经步入“十四五”发展阶段，宏观环境发生深刻复杂变化。“十四五”时期，吉林振兴发展正处于发挥独特优势、提升在全局中战略地位的关键阶段，是加快转型升级、实现高质量发展的关键阶段，是激发创造活力、破解深层次矛盾问题的关键阶段，是促进共同富裕、提升人民生活品质的关键阶段。推进新时代吉林发展必须紧紧抓住机遇、有效应对挑战。全省上下要进一步增强机遇意识和风险意识，更加自觉地把新时代吉林振兴发展放到世界百年未有之大变局、中华民族伟大复兴的战略全局来考量，深刻认识我国社会主要矛盾变化带来的新特征新要求，深刻认识错综复杂国际环境带来的新矛盾新挑战，深刻认识吉林振兴发展阶段性特征带来的新问题新期待，保持战略定力，发扬斗争精神，坚持问题导向，树立底线思维，准确识变、科学应变、主动求变，善于在危机中育先机、于变局中开新局，抓住机遇，应对挑战，推动新时代吉林全面振兴全方位振兴不断取得新的更大突破。</w:t>
      </w:r>
    </w:p>
    <w:p>
      <w:pPr>
        <w:spacing w:line="480" w:lineRule="exact"/>
        <w:rPr>
          <w:rFonts w:ascii="仿宋" w:hAnsi="仿宋" w:eastAsia="仿宋" w:cs="仿宋"/>
          <w:sz w:val="30"/>
          <w:szCs w:val="30"/>
        </w:rPr>
      </w:pPr>
      <w:r>
        <w:rPr>
          <w:rFonts w:hint="eastAsia" w:ascii="仿宋" w:hAnsi="仿宋" w:eastAsia="仿宋" w:cs="仿宋"/>
          <w:sz w:val="30"/>
          <w:szCs w:val="30"/>
        </w:rPr>
        <w:t xml:space="preserve">    要充分意思到发展预拌砂浆一是践行了习近平生态文明思想，有利于环境保护、污染治理；二是符合高质量发展战略，有利于保证建筑材料、建筑产品和施工质量；三是符合绿色发展理念、创新行业发展，有利于“四节”（节能、节地、节水和节材）；四是符合国家政策和法律法规要求，有利于建设行业科学规范有序发展。</w:t>
      </w: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pPr>
      <w:bookmarkStart w:id="11" w:name="_Toc18095"/>
      <w:r>
        <w:rPr>
          <w:rFonts w:hint="eastAsia" w:ascii="仿宋" w:hAnsi="仿宋" w:eastAsia="仿宋" w:cs="仿宋"/>
          <w:b/>
          <w:bCs/>
          <w:sz w:val="30"/>
          <w:szCs w:val="30"/>
        </w:rPr>
        <w:t>2.2 政策环境</w:t>
      </w:r>
      <w:bookmarkEnd w:id="11"/>
    </w:p>
    <w:p>
      <w:pPr>
        <w:spacing w:line="480" w:lineRule="exact"/>
        <w:rPr>
          <w:rFonts w:ascii="仿宋" w:hAnsi="仿宋" w:eastAsia="仿宋" w:cs="仿宋"/>
          <w:b/>
          <w:bCs/>
          <w:sz w:val="30"/>
          <w:szCs w:val="30"/>
        </w:rPr>
      </w:pPr>
      <w:r>
        <w:rPr>
          <w:rFonts w:hint="eastAsia" w:ascii="仿宋" w:hAnsi="仿宋" w:eastAsia="仿宋" w:cs="仿宋"/>
          <w:b/>
          <w:bCs/>
          <w:sz w:val="30"/>
          <w:szCs w:val="30"/>
        </w:rPr>
        <w:t>2.2.1预拌砂浆相关政策</w:t>
      </w:r>
    </w:p>
    <w:p>
      <w:pPr>
        <w:spacing w:line="480" w:lineRule="exact"/>
        <w:rPr>
          <w:rFonts w:ascii="仿宋" w:hAnsi="仿宋" w:eastAsia="仿宋" w:cs="仿宋"/>
          <w:sz w:val="30"/>
          <w:szCs w:val="30"/>
        </w:rPr>
      </w:pPr>
      <w:r>
        <w:rPr>
          <w:rFonts w:hint="eastAsia" w:ascii="仿宋" w:hAnsi="仿宋" w:eastAsia="仿宋" w:cs="仿宋"/>
          <w:sz w:val="30"/>
          <w:szCs w:val="30"/>
        </w:rPr>
        <w:t>2004年建设部下发了《建设部推广应用和限制使用技术》，将预拌砂浆（干混砂浆）列为推广应用范围。2006年国家发改委等部门下发了《关于加快水泥工业结构调整的若干意见的通知》，强调“大力发展预拌砂浆和商品混凝土，大中型城市要禁止现场搅拌混凝土，条件成熟的地区应限制现场搅拌砂浆。”</w:t>
      </w:r>
    </w:p>
    <w:p>
      <w:pPr>
        <w:spacing w:line="480" w:lineRule="exact"/>
        <w:rPr>
          <w:rFonts w:ascii="仿宋" w:hAnsi="仿宋" w:eastAsia="仿宋" w:cs="仿宋"/>
          <w:sz w:val="30"/>
          <w:szCs w:val="30"/>
        </w:rPr>
      </w:pPr>
      <w:r>
        <w:rPr>
          <w:rFonts w:hint="eastAsia" w:ascii="仿宋" w:hAnsi="仿宋" w:eastAsia="仿宋" w:cs="仿宋"/>
          <w:sz w:val="30"/>
          <w:szCs w:val="30"/>
        </w:rPr>
        <w:t>我国各有关部门也非常重视预拌砂浆在保证施工质量、提高施工文明水平以及节能环保方面的重要作用，开展了循序渐进地推行和指导工作。2007年6月6日，商务部、公安部、建设部等六部委联合发布了《关于在部分城市限期禁止现场搅拌砂浆工作的通知》，要求北京、天津、上海等10个城市从2007年9月1日起禁止在施工现场使用水泥搅拌砂浆(第一批)；重庆等33个城市从2008年7月1日起禁止在施工现场使用水泥搅拌砂浆(第二批)；长春等84个城市从2009年7月1日起禁止在施工现场使用水泥搅拌砂浆(第三批)。可见我国对推广应用预拌砂浆采取了坚决的态度，并制定了相应的政策。</w:t>
      </w:r>
    </w:p>
    <w:p>
      <w:pPr>
        <w:spacing w:line="480" w:lineRule="exact"/>
        <w:rPr>
          <w:rFonts w:ascii="仿宋" w:hAnsi="仿宋" w:eastAsia="仿宋" w:cs="仿宋"/>
          <w:sz w:val="30"/>
          <w:szCs w:val="30"/>
        </w:rPr>
      </w:pPr>
      <w:r>
        <w:rPr>
          <w:rFonts w:hint="eastAsia" w:ascii="仿宋" w:hAnsi="仿宋" w:eastAsia="仿宋" w:cs="仿宋"/>
          <w:sz w:val="30"/>
          <w:szCs w:val="30"/>
        </w:rPr>
        <w:t>建设部于2005年下达了编制行业标准《商品砂浆》，后更名为《预拌砂浆》于2008年2月1日起实施。</w:t>
      </w:r>
    </w:p>
    <w:p>
      <w:pPr>
        <w:spacing w:line="480" w:lineRule="exact"/>
        <w:rPr>
          <w:rFonts w:ascii="仿宋" w:hAnsi="仿宋" w:eastAsia="仿宋" w:cs="仿宋"/>
          <w:sz w:val="30"/>
          <w:szCs w:val="30"/>
        </w:rPr>
      </w:pPr>
      <w:r>
        <w:rPr>
          <w:rFonts w:hint="eastAsia" w:ascii="仿宋" w:hAnsi="仿宋" w:eastAsia="仿宋" w:cs="仿宋"/>
          <w:sz w:val="30"/>
          <w:szCs w:val="30"/>
        </w:rPr>
        <w:t>2008年8月全国人大推出《循环经济促进法》(主席令第四号)鼓励使用散装水泥，推广使用预拌混凝土和预拌砂浆。</w:t>
      </w:r>
    </w:p>
    <w:p>
      <w:pPr>
        <w:spacing w:line="480" w:lineRule="exact"/>
        <w:rPr>
          <w:rFonts w:ascii="仿宋" w:hAnsi="仿宋" w:eastAsia="仿宋" w:cs="仿宋"/>
          <w:sz w:val="30"/>
          <w:szCs w:val="30"/>
        </w:rPr>
      </w:pPr>
      <w:r>
        <w:rPr>
          <w:rFonts w:hint="eastAsia" w:ascii="仿宋" w:hAnsi="仿宋" w:eastAsia="仿宋" w:cs="仿宋"/>
          <w:sz w:val="30"/>
          <w:szCs w:val="30"/>
        </w:rPr>
        <w:t>2009年11月商务部、住房和城乡建设部《关于进一步做好城市禁止现场搅拌砂浆工作的通知》(商贸发〔2009〕361号〕明确违规现场搅拌砂浆的工程，散装水泥基金不予返退。</w:t>
      </w:r>
    </w:p>
    <w:p>
      <w:pPr>
        <w:spacing w:line="480" w:lineRule="exact"/>
        <w:rPr>
          <w:rFonts w:ascii="仿宋" w:hAnsi="仿宋" w:eastAsia="仿宋" w:cs="仿宋"/>
          <w:sz w:val="30"/>
          <w:szCs w:val="30"/>
        </w:rPr>
      </w:pPr>
      <w:r>
        <w:rPr>
          <w:rFonts w:hint="eastAsia" w:ascii="仿宋" w:hAnsi="仿宋" w:eastAsia="仿宋" w:cs="仿宋"/>
          <w:sz w:val="30"/>
          <w:szCs w:val="30"/>
        </w:rPr>
        <w:t>2010年5月，国务院办公厅转发环、发、科、工、财、建、交、商、能发布《关于推进大气污染联防联控工作改善区域空气质量指导意见的通知》(国办发〔2010〕33号)强化施工工地环境管理，禁止使用袋装水泥和现场搅拌混凝土、砂浆，在施工场地应采取围挡、遮盖等防尘措施。</w:t>
      </w:r>
    </w:p>
    <w:p>
      <w:pPr>
        <w:spacing w:line="480" w:lineRule="exact"/>
        <w:rPr>
          <w:rFonts w:ascii="仿宋" w:hAnsi="仿宋" w:eastAsia="仿宋" w:cs="仿宋"/>
          <w:sz w:val="30"/>
          <w:szCs w:val="30"/>
        </w:rPr>
      </w:pPr>
      <w:r>
        <w:rPr>
          <w:rFonts w:hint="eastAsia" w:ascii="仿宋" w:hAnsi="仿宋" w:eastAsia="仿宋" w:cs="仿宋"/>
          <w:sz w:val="30"/>
          <w:szCs w:val="30"/>
        </w:rPr>
        <w:t>2013年国家发布的《绿色建筑行动方案》中就提出“大力发展预拌砂浆”。作为新型绿色节能建筑材料的预拌砂浆,不仅符合国家节能降耗的要求和可持续发展策略,并且已被国家列为重点开发和推广的项目之一。</w:t>
      </w:r>
    </w:p>
    <w:p>
      <w:pPr>
        <w:spacing w:line="480" w:lineRule="exact"/>
        <w:rPr>
          <w:rFonts w:ascii="仿宋" w:hAnsi="仿宋" w:eastAsia="仿宋" w:cs="仿宋"/>
          <w:sz w:val="30"/>
          <w:szCs w:val="30"/>
        </w:rPr>
      </w:pPr>
      <w:r>
        <w:rPr>
          <w:rFonts w:hint="eastAsia" w:ascii="仿宋" w:hAnsi="仿宋" w:eastAsia="仿宋" w:cs="仿宋"/>
          <w:sz w:val="30"/>
          <w:szCs w:val="30"/>
        </w:rPr>
        <w:t>2015年工业和信息化部、住房城乡建设部印发《促进绿色建材生产和应用行动方案》的通知 ，提出推广预拌砂浆，研发推广钢结构等装配式建筑应用的配套墙体材料。</w:t>
      </w:r>
    </w:p>
    <w:p>
      <w:pPr>
        <w:spacing w:line="480" w:lineRule="exact"/>
        <w:rPr>
          <w:rFonts w:ascii="仿宋" w:hAnsi="仿宋" w:eastAsia="仿宋" w:cs="仿宋"/>
          <w:sz w:val="30"/>
          <w:szCs w:val="30"/>
        </w:rPr>
      </w:pPr>
      <w:r>
        <w:rPr>
          <w:rFonts w:hint="eastAsia" w:ascii="仿宋" w:hAnsi="仿宋" w:eastAsia="仿宋" w:cs="仿宋"/>
          <w:sz w:val="30"/>
          <w:szCs w:val="30"/>
        </w:rPr>
        <w:t>2019年4月9日住房和城乡建设部办公厅发布《关于进一步加强施工工地和道路扬尘管控工作的通知》（建办质〔2019〕23号），其中提出在规定区域内的施工现场应使用预拌混凝土及预拌砂浆。</w:t>
      </w:r>
    </w:p>
    <w:p>
      <w:pPr>
        <w:spacing w:line="480" w:lineRule="exact"/>
        <w:rPr>
          <w:rFonts w:ascii="仿宋" w:hAnsi="仿宋" w:eastAsia="仿宋" w:cs="仿宋"/>
          <w:b/>
          <w:bCs/>
          <w:sz w:val="30"/>
          <w:szCs w:val="30"/>
        </w:rPr>
      </w:pPr>
      <w:r>
        <w:rPr>
          <w:rFonts w:hint="eastAsia" w:ascii="仿宋" w:hAnsi="仿宋" w:eastAsia="仿宋" w:cs="仿宋"/>
          <w:b/>
          <w:bCs/>
          <w:sz w:val="30"/>
          <w:szCs w:val="30"/>
        </w:rPr>
        <w:t>2.2.2预拌砂浆相关标准</w:t>
      </w:r>
    </w:p>
    <w:p>
      <w:pPr>
        <w:spacing w:line="480" w:lineRule="exact"/>
        <w:rPr>
          <w:rFonts w:ascii="仿宋" w:hAnsi="仿宋" w:eastAsia="仿宋" w:cs="仿宋"/>
          <w:sz w:val="30"/>
          <w:szCs w:val="30"/>
        </w:rPr>
      </w:pPr>
      <w:r>
        <w:rPr>
          <w:rFonts w:hint="eastAsia" w:ascii="仿宋" w:hAnsi="仿宋" w:eastAsia="仿宋" w:cs="仿宋"/>
          <w:sz w:val="30"/>
          <w:szCs w:val="30"/>
        </w:rPr>
        <w:t>建设部于2007年8月22日发布了建设部行业标准《预拌砂浆》JG/T 230-2007，这是第一部关于预拌砂浆方面的综合性行业标准，该标准分别对湿拌砂浆和干混砂浆这两类共18个品种砂浆进行了详细的规定，并分别给出其性能指标要求。该标准已于2008年2月1日起实施。</w:t>
      </w:r>
    </w:p>
    <w:p>
      <w:pPr>
        <w:spacing w:line="480" w:lineRule="exact"/>
        <w:rPr>
          <w:rFonts w:ascii="仿宋" w:hAnsi="仿宋" w:eastAsia="仿宋" w:cs="仿宋"/>
          <w:sz w:val="30"/>
          <w:szCs w:val="30"/>
        </w:rPr>
      </w:pPr>
      <w:r>
        <w:rPr>
          <w:rFonts w:hint="eastAsia" w:ascii="仿宋" w:hAnsi="仿宋" w:eastAsia="仿宋" w:cs="仿宋"/>
          <w:sz w:val="30"/>
          <w:szCs w:val="30"/>
        </w:rPr>
        <w:t xml:space="preserve">2010年9月26，国家质量监督检验检疫总局和国家标准化管理委员会联合发布《预拌砂浆》GB/T25181-2010，并于2011年8月1日开始实施。  </w:t>
      </w:r>
    </w:p>
    <w:p>
      <w:pPr>
        <w:spacing w:line="480" w:lineRule="exact"/>
        <w:rPr>
          <w:rFonts w:ascii="仿宋" w:hAnsi="仿宋" w:eastAsia="仿宋" w:cs="仿宋"/>
          <w:sz w:val="30"/>
          <w:szCs w:val="30"/>
        </w:rPr>
      </w:pPr>
      <w:r>
        <w:rPr>
          <w:rFonts w:hint="eastAsia" w:ascii="仿宋" w:hAnsi="仿宋" w:eastAsia="仿宋" w:cs="仿宋"/>
          <w:sz w:val="30"/>
          <w:szCs w:val="30"/>
        </w:rPr>
        <w:t>2019年8月30日，国家质量监督总局和国家标准化管理委员会联合发布《预拌砂浆》GB/T25181-2019，并于2020年7月1日开始实施。</w:t>
      </w:r>
    </w:p>
    <w:p>
      <w:pPr>
        <w:spacing w:line="480" w:lineRule="exact"/>
        <w:rPr>
          <w:rFonts w:ascii="仿宋" w:hAnsi="仿宋" w:eastAsia="仿宋" w:cs="仿宋"/>
          <w:sz w:val="30"/>
          <w:szCs w:val="30"/>
        </w:rPr>
      </w:pPr>
      <w:r>
        <w:rPr>
          <w:rFonts w:hint="eastAsia" w:ascii="仿宋" w:hAnsi="仿宋" w:eastAsia="仿宋" w:cs="仿宋"/>
          <w:sz w:val="30"/>
          <w:szCs w:val="30"/>
        </w:rPr>
        <w:t>2020年11月27日，吉林省住房和城乡建设厅、吉林省市场监督管理厅联合发布《绿色预拌砂浆站评价标准》，自发布之日起开始实施。</w:t>
      </w:r>
    </w:p>
    <w:p>
      <w:pPr>
        <w:spacing w:line="480" w:lineRule="exact"/>
        <w:rPr>
          <w:rFonts w:ascii="仿宋" w:hAnsi="仿宋" w:eastAsia="仿宋" w:cs="仿宋"/>
          <w:sz w:val="30"/>
          <w:szCs w:val="30"/>
        </w:rPr>
      </w:pPr>
      <w:r>
        <w:rPr>
          <w:rFonts w:hint="eastAsia" w:ascii="仿宋" w:hAnsi="仿宋" w:eastAsia="仿宋" w:cs="仿宋"/>
          <w:sz w:val="30"/>
          <w:szCs w:val="30"/>
        </w:rPr>
        <w:t>2021年4月29日，吉林省住房和城乡建设厅、吉林省市场监督管理厅联合发布《预拌砂浆应用技术标准》（DB22/T 5056-2021）,自发布之日起开始实施。</w:t>
      </w:r>
    </w:p>
    <w:p>
      <w:pPr>
        <w:spacing w:line="480" w:lineRule="exact"/>
        <w:rPr>
          <w:rFonts w:ascii="仿宋" w:hAnsi="仿宋" w:eastAsia="仿宋" w:cs="仿宋"/>
          <w:sz w:val="30"/>
          <w:szCs w:val="30"/>
        </w:rPr>
      </w:pPr>
      <w:r>
        <w:rPr>
          <w:rFonts w:hint="eastAsia" w:ascii="仿宋" w:hAnsi="仿宋" w:eastAsia="仿宋" w:cs="仿宋"/>
          <w:b/>
          <w:bCs/>
          <w:sz w:val="30"/>
          <w:szCs w:val="30"/>
        </w:rPr>
        <w:t>相关标准如下：</w:t>
      </w:r>
    </w:p>
    <w:p>
      <w:pPr>
        <w:spacing w:line="480" w:lineRule="exact"/>
        <w:rPr>
          <w:rFonts w:ascii="仿宋" w:hAnsi="仿宋" w:eastAsia="仿宋" w:cs="仿宋"/>
          <w:sz w:val="30"/>
          <w:szCs w:val="30"/>
        </w:rPr>
      </w:pPr>
      <w:r>
        <w:rPr>
          <w:rFonts w:hint="eastAsia" w:ascii="仿宋" w:hAnsi="仿宋" w:eastAsia="仿宋" w:cs="仿宋"/>
          <w:sz w:val="30"/>
          <w:szCs w:val="30"/>
        </w:rPr>
        <w:t>《湿拌砂浆应用技术规程》T/CBCA007-2021</w:t>
      </w:r>
    </w:p>
    <w:p>
      <w:pPr>
        <w:spacing w:line="480" w:lineRule="exact"/>
        <w:rPr>
          <w:rFonts w:ascii="仿宋" w:hAnsi="仿宋" w:eastAsia="仿宋" w:cs="仿宋"/>
          <w:sz w:val="30"/>
          <w:szCs w:val="30"/>
        </w:rPr>
      </w:pPr>
      <w:r>
        <w:rPr>
          <w:rFonts w:hint="eastAsia" w:ascii="仿宋" w:hAnsi="仿宋" w:eastAsia="仿宋" w:cs="仿宋"/>
          <w:sz w:val="30"/>
          <w:szCs w:val="30"/>
        </w:rPr>
        <w:t>《绿色建材评价-预拌砂浆》T/CECS 10048-2019</w:t>
      </w:r>
    </w:p>
    <w:p>
      <w:pPr>
        <w:spacing w:line="480" w:lineRule="exact"/>
        <w:rPr>
          <w:rFonts w:ascii="仿宋" w:hAnsi="仿宋" w:eastAsia="仿宋" w:cs="仿宋"/>
          <w:sz w:val="30"/>
          <w:szCs w:val="30"/>
        </w:rPr>
      </w:pPr>
      <w:r>
        <w:rPr>
          <w:rFonts w:hint="eastAsia" w:ascii="仿宋" w:hAnsi="仿宋" w:eastAsia="仿宋" w:cs="仿宋"/>
          <w:sz w:val="30"/>
          <w:szCs w:val="30"/>
        </w:rPr>
        <w:t>《预拌砂浆应用技术规程》JGJ/T 223-2010</w:t>
      </w:r>
    </w:p>
    <w:p>
      <w:pPr>
        <w:spacing w:line="480" w:lineRule="exact"/>
        <w:rPr>
          <w:rFonts w:ascii="仿宋" w:hAnsi="仿宋" w:eastAsia="仿宋" w:cs="仿宋"/>
          <w:sz w:val="30"/>
          <w:szCs w:val="30"/>
        </w:rPr>
      </w:pPr>
      <w:r>
        <w:rPr>
          <w:rFonts w:hint="eastAsia" w:ascii="仿宋" w:hAnsi="仿宋" w:eastAsia="仿宋" w:cs="仿宋"/>
          <w:sz w:val="30"/>
          <w:szCs w:val="30"/>
        </w:rPr>
        <w:t>《干混砂浆质量管理规程》SB/T 10647-2011</w:t>
      </w:r>
    </w:p>
    <w:p>
      <w:pPr>
        <w:spacing w:line="480" w:lineRule="exact"/>
        <w:rPr>
          <w:rFonts w:ascii="仿宋" w:hAnsi="仿宋" w:eastAsia="仿宋" w:cs="仿宋"/>
          <w:sz w:val="30"/>
          <w:szCs w:val="30"/>
        </w:rPr>
      </w:pPr>
      <w:r>
        <w:rPr>
          <w:rFonts w:hint="eastAsia" w:ascii="仿宋" w:hAnsi="仿宋" w:eastAsia="仿宋" w:cs="仿宋"/>
          <w:sz w:val="30"/>
          <w:szCs w:val="30"/>
        </w:rPr>
        <w:t>《用于干混砂浆的铝酸钙添加剂》GB/T 28631-2012</w:t>
      </w:r>
    </w:p>
    <w:p>
      <w:pPr>
        <w:spacing w:line="480" w:lineRule="exact"/>
        <w:rPr>
          <w:rFonts w:ascii="仿宋" w:hAnsi="仿宋" w:eastAsia="仿宋" w:cs="仿宋"/>
          <w:sz w:val="30"/>
          <w:szCs w:val="30"/>
        </w:rPr>
      </w:pPr>
      <w:r>
        <w:rPr>
          <w:rFonts w:hint="eastAsia" w:ascii="仿宋" w:hAnsi="仿宋" w:eastAsia="仿宋" w:cs="仿宋"/>
          <w:sz w:val="30"/>
          <w:szCs w:val="30"/>
        </w:rPr>
        <w:t>《预拌砂浆术语》GB/T 31245-2014</w:t>
      </w:r>
    </w:p>
    <w:p>
      <w:pPr>
        <w:spacing w:line="480" w:lineRule="exact"/>
        <w:rPr>
          <w:rFonts w:ascii="仿宋" w:hAnsi="仿宋" w:eastAsia="仿宋" w:cs="仿宋"/>
          <w:sz w:val="30"/>
          <w:szCs w:val="30"/>
        </w:rPr>
      </w:pPr>
      <w:r>
        <w:rPr>
          <w:rFonts w:hint="eastAsia" w:ascii="仿宋" w:hAnsi="仿宋" w:eastAsia="仿宋" w:cs="仿宋"/>
          <w:sz w:val="30"/>
          <w:szCs w:val="30"/>
        </w:rPr>
        <w:t>《用于水泥、砂浆和混凝土中的石灰石粉》GB/T 35164-2017</w:t>
      </w:r>
    </w:p>
    <w:p>
      <w:pPr>
        <w:spacing w:line="480" w:lineRule="exact"/>
        <w:rPr>
          <w:rFonts w:ascii="仿宋" w:hAnsi="仿宋" w:eastAsia="仿宋" w:cs="仿宋"/>
          <w:sz w:val="30"/>
          <w:szCs w:val="30"/>
        </w:rPr>
      </w:pPr>
      <w:r>
        <w:rPr>
          <w:rFonts w:hint="eastAsia" w:ascii="仿宋" w:hAnsi="仿宋" w:eastAsia="仿宋" w:cs="仿宋"/>
          <w:sz w:val="30"/>
          <w:szCs w:val="30"/>
        </w:rPr>
        <w:t>《干混砂浆生产线设计规范》GB 51176-2016</w:t>
      </w:r>
    </w:p>
    <w:p>
      <w:pPr>
        <w:spacing w:line="480" w:lineRule="exact"/>
        <w:rPr>
          <w:rFonts w:ascii="仿宋" w:hAnsi="仿宋" w:eastAsia="仿宋" w:cs="仿宋"/>
          <w:sz w:val="30"/>
          <w:szCs w:val="30"/>
        </w:rPr>
      </w:pPr>
      <w:r>
        <w:rPr>
          <w:rFonts w:hint="eastAsia" w:ascii="仿宋" w:hAnsi="仿宋" w:eastAsia="仿宋" w:cs="仿宋"/>
          <w:sz w:val="30"/>
          <w:szCs w:val="30"/>
        </w:rPr>
        <w:t>《干混砂浆生产工艺与应用技术规范》JC/T 2089-2011</w:t>
      </w:r>
    </w:p>
    <w:p>
      <w:pPr>
        <w:spacing w:line="480" w:lineRule="exact"/>
        <w:rPr>
          <w:rFonts w:ascii="仿宋" w:hAnsi="仿宋" w:eastAsia="仿宋" w:cs="仿宋"/>
          <w:sz w:val="30"/>
          <w:szCs w:val="30"/>
        </w:rPr>
      </w:pPr>
      <w:r>
        <w:rPr>
          <w:rFonts w:hint="eastAsia" w:ascii="仿宋" w:hAnsi="仿宋" w:eastAsia="仿宋" w:cs="仿宋"/>
          <w:sz w:val="30"/>
          <w:szCs w:val="30"/>
        </w:rPr>
        <w:t>《抹灰砂浆技术规程》JGJ/T 220-2010</w:t>
      </w:r>
    </w:p>
    <w:p>
      <w:pPr>
        <w:spacing w:line="480" w:lineRule="exact"/>
        <w:rPr>
          <w:rFonts w:ascii="仿宋" w:hAnsi="仿宋" w:eastAsia="仿宋" w:cs="仿宋"/>
          <w:sz w:val="30"/>
          <w:szCs w:val="30"/>
        </w:rPr>
      </w:pPr>
      <w:r>
        <w:rPr>
          <w:rFonts w:hint="eastAsia" w:ascii="仿宋" w:hAnsi="仿宋" w:eastAsia="仿宋" w:cs="仿宋"/>
          <w:sz w:val="30"/>
          <w:szCs w:val="30"/>
        </w:rPr>
        <w:t>《建筑施工机械与设备湿拌砂浆搅拌站》JB/T 11859-2014</w:t>
      </w:r>
    </w:p>
    <w:p>
      <w:pPr>
        <w:spacing w:line="480" w:lineRule="exact"/>
        <w:rPr>
          <w:rFonts w:ascii="仿宋" w:hAnsi="仿宋" w:eastAsia="仿宋" w:cs="仿宋"/>
          <w:sz w:val="30"/>
          <w:szCs w:val="30"/>
        </w:rPr>
      </w:pPr>
      <w:r>
        <w:rPr>
          <w:rFonts w:hint="eastAsia" w:ascii="仿宋" w:hAnsi="仿宋" w:eastAsia="仿宋" w:cs="仿宋"/>
          <w:sz w:val="30"/>
          <w:szCs w:val="30"/>
        </w:rPr>
        <w:t>《预拌砂浆应用技术标准》（DB22/T 5056-2021）等。</w:t>
      </w:r>
    </w:p>
    <w:p>
      <w:pPr>
        <w:spacing w:line="480" w:lineRule="exact"/>
        <w:rPr>
          <w:rFonts w:ascii="仿宋" w:hAnsi="仿宋" w:eastAsia="仿宋" w:cs="仿宋"/>
          <w:b/>
          <w:bCs/>
          <w:sz w:val="30"/>
          <w:szCs w:val="30"/>
        </w:rPr>
      </w:pPr>
      <w:bookmarkStart w:id="12" w:name="_Toc10709"/>
      <w:r>
        <w:rPr>
          <w:rFonts w:hint="eastAsia" w:ascii="仿宋" w:hAnsi="仿宋" w:eastAsia="仿宋" w:cs="仿宋"/>
          <w:b/>
          <w:bCs/>
          <w:sz w:val="30"/>
          <w:szCs w:val="30"/>
        </w:rPr>
        <w:t>2.3 社会环境</w:t>
      </w:r>
      <w:bookmarkEnd w:id="12"/>
    </w:p>
    <w:p>
      <w:pPr>
        <w:spacing w:line="480" w:lineRule="exact"/>
        <w:rPr>
          <w:rFonts w:ascii="仿宋" w:hAnsi="仿宋" w:eastAsia="仿宋" w:cs="仿宋"/>
          <w:sz w:val="30"/>
          <w:szCs w:val="30"/>
        </w:rPr>
      </w:pPr>
      <w:r>
        <w:rPr>
          <w:rFonts w:hint="eastAsia" w:ascii="仿宋" w:hAnsi="仿宋" w:eastAsia="仿宋" w:cs="仿宋"/>
          <w:sz w:val="30"/>
          <w:szCs w:val="30"/>
        </w:rPr>
        <w:t>随着新的砌筑材料不断出现，如利用废弃原料烧结制品、混凝土砌块、混凝土砖、加气混凝土砌块等，与传统的实心粘土砖在密度、强度、对砂浆的吸水率等方面都存在较大差异。工程应用中出现的质量问题是墙体出现裂缝、剥落、空鼓等弊病，除了与墙体材料本身的质量和性能有关外，更重要的原因是抹面砂浆的性能与这些基材性能不匹配。因此采用传统普通砂浆，已经不能适应新砌筑材料的性能要求，容易出现工程质量问题。因此，应针对不同墙体材料的特点和用途、施工技术、甚至不同气候条件，系统研发和配制与之相适应的抹面砂浆和砌筑砂浆，开发多品种、多用途的预拌砂浆，这既是预拌砂浆发展的需要，同时也是建筑业高质量发展发展的需要。</w:t>
      </w:r>
    </w:p>
    <w:p>
      <w:pPr>
        <w:spacing w:line="480" w:lineRule="exact"/>
        <w:rPr>
          <w:rFonts w:ascii="仿宋" w:hAnsi="仿宋" w:eastAsia="仿宋" w:cs="仿宋"/>
          <w:sz w:val="30"/>
          <w:szCs w:val="30"/>
        </w:rPr>
      </w:pPr>
      <w:r>
        <w:rPr>
          <w:rFonts w:hint="eastAsia" w:ascii="仿宋" w:hAnsi="仿宋" w:eastAsia="仿宋" w:cs="仿宋"/>
          <w:sz w:val="30"/>
          <w:szCs w:val="30"/>
        </w:rPr>
        <w:t>伴随建筑产业化和装配式建筑的发展，对砂浆种类要求会越来越多，随之而来的是各种特种预拌砂浆的产生，如预制墙板的抹灰砂浆等。建筑机械化施工的发展对砂浆提出了更高要求，如机械化施工对砂浆的质量和性能要求更高，只有质量和性能稳定的预拌砂浆产品才能够满足要求。</w:t>
      </w:r>
    </w:p>
    <w:p>
      <w:pPr>
        <w:spacing w:line="480" w:lineRule="exact"/>
        <w:rPr>
          <w:rFonts w:ascii="仿宋" w:hAnsi="仿宋" w:eastAsia="仿宋" w:cs="仿宋"/>
          <w:sz w:val="30"/>
          <w:szCs w:val="30"/>
        </w:rPr>
      </w:pPr>
    </w:p>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预拌砂浆的社会效益</w:t>
      </w:r>
    </w:p>
    <w:p>
      <w:pPr>
        <w:spacing w:line="480" w:lineRule="exact"/>
        <w:jc w:val="center"/>
        <w:rPr>
          <w:rFonts w:ascii="仿宋" w:hAnsi="仿宋" w:eastAsia="仿宋" w:cs="仿宋"/>
          <w:b/>
          <w:bCs/>
          <w:sz w:val="30"/>
          <w:szCs w:val="30"/>
        </w:rPr>
      </w:pPr>
    </w:p>
    <w:p>
      <w:pPr>
        <w:spacing w:line="480" w:lineRule="exact"/>
        <w:rPr>
          <w:rFonts w:ascii="仿宋" w:hAnsi="仿宋" w:eastAsia="仿宋" w:cs="仿宋"/>
          <w:sz w:val="30"/>
          <w:szCs w:val="30"/>
        </w:rPr>
      </w:pPr>
      <w:r>
        <w:rPr>
          <w:rFonts w:hint="eastAsia" w:ascii="仿宋" w:hAnsi="仿宋" w:eastAsia="仿宋" w:cs="仿宋"/>
          <w:b/>
          <w:bCs/>
          <w:sz w:val="30"/>
          <w:szCs w:val="30"/>
        </w:rPr>
        <w:t>2.3.1  节能、节材、减排</w:t>
      </w:r>
    </w:p>
    <w:p>
      <w:pPr>
        <w:spacing w:line="480" w:lineRule="exact"/>
        <w:rPr>
          <w:rFonts w:ascii="仿宋" w:hAnsi="仿宋" w:eastAsia="仿宋" w:cs="仿宋"/>
          <w:sz w:val="30"/>
          <w:szCs w:val="30"/>
        </w:rPr>
      </w:pPr>
      <w:r>
        <w:rPr>
          <w:rFonts w:hint="eastAsia" w:ascii="仿宋" w:hAnsi="仿宋" w:eastAsia="仿宋" w:cs="仿宋"/>
          <w:sz w:val="30"/>
          <w:szCs w:val="30"/>
        </w:rPr>
        <w:t>预拌砂浆是节能降耗的产品，和现拌砂浆相比，每生产1吨预拌砂浆一般可节约水泥43公斤，石灰34公斤，利用粉煤灰85公斤，按水泥和石灰生产的耗能计算，可节约标煤17.5公斤，减少二氧化碳排放115公斤，如扣除烘干砂所需耗能8.5公斤标煤，仍可节约煤9公斤，减少二氧化碳排放90公斤。</w:t>
      </w:r>
    </w:p>
    <w:p>
      <w:pPr>
        <w:spacing w:line="480" w:lineRule="exact"/>
        <w:rPr>
          <w:rFonts w:ascii="仿宋" w:hAnsi="仿宋" w:eastAsia="仿宋" w:cs="仿宋"/>
          <w:sz w:val="30"/>
          <w:szCs w:val="30"/>
        </w:rPr>
      </w:pPr>
      <w:r>
        <w:rPr>
          <w:rFonts w:hint="eastAsia" w:ascii="仿宋" w:hAnsi="仿宋" w:eastAsia="仿宋" w:cs="仿宋"/>
          <w:sz w:val="30"/>
          <w:szCs w:val="30"/>
        </w:rPr>
        <w:t>预拌砂浆实现了规模化、专业化生产，密闭无尘装卸、储运和应用，最大减少材料浪费，节约原材料。预拌砂浆还有一套可溯源的质量保证体系，从制度上强化了生产单位的质量意识，降低工程返工和维修、维护率，实现了更为广泛意义的节材。施工现场大大减少扬尘的产生和排放，实现文明施工、绿色施工，达到环保要求。</w:t>
      </w:r>
    </w:p>
    <w:p>
      <w:pPr>
        <w:spacing w:line="480" w:lineRule="exact"/>
        <w:rPr>
          <w:rFonts w:ascii="仿宋" w:hAnsi="仿宋" w:eastAsia="仿宋" w:cs="仿宋"/>
          <w:b/>
          <w:bCs/>
          <w:sz w:val="30"/>
          <w:szCs w:val="30"/>
        </w:rPr>
      </w:pPr>
      <w:r>
        <w:rPr>
          <w:rFonts w:hint="eastAsia" w:ascii="仿宋" w:hAnsi="仿宋" w:eastAsia="仿宋" w:cs="仿宋"/>
          <w:b/>
          <w:bCs/>
          <w:sz w:val="30"/>
          <w:szCs w:val="30"/>
        </w:rPr>
        <w:t>2.3.2以人为本，降低职业病危害</w:t>
      </w:r>
    </w:p>
    <w:p>
      <w:pPr>
        <w:spacing w:line="480" w:lineRule="exact"/>
        <w:rPr>
          <w:rFonts w:ascii="仿宋" w:hAnsi="仿宋" w:eastAsia="仿宋" w:cs="仿宋"/>
          <w:sz w:val="30"/>
          <w:szCs w:val="30"/>
        </w:rPr>
      </w:pPr>
      <w:r>
        <w:rPr>
          <w:rFonts w:hint="eastAsia" w:ascii="仿宋" w:hAnsi="仿宋" w:eastAsia="仿宋" w:cs="仿宋"/>
          <w:sz w:val="30"/>
          <w:szCs w:val="30"/>
        </w:rPr>
        <w:t>预拌砂浆实现了工厂化生产，生产过程密闭无扬尘，保证生产工人健康；现场无扬尘产生，与传统现场搅拌砂浆相比大大降低施工人员的粉尘吸入量，减少职业病发生。使用预拌砂浆也是减少城镇污染的重要措施。施工现场的粉尘污染成为城市大气污染中主要的粉尘污染源。据统计，施工扬尘占城区粉尘排放量的22%，其中水泥使用及其相关的粉尘排放占施工扬尘总量的35%，由此可见水泥使用过程中的粉尘排放量是施工扬尘的主要污染源。预拌砂浆具有环保、节能、专业、高效的优点，大大减少城市粉尘污染。我们通过贯彻和实施环境体系标准,提高全民环保意识,才能实现经济发展与人类生存环境相协调,保证经济的健康和可持续发展。</w:t>
      </w:r>
    </w:p>
    <w:p>
      <w:pPr>
        <w:spacing w:line="480" w:lineRule="exact"/>
        <w:rPr>
          <w:rFonts w:ascii="仿宋" w:hAnsi="仿宋" w:eastAsia="仿宋" w:cs="仿宋"/>
          <w:sz w:val="30"/>
          <w:szCs w:val="30"/>
        </w:rPr>
      </w:pPr>
      <w:r>
        <w:rPr>
          <w:rFonts w:hint="eastAsia" w:ascii="仿宋" w:hAnsi="仿宋" w:eastAsia="仿宋" w:cs="仿宋"/>
          <w:b/>
          <w:bCs/>
          <w:sz w:val="30"/>
          <w:szCs w:val="30"/>
        </w:rPr>
        <w:t>2.3.3  增加财政税收</w:t>
      </w:r>
    </w:p>
    <w:p>
      <w:pPr>
        <w:spacing w:line="480" w:lineRule="exact"/>
        <w:rPr>
          <w:rFonts w:ascii="仿宋" w:hAnsi="仿宋" w:eastAsia="仿宋" w:cs="仿宋"/>
          <w:sz w:val="30"/>
          <w:szCs w:val="30"/>
        </w:rPr>
      </w:pPr>
      <w:r>
        <w:rPr>
          <w:rFonts w:hint="eastAsia" w:ascii="仿宋" w:hAnsi="仿宋" w:eastAsia="仿宋" w:cs="仿宋"/>
          <w:sz w:val="30"/>
          <w:szCs w:val="30"/>
        </w:rPr>
        <w:t>传统现场搅拌砂浆的应用主要用于砌体砌筑、室内外抹灰，多为传统包工包料的分包形式，从原材料到施工过程中缺少可控的税收环节，而预拌砂浆做为一种产品，以购买商品的形式应用于建筑市场，减少中间环节，更有利于增加地方财政税收。</w:t>
      </w:r>
    </w:p>
    <w:p>
      <w:pPr>
        <w:spacing w:line="480" w:lineRule="exact"/>
        <w:rPr>
          <w:rFonts w:ascii="仿宋" w:hAnsi="仿宋" w:eastAsia="仿宋" w:cs="仿宋"/>
          <w:sz w:val="30"/>
          <w:szCs w:val="30"/>
        </w:rPr>
      </w:pPr>
      <w:r>
        <w:rPr>
          <w:rFonts w:hint="eastAsia" w:ascii="仿宋" w:hAnsi="仿宋" w:eastAsia="仿宋" w:cs="仿宋"/>
          <w:sz w:val="30"/>
          <w:szCs w:val="30"/>
        </w:rPr>
        <w:t>预拌砂浆作为一项新兴的建材产品，相对于现场搅拌砂浆，从保证产品质量、减少施工现场扬尘污染、改善工人劳动环境等方面有现场搅拌砂浆无法比拟的优势。按照预拌砂浆平均300元/吨，税率13%计算，吉林省全面推广使用预拌砂浆可以创造4亿元左右税收。</w:t>
      </w: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pPr>
    </w:p>
    <w:p>
      <w:pPr>
        <w:spacing w:line="480" w:lineRule="exact"/>
        <w:rPr>
          <w:rFonts w:ascii="仿宋" w:hAnsi="仿宋" w:eastAsia="仿宋" w:cs="仿宋"/>
          <w:sz w:val="30"/>
          <w:szCs w:val="30"/>
        </w:rPr>
        <w:sectPr>
          <w:headerReference r:id="rId8" w:type="default"/>
          <w:pgSz w:w="11906" w:h="16838"/>
          <w:pgMar w:top="1797" w:right="1440" w:bottom="1797" w:left="1440" w:header="851" w:footer="992" w:gutter="0"/>
          <w:cols w:space="720" w:num="1"/>
          <w:docGrid w:linePitch="312" w:charSpace="0"/>
        </w:sectPr>
      </w:pPr>
    </w:p>
    <w:p>
      <w:pPr>
        <w:numPr>
          <w:ilvl w:val="0"/>
          <w:numId w:val="2"/>
        </w:numPr>
        <w:spacing w:line="480" w:lineRule="exact"/>
        <w:jc w:val="center"/>
        <w:rPr>
          <w:rFonts w:asciiTheme="majorEastAsia" w:hAnsiTheme="majorEastAsia" w:eastAsiaTheme="majorEastAsia" w:cstheme="majorEastAsia"/>
          <w:b/>
          <w:bCs/>
          <w:sz w:val="44"/>
          <w:szCs w:val="44"/>
        </w:rPr>
      </w:pPr>
      <w:bookmarkStart w:id="13" w:name="_Toc8147"/>
      <w:r>
        <w:rPr>
          <w:rFonts w:hint="eastAsia" w:asciiTheme="majorEastAsia" w:hAnsiTheme="majorEastAsia" w:eastAsiaTheme="majorEastAsia" w:cstheme="majorEastAsia"/>
          <w:b/>
          <w:bCs/>
          <w:sz w:val="44"/>
          <w:szCs w:val="44"/>
        </w:rPr>
        <w:t>指导思想、需求预测、总体目标</w:t>
      </w:r>
      <w:bookmarkEnd w:id="13"/>
    </w:p>
    <w:p>
      <w:pPr>
        <w:spacing w:line="480" w:lineRule="exact"/>
        <w:jc w:val="center"/>
        <w:rPr>
          <w:rFonts w:ascii="仿宋" w:hAnsi="仿宋" w:eastAsia="仿宋" w:cs="仿宋"/>
          <w:b/>
          <w:bCs/>
          <w:sz w:val="36"/>
          <w:szCs w:val="36"/>
        </w:rPr>
      </w:pPr>
    </w:p>
    <w:p>
      <w:pPr>
        <w:spacing w:line="480" w:lineRule="exact"/>
        <w:rPr>
          <w:rFonts w:ascii="仿宋" w:hAnsi="仿宋" w:eastAsia="仿宋" w:cs="仿宋"/>
          <w:b/>
          <w:bCs/>
          <w:sz w:val="30"/>
          <w:szCs w:val="30"/>
        </w:rPr>
      </w:pPr>
      <w:bookmarkStart w:id="14" w:name="_Toc10746"/>
      <w:r>
        <w:rPr>
          <w:rFonts w:hint="eastAsia" w:ascii="仿宋" w:hAnsi="仿宋" w:eastAsia="仿宋" w:cs="仿宋"/>
          <w:b/>
          <w:bCs/>
          <w:sz w:val="30"/>
          <w:szCs w:val="30"/>
        </w:rPr>
        <w:t>3.1指导思想</w:t>
      </w:r>
      <w:bookmarkEnd w:id="14"/>
    </w:p>
    <w:p>
      <w:pPr>
        <w:spacing w:line="480" w:lineRule="exact"/>
        <w:rPr>
          <w:rFonts w:ascii="仿宋" w:hAnsi="仿宋" w:eastAsia="仿宋" w:cs="仿宋"/>
          <w:sz w:val="30"/>
          <w:szCs w:val="30"/>
        </w:rPr>
      </w:pPr>
      <w:r>
        <w:rPr>
          <w:rFonts w:hint="eastAsia" w:ascii="仿宋" w:hAnsi="仿宋" w:eastAsia="仿宋" w:cs="仿宋"/>
          <w:sz w:val="30"/>
          <w:szCs w:val="30"/>
        </w:rPr>
        <w:t>以习近平新时代中国特色社会主义思想为指导，以“创新、协调、绿色、开放、共享”五大发展理念为基本思想，以发展资源节约型、环境友好型社会为建设目标，依靠科技进步，完善政策法规，坚持政府调控、市场运作，综合运用经济、法律以及行政手段，以市场为导向，以科技创新为突破，促进新技术、新产品的广泛应用，推广使用预拌砂浆，积极推动预拌砂浆行业在吉林省的持续、健康发展，为吉林省建设资源节约型、环境友好型城市做出更大贡献。</w:t>
      </w:r>
    </w:p>
    <w:p>
      <w:pPr>
        <w:spacing w:line="480" w:lineRule="exact"/>
        <w:rPr>
          <w:rFonts w:ascii="仿宋" w:hAnsi="仿宋" w:eastAsia="仿宋" w:cs="仿宋"/>
          <w:sz w:val="30"/>
          <w:szCs w:val="30"/>
        </w:rPr>
      </w:pPr>
      <w:r>
        <w:rPr>
          <w:rFonts w:hint="eastAsia" w:ascii="仿宋" w:hAnsi="仿宋" w:eastAsia="仿宋" w:cs="仿宋"/>
          <w:sz w:val="30"/>
          <w:szCs w:val="30"/>
        </w:rPr>
        <w:t xml:space="preserve">    全面贯彻实施《吉林省促进散装水泥和预拌混凝土、预拌砂浆发展办法》，积极推进预拌砂浆由粗放型向集约型转变，坚持走工业化、专业化、产业化发展道路，以节约能源资源、实现绿色环保、改善施工工艺、提升建筑质量为目的，促进预拌砂浆行业的有序发展和应用，全面提升吉林省城市建设的质量和形象。</w:t>
      </w:r>
    </w:p>
    <w:p>
      <w:pPr>
        <w:spacing w:line="480" w:lineRule="exact"/>
        <w:rPr>
          <w:rFonts w:ascii="仿宋" w:hAnsi="仿宋" w:eastAsia="仿宋" w:cs="仿宋"/>
          <w:sz w:val="30"/>
          <w:szCs w:val="30"/>
        </w:rPr>
      </w:pPr>
      <w:bookmarkStart w:id="15" w:name="_Toc10196"/>
      <w:r>
        <w:rPr>
          <w:rFonts w:hint="eastAsia" w:ascii="仿宋" w:hAnsi="仿宋" w:eastAsia="仿宋" w:cs="仿宋"/>
          <w:b/>
          <w:bCs/>
          <w:sz w:val="30"/>
          <w:szCs w:val="30"/>
        </w:rPr>
        <w:t>3.2预拌砂浆发展工作重点</w:t>
      </w:r>
      <w:r>
        <w:rPr>
          <w:rFonts w:hint="eastAsia" w:ascii="仿宋" w:hAnsi="仿宋" w:eastAsia="仿宋" w:cs="仿宋"/>
          <w:sz w:val="30"/>
          <w:szCs w:val="30"/>
        </w:rPr>
        <w:t>：</w:t>
      </w:r>
      <w:bookmarkEnd w:id="15"/>
    </w:p>
    <w:p>
      <w:pPr>
        <w:spacing w:line="480" w:lineRule="exact"/>
        <w:rPr>
          <w:rFonts w:ascii="仿宋" w:hAnsi="仿宋" w:eastAsia="仿宋" w:cs="仿宋"/>
          <w:sz w:val="30"/>
          <w:szCs w:val="30"/>
        </w:rPr>
      </w:pPr>
      <w:r>
        <w:rPr>
          <w:rFonts w:hint="eastAsia" w:ascii="仿宋" w:hAnsi="仿宋" w:eastAsia="仿宋" w:cs="仿宋"/>
          <w:sz w:val="30"/>
          <w:szCs w:val="30"/>
        </w:rPr>
        <w:t>1、在本省禁止施工现场搅拌砂浆区域内的房屋建筑和市政基础设施工程，砌筑、抹灰、地面类普通砂浆应使用散装化预拌砂浆，应用特种砂浆时，倡导散装化，并使用预拌干混砂浆。</w:t>
      </w:r>
    </w:p>
    <w:p>
      <w:pPr>
        <w:spacing w:line="480" w:lineRule="exact"/>
        <w:rPr>
          <w:rFonts w:ascii="仿宋" w:hAnsi="仿宋" w:eastAsia="仿宋" w:cs="仿宋"/>
          <w:sz w:val="30"/>
          <w:szCs w:val="30"/>
        </w:rPr>
      </w:pPr>
      <w:r>
        <w:rPr>
          <w:rFonts w:hint="eastAsia" w:ascii="仿宋" w:hAnsi="仿宋" w:eastAsia="仿宋" w:cs="仿宋"/>
          <w:sz w:val="30"/>
          <w:szCs w:val="30"/>
        </w:rPr>
        <w:t>2、建设单位应严格落实预拌砂浆应用及禁止施工现场搅拌砂浆相关法律、法规政策和标准规定，加强对工程建设全过程的质量安全管理。</w:t>
      </w:r>
    </w:p>
    <w:p>
      <w:pPr>
        <w:spacing w:line="480" w:lineRule="exact"/>
        <w:rPr>
          <w:rFonts w:ascii="仿宋" w:hAnsi="仿宋" w:eastAsia="仿宋" w:cs="仿宋"/>
          <w:sz w:val="30"/>
          <w:szCs w:val="30"/>
        </w:rPr>
      </w:pPr>
      <w:r>
        <w:rPr>
          <w:rFonts w:hint="eastAsia" w:ascii="仿宋" w:hAnsi="仿宋" w:eastAsia="仿宋" w:cs="仿宋"/>
          <w:sz w:val="30"/>
          <w:szCs w:val="30"/>
        </w:rPr>
        <w:t>3、勘察设计部门要明确要求设计单位严格执行国家相关技术标准。</w:t>
      </w:r>
    </w:p>
    <w:p>
      <w:pPr>
        <w:spacing w:line="480" w:lineRule="exact"/>
        <w:rPr>
          <w:rFonts w:ascii="仿宋" w:hAnsi="仿宋" w:eastAsia="仿宋" w:cs="仿宋"/>
          <w:sz w:val="30"/>
          <w:szCs w:val="30"/>
        </w:rPr>
      </w:pPr>
      <w:r>
        <w:rPr>
          <w:rFonts w:hint="eastAsia" w:ascii="仿宋" w:hAnsi="仿宋" w:eastAsia="仿宋" w:cs="仿宋"/>
          <w:sz w:val="30"/>
          <w:szCs w:val="30"/>
        </w:rPr>
        <w:t>4、建设工程造价管理部门应将使用预拌砂浆纳入计价体系，并根据市场原材料等价格因素，定期发布预拌砂浆的价格信息。</w:t>
      </w:r>
    </w:p>
    <w:p>
      <w:pPr>
        <w:spacing w:line="480" w:lineRule="exact"/>
        <w:rPr>
          <w:rFonts w:ascii="仿宋" w:hAnsi="仿宋" w:eastAsia="仿宋" w:cs="仿宋"/>
          <w:sz w:val="30"/>
          <w:szCs w:val="30"/>
        </w:rPr>
      </w:pPr>
      <w:r>
        <w:rPr>
          <w:rFonts w:hint="eastAsia" w:ascii="仿宋" w:hAnsi="仿宋" w:eastAsia="仿宋" w:cs="仿宋"/>
          <w:sz w:val="30"/>
          <w:szCs w:val="30"/>
        </w:rPr>
        <w:t>5、施工单位应严格按照《预拌砂浆应用技术标准》（DB22/T 5056-2021）。加强对施工人员的专业技能培训，确保预拌砂浆的施工质量，大力鼓励在建设施工中采用机械化先进施工工艺。</w:t>
      </w:r>
    </w:p>
    <w:p>
      <w:pPr>
        <w:spacing w:line="480" w:lineRule="exact"/>
        <w:rPr>
          <w:rFonts w:ascii="仿宋" w:hAnsi="仿宋" w:eastAsia="仿宋" w:cs="仿宋"/>
          <w:sz w:val="30"/>
          <w:szCs w:val="30"/>
        </w:rPr>
      </w:pPr>
      <w:r>
        <w:rPr>
          <w:rFonts w:hint="eastAsia" w:ascii="仿宋" w:hAnsi="仿宋" w:eastAsia="仿宋" w:cs="仿宋"/>
          <w:sz w:val="30"/>
          <w:szCs w:val="30"/>
        </w:rPr>
        <w:t>6、实施工程监理的监理单位要加强预拌砂浆进场及施工过程的监理，坚决制止现场搅拌砂浆。对不按照规定使用预拌砂浆的，应要求施工单位及时改正，并报告建设单位，对拒不整改的，应及时向当地住房和城乡建设主管部门报告。</w:t>
      </w:r>
    </w:p>
    <w:p>
      <w:pPr>
        <w:spacing w:line="480" w:lineRule="exact"/>
        <w:rPr>
          <w:rFonts w:ascii="仿宋" w:hAnsi="仿宋" w:eastAsia="仿宋" w:cs="仿宋"/>
          <w:sz w:val="30"/>
          <w:szCs w:val="30"/>
        </w:rPr>
      </w:pPr>
      <w:r>
        <w:rPr>
          <w:rFonts w:hint="eastAsia" w:ascii="仿宋" w:hAnsi="仿宋" w:eastAsia="仿宋" w:cs="仿宋"/>
          <w:sz w:val="30"/>
          <w:szCs w:val="30"/>
        </w:rPr>
        <w:t>7、预拌砂浆生产企业对产品质量负责，应建立健全质量管理体系。</w:t>
      </w:r>
    </w:p>
    <w:p>
      <w:pPr>
        <w:spacing w:line="480" w:lineRule="exact"/>
        <w:rPr>
          <w:rFonts w:ascii="仿宋" w:hAnsi="仿宋" w:eastAsia="仿宋" w:cs="仿宋"/>
          <w:sz w:val="30"/>
          <w:szCs w:val="30"/>
        </w:rPr>
      </w:pPr>
      <w:r>
        <w:rPr>
          <w:rFonts w:hint="eastAsia" w:ascii="仿宋" w:hAnsi="仿宋" w:eastAsia="仿宋" w:cs="仿宋"/>
          <w:sz w:val="30"/>
          <w:szCs w:val="30"/>
        </w:rPr>
        <w:t>8、工程质量监督机构要加强对预拌砂浆使用情况和施工质量的监督检查，未按照标准使用预拌砂浆的工程，责令限期整改，对拒不整改或整改不合格的，建设单位不得组织竣工验收。</w:t>
      </w:r>
    </w:p>
    <w:p>
      <w:pPr>
        <w:spacing w:line="480" w:lineRule="exact"/>
        <w:rPr>
          <w:rFonts w:ascii="仿宋" w:hAnsi="仿宋" w:eastAsia="仿宋" w:cs="仿宋"/>
          <w:sz w:val="30"/>
          <w:szCs w:val="30"/>
        </w:rPr>
      </w:pPr>
      <w:r>
        <w:rPr>
          <w:rFonts w:hint="eastAsia" w:ascii="仿宋" w:hAnsi="仿宋" w:eastAsia="仿宋" w:cs="仿宋"/>
          <w:sz w:val="30"/>
          <w:szCs w:val="30"/>
        </w:rPr>
        <w:t>9、将建设工程使用预拌砂浆情况，作为施工现场标准化示范工地、绿色建筑、优质工程等评优选优的控制项，进行重点审查。</w:t>
      </w:r>
    </w:p>
    <w:p>
      <w:pPr>
        <w:spacing w:line="480" w:lineRule="exact"/>
        <w:rPr>
          <w:rFonts w:ascii="仿宋" w:hAnsi="仿宋" w:eastAsia="仿宋" w:cs="仿宋"/>
          <w:sz w:val="30"/>
          <w:szCs w:val="30"/>
        </w:rPr>
      </w:pPr>
      <w:r>
        <w:rPr>
          <w:rFonts w:hint="eastAsia" w:ascii="仿宋" w:hAnsi="仿宋" w:eastAsia="仿宋" w:cs="仿宋"/>
          <w:sz w:val="30"/>
          <w:szCs w:val="30"/>
        </w:rPr>
        <w:t>10、我省预拌砂浆企业生产应达到绿色环保要求并建立完善的质量保障体系。预拌砂浆生产企业实行自愿登记管理，生产企业可自愿到市（州）住房和城乡建设主管部门申请登记，各市（州）住房和城乡建设主管部门将登记结果及时上报省住房和城乡建设厅，省住房和城乡建设厅将定期向社会公布全省通过登记的企业名录。</w:t>
      </w:r>
    </w:p>
    <w:p>
      <w:pPr>
        <w:spacing w:line="480" w:lineRule="exact"/>
        <w:rPr>
          <w:rFonts w:ascii="仿宋" w:hAnsi="仿宋" w:eastAsia="仿宋" w:cs="仿宋"/>
          <w:b/>
          <w:bCs/>
          <w:sz w:val="30"/>
          <w:szCs w:val="30"/>
        </w:rPr>
      </w:pPr>
      <w:bookmarkStart w:id="16" w:name="_Toc30538"/>
      <w:r>
        <w:rPr>
          <w:rFonts w:hint="eastAsia" w:ascii="仿宋" w:hAnsi="仿宋" w:eastAsia="仿宋" w:cs="仿宋"/>
          <w:b/>
          <w:bCs/>
          <w:sz w:val="30"/>
          <w:szCs w:val="30"/>
        </w:rPr>
        <w:t>3.3需求预测</w:t>
      </w:r>
      <w:bookmarkEnd w:id="16"/>
    </w:p>
    <w:p>
      <w:pPr>
        <w:spacing w:line="480" w:lineRule="exact"/>
        <w:rPr>
          <w:rFonts w:ascii="仿宋" w:hAnsi="仿宋" w:eastAsia="仿宋" w:cs="仿宋"/>
          <w:sz w:val="30"/>
          <w:szCs w:val="30"/>
        </w:rPr>
      </w:pPr>
      <w:r>
        <w:rPr>
          <w:rFonts w:hint="eastAsia" w:ascii="仿宋" w:hAnsi="仿宋" w:eastAsia="仿宋" w:cs="仿宋"/>
          <w:sz w:val="30"/>
          <w:szCs w:val="30"/>
        </w:rPr>
        <w:t>根据吉林省“十三五”期间各年新开工房屋建筑面积，预测“十四五”期间各年的砂浆需求量见下表：</w:t>
      </w:r>
    </w:p>
    <w:tbl>
      <w:tblPr>
        <w:tblStyle w:val="32"/>
        <w:tblW w:w="6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地区</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b/>
                <w:bCs/>
                <w:sz w:val="30"/>
                <w:szCs w:val="30"/>
              </w:rPr>
              <w:t>“十四五”期间年均砂浆需求量（万t）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总 计</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长 春</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吉 林</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四 平</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辽 源</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通 化</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白 山</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松 原</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白 城</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延 边</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长白山管委会</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518"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梅河口新区</w:t>
            </w:r>
          </w:p>
        </w:tc>
        <w:tc>
          <w:tcPr>
            <w:tcW w:w="4398"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80</w:t>
            </w:r>
          </w:p>
        </w:tc>
      </w:tr>
    </w:tbl>
    <w:p>
      <w:pPr>
        <w:spacing w:line="480" w:lineRule="exact"/>
        <w:rPr>
          <w:rFonts w:ascii="仿宋" w:hAnsi="仿宋" w:eastAsia="仿宋" w:cs="仿宋"/>
          <w:sz w:val="30"/>
          <w:szCs w:val="30"/>
        </w:rPr>
      </w:pPr>
      <w:bookmarkStart w:id="17" w:name="_Toc5132"/>
      <w:r>
        <w:rPr>
          <w:rFonts w:hint="eastAsia" w:ascii="仿宋" w:hAnsi="仿宋" w:eastAsia="仿宋" w:cs="仿宋"/>
          <w:b/>
          <w:bCs/>
          <w:sz w:val="30"/>
          <w:szCs w:val="30"/>
        </w:rPr>
        <w:t>3.4发展目标</w:t>
      </w:r>
      <w:bookmarkEnd w:id="17"/>
    </w:p>
    <w:bookmarkEnd w:id="1"/>
    <w:bookmarkEnd w:id="2"/>
    <w:p>
      <w:pPr>
        <w:spacing w:line="480" w:lineRule="exact"/>
        <w:rPr>
          <w:rFonts w:ascii="仿宋" w:hAnsi="仿宋" w:eastAsia="仿宋" w:cs="仿宋"/>
          <w:b/>
          <w:bCs/>
          <w:sz w:val="30"/>
          <w:szCs w:val="30"/>
        </w:rPr>
      </w:pPr>
      <w:r>
        <w:rPr>
          <w:rFonts w:hint="eastAsia" w:ascii="仿宋" w:hAnsi="仿宋" w:eastAsia="仿宋" w:cs="仿宋"/>
          <w:b/>
          <w:bCs/>
          <w:sz w:val="30"/>
          <w:szCs w:val="30"/>
        </w:rPr>
        <w:t>（一）禁现范围</w:t>
      </w:r>
    </w:p>
    <w:p>
      <w:pPr>
        <w:spacing w:line="480" w:lineRule="exact"/>
        <w:rPr>
          <w:rFonts w:ascii="仿宋" w:hAnsi="仿宋" w:eastAsia="仿宋" w:cs="仿宋"/>
          <w:sz w:val="30"/>
          <w:szCs w:val="30"/>
        </w:rPr>
      </w:pPr>
      <w:r>
        <w:rPr>
          <w:rFonts w:hint="eastAsia" w:ascii="仿宋" w:hAnsi="仿宋" w:eastAsia="仿宋" w:cs="仿宋"/>
          <w:sz w:val="30"/>
          <w:szCs w:val="30"/>
        </w:rPr>
        <w:t>吉林省内市、县主城区。</w:t>
      </w:r>
    </w:p>
    <w:p>
      <w:pPr>
        <w:spacing w:line="480" w:lineRule="exact"/>
        <w:rPr>
          <w:rFonts w:ascii="仿宋" w:hAnsi="仿宋" w:eastAsia="仿宋" w:cs="仿宋"/>
          <w:sz w:val="30"/>
          <w:szCs w:val="30"/>
        </w:rPr>
      </w:pPr>
      <w:r>
        <w:rPr>
          <w:rFonts w:hint="eastAsia" w:ascii="仿宋" w:hAnsi="仿宋" w:eastAsia="仿宋" w:cs="仿宋"/>
          <w:b/>
          <w:bCs/>
          <w:sz w:val="30"/>
          <w:szCs w:val="30"/>
        </w:rPr>
        <w:t>（二）规范生产线建设</w:t>
      </w:r>
    </w:p>
    <w:tbl>
      <w:tblPr>
        <w:tblStyle w:val="32"/>
        <w:tblW w:w="6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地区</w:t>
            </w:r>
          </w:p>
        </w:tc>
        <w:tc>
          <w:tcPr>
            <w:tcW w:w="4240"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“十四五”期间</w:t>
            </w:r>
          </w:p>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各地区生产线规划设计产能（万t）</w:t>
            </w:r>
          </w:p>
          <w:p>
            <w:pPr>
              <w:spacing w:line="480" w:lineRule="exact"/>
              <w:jc w:val="center"/>
              <w:rPr>
                <w:rFonts w:ascii="仿宋" w:hAnsi="仿宋" w:eastAsia="仿宋" w:cs="仿宋"/>
                <w:sz w:val="30"/>
                <w:szCs w:val="30"/>
              </w:rPr>
            </w:pPr>
            <w:r>
              <w:rPr>
                <w:rFonts w:hint="eastAsia" w:ascii="仿宋" w:hAnsi="仿宋" w:eastAsia="仿宋" w:cs="仿宋"/>
                <w:sz w:val="30"/>
                <w:szCs w:val="30"/>
              </w:rPr>
              <w:t>（万t）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总 计</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长 春</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吉 林</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四 平</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辽 源</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通 化</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白 山</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松 原</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白 城</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延 边</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长白山管委会</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357" w:type="dxa"/>
            <w:shd w:val="solid" w:color="FFFFFF" w:fill="auto"/>
            <w:vAlign w:val="center"/>
          </w:tcPr>
          <w:p>
            <w:pPr>
              <w:spacing w:line="480" w:lineRule="exact"/>
              <w:jc w:val="center"/>
              <w:rPr>
                <w:rFonts w:ascii="仿宋" w:hAnsi="仿宋" w:eastAsia="仿宋" w:cs="仿宋"/>
                <w:b/>
                <w:bCs/>
                <w:sz w:val="30"/>
                <w:szCs w:val="30"/>
              </w:rPr>
            </w:pPr>
            <w:r>
              <w:rPr>
                <w:rFonts w:hint="eastAsia" w:ascii="仿宋" w:hAnsi="仿宋" w:eastAsia="仿宋" w:cs="仿宋"/>
                <w:b/>
                <w:bCs/>
                <w:sz w:val="30"/>
                <w:szCs w:val="30"/>
              </w:rPr>
              <w:t>梅河口新区</w:t>
            </w:r>
          </w:p>
        </w:tc>
        <w:tc>
          <w:tcPr>
            <w:tcW w:w="4240" w:type="dxa"/>
            <w:shd w:val="solid" w:color="FFFFFF" w:fill="auto"/>
            <w:vAlign w:val="center"/>
          </w:tcPr>
          <w:p>
            <w:pPr>
              <w:spacing w:line="480" w:lineRule="exact"/>
              <w:jc w:val="center"/>
              <w:rPr>
                <w:rFonts w:ascii="仿宋" w:hAnsi="仿宋" w:eastAsia="仿宋" w:cs="仿宋"/>
                <w:sz w:val="30"/>
                <w:szCs w:val="30"/>
              </w:rPr>
            </w:pPr>
            <w:r>
              <w:rPr>
                <w:rFonts w:hint="eastAsia" w:ascii="仿宋" w:hAnsi="仿宋" w:eastAsia="仿宋" w:cs="仿宋"/>
                <w:sz w:val="30"/>
                <w:szCs w:val="30"/>
              </w:rPr>
              <w:t>200</w:t>
            </w:r>
          </w:p>
        </w:tc>
      </w:tr>
    </w:tbl>
    <w:p>
      <w:pPr>
        <w:spacing w:line="480" w:lineRule="exact"/>
        <w:rPr>
          <w:rFonts w:ascii="仿宋" w:hAnsi="仿宋" w:eastAsia="仿宋" w:cs="仿宋"/>
          <w:b/>
          <w:bCs/>
          <w:sz w:val="30"/>
          <w:szCs w:val="30"/>
        </w:rPr>
      </w:pPr>
      <w:r>
        <w:rPr>
          <w:rFonts w:hint="eastAsia" w:ascii="仿宋" w:hAnsi="仿宋" w:eastAsia="仿宋" w:cs="仿宋"/>
          <w:b/>
          <w:bCs/>
          <w:sz w:val="30"/>
          <w:szCs w:val="30"/>
        </w:rPr>
        <w:t>（三） 加强技术人才培养</w:t>
      </w:r>
    </w:p>
    <w:p>
      <w:pPr>
        <w:spacing w:line="480" w:lineRule="exact"/>
        <w:rPr>
          <w:rFonts w:ascii="仿宋" w:hAnsi="仿宋" w:eastAsia="仿宋" w:cs="仿宋"/>
          <w:sz w:val="30"/>
          <w:szCs w:val="30"/>
        </w:rPr>
      </w:pPr>
      <w:r>
        <w:rPr>
          <w:rFonts w:hint="eastAsia" w:ascii="仿宋" w:hAnsi="仿宋" w:eastAsia="仿宋" w:cs="仿宋"/>
          <w:sz w:val="30"/>
          <w:szCs w:val="30"/>
        </w:rPr>
        <w:t>鼓励企业与高校、科研院所合作，设立预拌砂浆技术研发中心，共同推进预拌砂浆生产和应用技术发展。要加强与高校、科研院所合作，开展试验室从业人员培训、进修，以及在高等院校建材、建筑相关专业中设置预拌砂浆课程，为预拌砂浆产业发展培养专业技术人员。要强化对预拌砂浆生产企业产品质量监管，严格试验室考核验收、中期检查，着力开展预拌砂浆产品质量抽检，动态掌握我省预拌砂浆产品质量和风险情况，督促企业完善质量管理制度，提高质量控制能力。</w:t>
      </w:r>
    </w:p>
    <w:p>
      <w:pPr>
        <w:spacing w:line="480" w:lineRule="exact"/>
        <w:rPr>
          <w:rFonts w:ascii="仿宋" w:hAnsi="仿宋" w:eastAsia="仿宋" w:cs="仿宋"/>
          <w:sz w:val="30"/>
          <w:szCs w:val="30"/>
        </w:rPr>
      </w:pPr>
      <w:r>
        <w:rPr>
          <w:rFonts w:hint="eastAsia" w:ascii="仿宋" w:hAnsi="仿宋" w:eastAsia="仿宋" w:cs="仿宋"/>
          <w:b/>
          <w:bCs/>
          <w:sz w:val="30"/>
          <w:szCs w:val="30"/>
        </w:rPr>
        <w:t>（四） 推进机械喷涂施工技术</w:t>
      </w:r>
    </w:p>
    <w:p>
      <w:pPr>
        <w:spacing w:line="480" w:lineRule="exact"/>
        <w:rPr>
          <w:rFonts w:ascii="仿宋" w:hAnsi="仿宋" w:eastAsia="仿宋" w:cs="仿宋"/>
          <w:sz w:val="30"/>
          <w:szCs w:val="30"/>
        </w:rPr>
      </w:pPr>
      <w:r>
        <w:rPr>
          <w:rFonts w:hint="eastAsia" w:ascii="仿宋" w:hAnsi="仿宋" w:eastAsia="仿宋" w:cs="仿宋"/>
          <w:sz w:val="30"/>
          <w:szCs w:val="30"/>
        </w:rPr>
        <w:t>积极开展预拌砂浆机械喷涂技术应用，进一步发挥“机器换人”优势，提高抹灰砂浆使用比例。鼓励机械喷涂设备制造企业改进预拌砂浆喷涂、泵送机械性能，提高设备的适用性和稳定性，进一步降低机械喷涂设备使用成本。加强预拌砂浆机械喷涂施工操作技术培训，引导企业开展机械喷涂施工试点，培育预拌砂浆专业机械喷涂施工队伍。鼓励各市开展机械喷涂施工试点项目建设，逐步扩大预拌砂浆机械喷涂施工规模。</w:t>
      </w:r>
    </w:p>
    <w:p>
      <w:pPr>
        <w:spacing w:line="480" w:lineRule="exact"/>
        <w:rPr>
          <w:rFonts w:ascii="仿宋" w:hAnsi="仿宋" w:eastAsia="仿宋" w:cs="仿宋"/>
          <w:sz w:val="30"/>
          <w:szCs w:val="30"/>
        </w:rPr>
      </w:pPr>
      <w:r>
        <w:rPr>
          <w:rFonts w:hint="eastAsia" w:ascii="仿宋" w:hAnsi="仿宋" w:eastAsia="仿宋" w:cs="仿宋"/>
          <w:b/>
          <w:bCs/>
          <w:sz w:val="30"/>
          <w:szCs w:val="30"/>
        </w:rPr>
        <w:t>（五） 依法实施“禁现”</w:t>
      </w:r>
    </w:p>
    <w:p>
      <w:pPr>
        <w:spacing w:line="480" w:lineRule="exact"/>
        <w:rPr>
          <w:rFonts w:ascii="仿宋" w:hAnsi="仿宋" w:eastAsia="仿宋" w:cs="仿宋"/>
          <w:sz w:val="30"/>
          <w:szCs w:val="30"/>
        </w:rPr>
      </w:pPr>
      <w:r>
        <w:rPr>
          <w:rFonts w:hint="eastAsia" w:ascii="仿宋" w:hAnsi="仿宋" w:eastAsia="仿宋" w:cs="仿宋"/>
          <w:sz w:val="30"/>
          <w:szCs w:val="30"/>
        </w:rPr>
        <w:t>根据 “禁现”砂浆的有关规定，对禁止现场搅拌砂浆区域内的建设工程，严格实施监管，依法查处现场搅拌砂浆的违规行为。对“禁现”区域外的交通、能源、水利等重点工程及政府投资的建设工程，也要做好行政执法工作。同时，要积极推进限制砂石料进城市建设工地，促进“禁现”工作的开展，加快预拌砂浆推广应用。每年对“禁现”的建设工程执法检查要基本实现全覆盖，让行政执法在推动砂浆产业发展上发挥更大的作用。</w:t>
      </w:r>
      <w:bookmarkStart w:id="18" w:name="_Toc453921529"/>
      <w:bookmarkEnd w:id="18"/>
    </w:p>
    <w:p>
      <w:pPr>
        <w:spacing w:line="480" w:lineRule="exact"/>
        <w:rPr>
          <w:rFonts w:ascii="仿宋" w:hAnsi="仿宋" w:eastAsia="仿宋" w:cs="仿宋"/>
          <w:b/>
          <w:bCs/>
          <w:sz w:val="30"/>
          <w:szCs w:val="30"/>
        </w:rPr>
      </w:pPr>
      <w:r>
        <w:rPr>
          <w:rFonts w:hint="eastAsia" w:ascii="仿宋" w:hAnsi="仿宋" w:eastAsia="仿宋" w:cs="仿宋"/>
          <w:b/>
          <w:bCs/>
          <w:sz w:val="30"/>
          <w:szCs w:val="30"/>
        </w:rPr>
        <w:t>（六）促进特种砂浆发展</w:t>
      </w:r>
    </w:p>
    <w:p>
      <w:pPr>
        <w:spacing w:line="480" w:lineRule="exact"/>
        <w:rPr>
          <w:rFonts w:ascii="仿宋" w:hAnsi="仿宋" w:eastAsia="仿宋" w:cs="仿宋"/>
          <w:sz w:val="30"/>
          <w:szCs w:val="30"/>
        </w:rPr>
      </w:pPr>
      <w:r>
        <w:rPr>
          <w:rFonts w:hint="eastAsia" w:ascii="仿宋" w:hAnsi="仿宋" w:eastAsia="仿宋" w:cs="仿宋"/>
          <w:sz w:val="30"/>
          <w:szCs w:val="30"/>
        </w:rPr>
        <w:t>鼓励预拌砂浆生产企业从事特种砂浆的研发和生产，以适应建筑工业化和装修工程对预拌砂浆不同性能的需求。引导普通干混砂浆生产企业引入特种砂浆的生产，逐步淘汰现有家庭作坊式的、无质量保障的特种砂浆生产点。</w:t>
      </w:r>
      <w:bookmarkStart w:id="19" w:name="_Toc448761017"/>
      <w:r>
        <w:rPr>
          <w:rFonts w:hint="eastAsia" w:ascii="仿宋" w:hAnsi="仿宋" w:eastAsia="仿宋" w:cs="仿宋"/>
          <w:sz w:val="30"/>
          <w:szCs w:val="30"/>
        </w:rPr>
        <w:t>鼓励企业建立预拌砂浆销售配送网络，推动预拌砂浆在装修工程和农村的应用。</w:t>
      </w:r>
      <w:bookmarkEnd w:id="19"/>
    </w:p>
    <w:p>
      <w:pPr>
        <w:spacing w:line="480" w:lineRule="exact"/>
        <w:rPr>
          <w:rFonts w:ascii="仿宋" w:hAnsi="仿宋" w:eastAsia="仿宋" w:cs="仿宋"/>
          <w:sz w:val="30"/>
          <w:szCs w:val="30"/>
        </w:rPr>
      </w:pPr>
      <w:bookmarkStart w:id="20" w:name="_Toc10694"/>
    </w:p>
    <w:p>
      <w:pPr>
        <w:numPr>
          <w:ilvl w:val="0"/>
          <w:numId w:val="2"/>
        </w:numPr>
        <w:spacing w:line="48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规划布局</w:t>
      </w:r>
      <w:bookmarkEnd w:id="20"/>
    </w:p>
    <w:p>
      <w:pPr>
        <w:spacing w:line="480" w:lineRule="exact"/>
        <w:jc w:val="both"/>
        <w:rPr>
          <w:rFonts w:asciiTheme="minorEastAsia" w:hAnsiTheme="minorEastAsia" w:eastAsiaTheme="minorEastAsia" w:cstheme="minorEastAsia"/>
          <w:b/>
          <w:bCs/>
          <w:sz w:val="36"/>
          <w:szCs w:val="36"/>
        </w:rPr>
      </w:pPr>
    </w:p>
    <w:p>
      <w:pPr>
        <w:spacing w:line="480" w:lineRule="exact"/>
        <w:rPr>
          <w:rFonts w:ascii="仿宋" w:hAnsi="仿宋" w:eastAsia="仿宋" w:cs="仿宋"/>
          <w:b/>
          <w:bCs/>
          <w:sz w:val="30"/>
          <w:szCs w:val="30"/>
        </w:rPr>
      </w:pPr>
      <w:bookmarkStart w:id="21" w:name="_Toc15427"/>
      <w:r>
        <w:rPr>
          <w:rFonts w:hint="eastAsia" w:ascii="仿宋" w:hAnsi="仿宋" w:eastAsia="仿宋" w:cs="仿宋"/>
          <w:b/>
          <w:bCs/>
          <w:sz w:val="30"/>
          <w:szCs w:val="30"/>
        </w:rPr>
        <w:t>4.1基本原则</w:t>
      </w:r>
      <w:bookmarkEnd w:id="21"/>
    </w:p>
    <w:p>
      <w:pPr>
        <w:spacing w:line="480" w:lineRule="exact"/>
        <w:rPr>
          <w:rFonts w:ascii="仿宋" w:hAnsi="仿宋" w:eastAsia="仿宋" w:cs="仿宋"/>
          <w:sz w:val="30"/>
          <w:szCs w:val="30"/>
        </w:rPr>
      </w:pPr>
      <w:r>
        <w:rPr>
          <w:rFonts w:hint="eastAsia" w:ascii="仿宋" w:hAnsi="仿宋" w:eastAsia="仿宋" w:cs="仿宋"/>
          <w:b/>
          <w:bCs/>
          <w:sz w:val="30"/>
          <w:szCs w:val="30"/>
        </w:rPr>
        <w:t>（一）规划依据</w:t>
      </w:r>
    </w:p>
    <w:p>
      <w:pPr>
        <w:spacing w:line="480" w:lineRule="exact"/>
        <w:rPr>
          <w:rFonts w:ascii="仿宋" w:hAnsi="仿宋" w:eastAsia="仿宋" w:cs="仿宋"/>
          <w:sz w:val="30"/>
          <w:szCs w:val="30"/>
        </w:rPr>
      </w:pPr>
      <w:r>
        <w:rPr>
          <w:rFonts w:hint="eastAsia" w:ascii="仿宋" w:hAnsi="仿宋" w:eastAsia="仿宋" w:cs="仿宋"/>
          <w:sz w:val="30"/>
          <w:szCs w:val="30"/>
        </w:rPr>
        <w:t>《中华人民共和国城乡规划法》（2015年4月24修订）</w:t>
      </w:r>
    </w:p>
    <w:p>
      <w:pPr>
        <w:spacing w:line="480" w:lineRule="exact"/>
        <w:rPr>
          <w:rFonts w:ascii="仿宋" w:hAnsi="仿宋" w:eastAsia="仿宋" w:cs="仿宋"/>
          <w:sz w:val="30"/>
          <w:szCs w:val="30"/>
        </w:rPr>
      </w:pPr>
      <w:r>
        <w:rPr>
          <w:rFonts w:hint="eastAsia" w:ascii="仿宋" w:hAnsi="仿宋" w:eastAsia="仿宋" w:cs="仿宋"/>
          <w:sz w:val="30"/>
          <w:szCs w:val="30"/>
        </w:rPr>
        <w:t>《中华人民共和国环境保护法》（2014.4.24修订）</w:t>
      </w:r>
    </w:p>
    <w:p>
      <w:pPr>
        <w:spacing w:line="480" w:lineRule="exact"/>
        <w:rPr>
          <w:rFonts w:ascii="仿宋" w:hAnsi="仿宋" w:eastAsia="仿宋" w:cs="仿宋"/>
          <w:sz w:val="30"/>
          <w:szCs w:val="30"/>
        </w:rPr>
      </w:pPr>
      <w:r>
        <w:rPr>
          <w:rFonts w:hint="eastAsia" w:ascii="仿宋" w:hAnsi="仿宋" w:eastAsia="仿宋" w:cs="仿宋"/>
          <w:sz w:val="30"/>
          <w:szCs w:val="30"/>
        </w:rPr>
        <w:t>《中华人民共和国大气污染防治法》（2015.8.29修订）</w:t>
      </w:r>
    </w:p>
    <w:p>
      <w:pPr>
        <w:spacing w:line="480" w:lineRule="exact"/>
        <w:rPr>
          <w:rFonts w:ascii="仿宋" w:hAnsi="仿宋" w:eastAsia="仿宋" w:cs="仿宋"/>
          <w:sz w:val="30"/>
          <w:szCs w:val="30"/>
        </w:rPr>
      </w:pPr>
      <w:r>
        <w:rPr>
          <w:rFonts w:hint="eastAsia" w:ascii="仿宋" w:hAnsi="仿宋" w:eastAsia="仿宋" w:cs="仿宋"/>
          <w:sz w:val="30"/>
          <w:szCs w:val="30"/>
        </w:rPr>
        <w:t>《中华人民共和国水污染防治法》(2017.06.27修订)</w:t>
      </w:r>
    </w:p>
    <w:p>
      <w:pPr>
        <w:spacing w:line="480" w:lineRule="exact"/>
        <w:rPr>
          <w:rFonts w:ascii="仿宋" w:hAnsi="仿宋" w:eastAsia="仿宋" w:cs="仿宋"/>
          <w:sz w:val="30"/>
          <w:szCs w:val="30"/>
        </w:rPr>
      </w:pPr>
      <w:r>
        <w:rPr>
          <w:rFonts w:hint="eastAsia" w:ascii="仿宋" w:hAnsi="仿宋" w:eastAsia="仿宋" w:cs="仿宋"/>
          <w:sz w:val="30"/>
          <w:szCs w:val="30"/>
        </w:rPr>
        <w:t>《中华人民共和国循环经济促进法》（2009.1.1）</w:t>
      </w:r>
    </w:p>
    <w:p>
      <w:pPr>
        <w:spacing w:line="480" w:lineRule="exact"/>
        <w:rPr>
          <w:rFonts w:ascii="仿宋" w:hAnsi="仿宋" w:eastAsia="仿宋" w:cs="仿宋"/>
          <w:sz w:val="30"/>
          <w:szCs w:val="30"/>
        </w:rPr>
      </w:pPr>
      <w:r>
        <w:rPr>
          <w:rFonts w:hint="eastAsia" w:ascii="仿宋" w:hAnsi="仿宋" w:eastAsia="仿宋" w:cs="仿宋"/>
          <w:sz w:val="30"/>
          <w:szCs w:val="30"/>
        </w:rPr>
        <w:t>《关于在部分城市限期禁止现场搅拌砂浆工作的通知》（商改发[2007]205号）</w:t>
      </w:r>
    </w:p>
    <w:p>
      <w:pPr>
        <w:spacing w:line="480" w:lineRule="exact"/>
        <w:rPr>
          <w:rFonts w:ascii="仿宋" w:hAnsi="仿宋" w:eastAsia="仿宋" w:cs="仿宋"/>
          <w:sz w:val="30"/>
          <w:szCs w:val="30"/>
        </w:rPr>
      </w:pPr>
      <w:r>
        <w:rPr>
          <w:rFonts w:hint="eastAsia" w:ascii="仿宋" w:hAnsi="仿宋" w:eastAsia="仿宋" w:cs="仿宋"/>
          <w:sz w:val="30"/>
          <w:szCs w:val="30"/>
        </w:rPr>
        <w:t>《商务部、公安部、建设部、交通部、质检总局、环保总局关于在部分城市限期禁止现场搅拌砂浆工作的通知》（商改发〔2007〕205号）</w:t>
      </w:r>
    </w:p>
    <w:p>
      <w:pPr>
        <w:spacing w:line="480" w:lineRule="exact"/>
        <w:rPr>
          <w:rFonts w:ascii="仿宋" w:hAnsi="仿宋" w:eastAsia="仿宋" w:cs="仿宋"/>
          <w:sz w:val="30"/>
          <w:szCs w:val="30"/>
        </w:rPr>
      </w:pPr>
      <w:r>
        <w:rPr>
          <w:rFonts w:hint="eastAsia" w:ascii="仿宋" w:hAnsi="仿宋" w:eastAsia="仿宋" w:cs="仿宋"/>
          <w:sz w:val="30"/>
          <w:szCs w:val="30"/>
        </w:rPr>
        <w:t>《商务部关于“十二五”期间加快散装水泥发展的指导意见》（商流通发[2011]322号）</w:t>
      </w:r>
    </w:p>
    <w:p>
      <w:pPr>
        <w:spacing w:line="480" w:lineRule="exact"/>
        <w:rPr>
          <w:rFonts w:ascii="仿宋" w:hAnsi="仿宋" w:eastAsia="仿宋" w:cs="仿宋"/>
          <w:sz w:val="30"/>
          <w:szCs w:val="30"/>
        </w:rPr>
      </w:pPr>
      <w:r>
        <w:rPr>
          <w:rFonts w:hint="eastAsia" w:ascii="仿宋" w:hAnsi="仿宋" w:eastAsia="仿宋" w:cs="仿宋"/>
          <w:sz w:val="30"/>
          <w:szCs w:val="30"/>
        </w:rPr>
        <w:t>《国务院办公厅关于转发国家发改委住房城乡建设部绿色建筑行动方案的通知》（国办发〔2013〕1号）</w:t>
      </w:r>
    </w:p>
    <w:p>
      <w:pPr>
        <w:spacing w:line="480" w:lineRule="exact"/>
        <w:rPr>
          <w:rFonts w:ascii="仿宋" w:hAnsi="仿宋" w:eastAsia="仿宋" w:cs="仿宋"/>
          <w:sz w:val="30"/>
          <w:szCs w:val="30"/>
        </w:rPr>
      </w:pPr>
      <w:r>
        <w:rPr>
          <w:rFonts w:hint="eastAsia" w:ascii="仿宋" w:hAnsi="仿宋" w:eastAsia="仿宋" w:cs="仿宋"/>
          <w:sz w:val="30"/>
          <w:szCs w:val="30"/>
        </w:rPr>
        <w:t>《吉林省促进散装水泥和预拌混凝土预拌砂浆发展办法》（省政府令第266号）</w:t>
      </w:r>
    </w:p>
    <w:p>
      <w:pPr>
        <w:spacing w:line="480" w:lineRule="exact"/>
        <w:rPr>
          <w:rFonts w:ascii="仿宋" w:hAnsi="仿宋" w:eastAsia="仿宋" w:cs="仿宋"/>
          <w:sz w:val="30"/>
          <w:szCs w:val="30"/>
        </w:rPr>
      </w:pPr>
      <w:r>
        <w:rPr>
          <w:rFonts w:hint="eastAsia" w:ascii="仿宋" w:hAnsi="仿宋" w:eastAsia="仿宋" w:cs="仿宋"/>
          <w:sz w:val="30"/>
          <w:szCs w:val="30"/>
        </w:rPr>
        <w:t>《吉林省住房和城乡建设厅关于进一步做好使用预拌砂浆工作的意见》（吉建发〔2019〕3号）</w:t>
      </w:r>
    </w:p>
    <w:p>
      <w:pPr>
        <w:spacing w:line="480" w:lineRule="exact"/>
        <w:rPr>
          <w:rFonts w:ascii="仿宋" w:hAnsi="仿宋" w:eastAsia="仿宋" w:cs="仿宋"/>
          <w:sz w:val="30"/>
          <w:szCs w:val="30"/>
        </w:rPr>
      </w:pPr>
      <w:r>
        <w:rPr>
          <w:rFonts w:hint="eastAsia" w:ascii="仿宋" w:hAnsi="仿宋" w:eastAsia="仿宋" w:cs="仿宋"/>
          <w:sz w:val="30"/>
          <w:szCs w:val="30"/>
        </w:rPr>
        <w:t>《关于加强预拌砂浆质量管理的通知》（吉建质〔2020〕6号）</w:t>
      </w:r>
    </w:p>
    <w:p>
      <w:pPr>
        <w:spacing w:line="480" w:lineRule="exact"/>
        <w:rPr>
          <w:rFonts w:ascii="仿宋" w:hAnsi="仿宋" w:eastAsia="仿宋" w:cs="仿宋"/>
          <w:sz w:val="30"/>
          <w:szCs w:val="30"/>
        </w:rPr>
      </w:pPr>
      <w:r>
        <w:rPr>
          <w:rFonts w:hint="eastAsia" w:ascii="仿宋" w:hAnsi="仿宋" w:eastAsia="仿宋" w:cs="仿宋"/>
          <w:sz w:val="30"/>
          <w:szCs w:val="30"/>
        </w:rPr>
        <w:t>《关于进一步加强预拌砂浆推广应用工作的通知》（吉建散〔2020〕2号）</w:t>
      </w:r>
    </w:p>
    <w:p>
      <w:pPr>
        <w:spacing w:line="480" w:lineRule="exact"/>
        <w:rPr>
          <w:rFonts w:ascii="仿宋" w:hAnsi="仿宋" w:eastAsia="仿宋" w:cs="仿宋"/>
          <w:sz w:val="30"/>
          <w:szCs w:val="30"/>
        </w:rPr>
      </w:pPr>
      <w:r>
        <w:rPr>
          <w:rFonts w:hint="eastAsia" w:ascii="仿宋" w:hAnsi="仿宋" w:eastAsia="仿宋" w:cs="仿宋"/>
          <w:sz w:val="30"/>
          <w:szCs w:val="30"/>
        </w:rPr>
        <w:t>《绿色预拌砂浆站评价标准》DB22/T 5049-2020</w:t>
      </w:r>
    </w:p>
    <w:p>
      <w:pPr>
        <w:spacing w:line="480" w:lineRule="exact"/>
        <w:rPr>
          <w:rFonts w:ascii="仿宋" w:hAnsi="仿宋" w:eastAsia="仿宋" w:cs="仿宋"/>
          <w:sz w:val="30"/>
          <w:szCs w:val="30"/>
        </w:rPr>
      </w:pPr>
      <w:r>
        <w:rPr>
          <w:rFonts w:hint="eastAsia" w:ascii="仿宋" w:hAnsi="仿宋" w:eastAsia="仿宋" w:cs="仿宋"/>
          <w:sz w:val="30"/>
          <w:szCs w:val="30"/>
        </w:rPr>
        <w:t>《预拌砂浆应用技术标准》  DB22/T 5056-2021</w:t>
      </w:r>
    </w:p>
    <w:p>
      <w:pPr>
        <w:spacing w:line="480" w:lineRule="exact"/>
        <w:rPr>
          <w:rFonts w:ascii="仿宋" w:hAnsi="仿宋" w:eastAsia="仿宋" w:cs="仿宋"/>
          <w:sz w:val="30"/>
          <w:szCs w:val="30"/>
        </w:rPr>
      </w:pPr>
      <w:r>
        <w:rPr>
          <w:rFonts w:hint="eastAsia" w:ascii="仿宋" w:hAnsi="仿宋" w:eastAsia="仿宋" w:cs="仿宋"/>
          <w:b/>
          <w:bCs/>
          <w:sz w:val="30"/>
          <w:szCs w:val="30"/>
        </w:rPr>
        <w:t>（二）基本原则</w:t>
      </w:r>
    </w:p>
    <w:p>
      <w:pPr>
        <w:spacing w:line="480" w:lineRule="exact"/>
        <w:rPr>
          <w:rFonts w:ascii="仿宋" w:hAnsi="仿宋" w:eastAsia="仿宋" w:cs="仿宋"/>
          <w:sz w:val="30"/>
          <w:szCs w:val="30"/>
        </w:rPr>
      </w:pPr>
      <w:r>
        <w:rPr>
          <w:rFonts w:hint="eastAsia" w:ascii="仿宋" w:hAnsi="仿宋" w:eastAsia="仿宋" w:cs="仿宋"/>
          <w:sz w:val="30"/>
          <w:szCs w:val="30"/>
        </w:rPr>
        <w:t xml:space="preserve"> 坚持绿色持续发展。加快推动预拌砂浆发展，促进节能减排，发展循环经济；全面推进行业清洁生产，减少大气扬尘污染。</w:t>
      </w:r>
    </w:p>
    <w:p>
      <w:pPr>
        <w:spacing w:line="480" w:lineRule="exact"/>
        <w:rPr>
          <w:rFonts w:ascii="仿宋" w:hAnsi="仿宋" w:eastAsia="仿宋" w:cs="仿宋"/>
          <w:sz w:val="30"/>
          <w:szCs w:val="30"/>
        </w:rPr>
      </w:pPr>
      <w:r>
        <w:rPr>
          <w:rFonts w:hint="eastAsia" w:ascii="仿宋" w:hAnsi="仿宋" w:eastAsia="仿宋" w:cs="仿宋"/>
          <w:sz w:val="30"/>
          <w:szCs w:val="30"/>
        </w:rPr>
        <w:t xml:space="preserve">  坚持创新提升发展。加强行业信息化建设，促进资源优化配置，引导企业合理布局，加强技术创新，增强行业的装备制造、研发等生产服务能力；加强新产品的开发，满足市场多样化、品质化的需求。</w:t>
      </w:r>
    </w:p>
    <w:p>
      <w:pPr>
        <w:spacing w:line="480" w:lineRule="exact"/>
        <w:rPr>
          <w:rFonts w:ascii="仿宋" w:hAnsi="仿宋" w:eastAsia="仿宋" w:cs="仿宋"/>
          <w:sz w:val="30"/>
          <w:szCs w:val="30"/>
        </w:rPr>
      </w:pPr>
      <w:r>
        <w:rPr>
          <w:rFonts w:hint="eastAsia" w:ascii="仿宋" w:hAnsi="仿宋" w:eastAsia="仿宋" w:cs="仿宋"/>
          <w:sz w:val="30"/>
          <w:szCs w:val="30"/>
        </w:rPr>
        <w:t>坚持协调平衡发展。全面推进和巩固城市“禁现砂浆”工作，推动预拌砂浆进家装，实现区域与城乡间的协调平衡发展。</w:t>
      </w:r>
    </w:p>
    <w:p>
      <w:pPr>
        <w:spacing w:line="480" w:lineRule="exact"/>
        <w:rPr>
          <w:rFonts w:ascii="仿宋" w:hAnsi="仿宋" w:eastAsia="仿宋" w:cs="仿宋"/>
          <w:sz w:val="30"/>
          <w:szCs w:val="30"/>
        </w:rPr>
      </w:pPr>
      <w:r>
        <w:rPr>
          <w:rFonts w:hint="eastAsia" w:ascii="仿宋" w:hAnsi="仿宋" w:eastAsia="仿宋" w:cs="仿宋"/>
          <w:sz w:val="30"/>
          <w:szCs w:val="30"/>
        </w:rPr>
        <w:t xml:space="preserve"> 坚持开放融合发展。盯住国外行业发展前沿目标，学习国外先进理念，引进装配式构件工艺装备和行业环保技术；盯住国外市场，鼓励行业内企业“走出去”开拓国际市场；盯住金融、电子商务等相关领域的发展，为行业发展搭建新的平台。</w:t>
      </w:r>
    </w:p>
    <w:p>
      <w:pPr>
        <w:spacing w:line="480" w:lineRule="exact"/>
        <w:rPr>
          <w:rFonts w:ascii="仿宋" w:hAnsi="仿宋" w:eastAsia="仿宋" w:cs="仿宋"/>
          <w:sz w:val="30"/>
          <w:szCs w:val="30"/>
        </w:rPr>
      </w:pPr>
      <w:r>
        <w:rPr>
          <w:rFonts w:hint="eastAsia" w:ascii="仿宋" w:hAnsi="仿宋" w:eastAsia="仿宋" w:cs="仿宋"/>
          <w:sz w:val="30"/>
          <w:szCs w:val="30"/>
        </w:rPr>
        <w:t xml:space="preserve"> 坚持市场主导发展。以培育市场为目标，完善发展政策，强化政府服务，依法开展行业监管；注重运用市场机制、经济手段、法治办法化解产能过剩；充分发挥协会等社团组织的作用，有效遏制恶性竞争，创造有序竞争的市场环境。</w:t>
      </w:r>
      <w:bookmarkStart w:id="22" w:name="_Toc448760994"/>
      <w:bookmarkEnd w:id="22"/>
      <w:bookmarkStart w:id="23" w:name="_Toc443987884"/>
      <w:bookmarkEnd w:id="23"/>
      <w:bookmarkStart w:id="24" w:name="_Toc453921512"/>
      <w:bookmarkEnd w:id="24"/>
    </w:p>
    <w:p>
      <w:pPr>
        <w:spacing w:line="480" w:lineRule="exact"/>
        <w:rPr>
          <w:rFonts w:ascii="仿宋" w:hAnsi="仿宋" w:eastAsia="仿宋" w:cs="仿宋"/>
          <w:b/>
          <w:bCs/>
          <w:sz w:val="30"/>
          <w:szCs w:val="30"/>
        </w:rPr>
      </w:pPr>
      <w:bookmarkStart w:id="25" w:name="_Toc704"/>
      <w:r>
        <w:rPr>
          <w:rFonts w:hint="eastAsia" w:ascii="仿宋" w:hAnsi="仿宋" w:eastAsia="仿宋" w:cs="仿宋"/>
          <w:b/>
          <w:bCs/>
          <w:sz w:val="30"/>
          <w:szCs w:val="30"/>
        </w:rPr>
        <w:t>4.2规划布局</w:t>
      </w:r>
      <w:bookmarkEnd w:id="25"/>
    </w:p>
    <w:p>
      <w:pPr>
        <w:spacing w:line="480" w:lineRule="exact"/>
        <w:rPr>
          <w:rFonts w:ascii="仿宋" w:hAnsi="仿宋" w:eastAsia="仿宋" w:cs="仿宋"/>
          <w:b/>
          <w:bCs/>
          <w:sz w:val="30"/>
          <w:szCs w:val="30"/>
        </w:rPr>
      </w:pPr>
      <w:r>
        <w:rPr>
          <w:rFonts w:hint="eastAsia" w:ascii="仿宋" w:hAnsi="仿宋" w:eastAsia="仿宋" w:cs="仿宋"/>
          <w:b/>
          <w:bCs/>
          <w:sz w:val="30"/>
          <w:szCs w:val="30"/>
        </w:rPr>
        <w:t>规划原则</w:t>
      </w:r>
    </w:p>
    <w:p>
      <w:pPr>
        <w:spacing w:line="480" w:lineRule="exact"/>
        <w:rPr>
          <w:rFonts w:ascii="仿宋" w:hAnsi="仿宋" w:eastAsia="仿宋" w:cs="仿宋"/>
          <w:sz w:val="30"/>
          <w:szCs w:val="30"/>
        </w:rPr>
      </w:pPr>
      <w:r>
        <w:rPr>
          <w:rFonts w:hint="eastAsia" w:ascii="仿宋" w:hAnsi="仿宋" w:eastAsia="仿宋" w:cs="仿宋"/>
          <w:sz w:val="30"/>
          <w:szCs w:val="30"/>
        </w:rPr>
        <w:t>“总量控制、区域均衡、行业统筹、两型布局”。</w:t>
      </w:r>
    </w:p>
    <w:p>
      <w:pPr>
        <w:spacing w:line="480" w:lineRule="exact"/>
        <w:rPr>
          <w:rFonts w:ascii="仿宋" w:hAnsi="仿宋" w:eastAsia="仿宋" w:cs="仿宋"/>
          <w:sz w:val="30"/>
          <w:szCs w:val="30"/>
        </w:rPr>
      </w:pPr>
      <w:r>
        <w:rPr>
          <w:rFonts w:hint="eastAsia" w:ascii="仿宋" w:hAnsi="仿宋" w:eastAsia="仿宋" w:cs="仿宋"/>
          <w:sz w:val="30"/>
          <w:szCs w:val="30"/>
        </w:rPr>
        <w:t>优先考虑城市建设需要，砂浆行业发展与城市建设发展相协调，在量与质上满足城市建设对砂浆的需求。</w:t>
      </w:r>
    </w:p>
    <w:p>
      <w:pPr>
        <w:spacing w:line="480" w:lineRule="exact"/>
        <w:rPr>
          <w:rFonts w:ascii="仿宋" w:hAnsi="仿宋" w:eastAsia="仿宋" w:cs="仿宋"/>
          <w:sz w:val="30"/>
          <w:szCs w:val="30"/>
        </w:rPr>
      </w:pPr>
      <w:r>
        <w:rPr>
          <w:rFonts w:hint="eastAsia" w:ascii="仿宋" w:hAnsi="仿宋" w:eastAsia="仿宋" w:cs="仿宋"/>
          <w:sz w:val="30"/>
          <w:szCs w:val="30"/>
        </w:rPr>
        <w:t>以市场调节为主，充分考虑预拌砂浆行业容易陷入恶性竞争困境的特点，在发挥市场竞争机制同时，加强政府对行业发展的规划引导，促进砂浆行业持续健康发展。</w:t>
      </w:r>
    </w:p>
    <w:p>
      <w:pPr>
        <w:spacing w:line="480" w:lineRule="exact"/>
        <w:rPr>
          <w:rFonts w:ascii="仿宋" w:hAnsi="仿宋" w:eastAsia="仿宋" w:cs="仿宋"/>
          <w:sz w:val="30"/>
          <w:szCs w:val="30"/>
        </w:rPr>
      </w:pPr>
      <w:r>
        <w:rPr>
          <w:rFonts w:hint="eastAsia" w:ascii="仿宋" w:hAnsi="仿宋" w:eastAsia="仿宋" w:cs="仿宋"/>
          <w:sz w:val="30"/>
          <w:szCs w:val="30"/>
        </w:rPr>
        <w:t>统筹规划与合理布局相结合，正确把握砂浆行业的发展趋势，统筹规划、立足全局，着眼长远，保证措施落到实处。</w:t>
      </w:r>
    </w:p>
    <w:p>
      <w:pPr>
        <w:spacing w:line="480" w:lineRule="exact"/>
        <w:rPr>
          <w:rFonts w:ascii="仿宋" w:hAnsi="仿宋" w:eastAsia="仿宋" w:cs="仿宋"/>
          <w:sz w:val="30"/>
          <w:szCs w:val="30"/>
        </w:rPr>
      </w:pPr>
      <w:r>
        <w:rPr>
          <w:rFonts w:hint="eastAsia" w:ascii="仿宋" w:hAnsi="仿宋" w:eastAsia="仿宋" w:cs="仿宋"/>
          <w:sz w:val="30"/>
          <w:szCs w:val="30"/>
        </w:rPr>
        <w:t>有利于建设资源节约型、环境友好型社会，实现社会资源配置最优化，减少或避免污染物的产生和排放，加快开发和推广应用资源综合利用技术，缓解资源约束和环境压力，实现资源节约、清洁发展和可持续发展。</w:t>
      </w:r>
    </w:p>
    <w:p>
      <w:pPr>
        <w:spacing w:line="480" w:lineRule="exact"/>
        <w:rPr>
          <w:rFonts w:ascii="仿宋" w:hAnsi="仿宋" w:eastAsia="仿宋" w:cs="仿宋"/>
          <w:sz w:val="30"/>
          <w:szCs w:val="30"/>
        </w:rPr>
      </w:pPr>
      <w:r>
        <w:rPr>
          <w:rFonts w:hint="eastAsia" w:ascii="仿宋" w:hAnsi="仿宋" w:eastAsia="仿宋" w:cs="仿宋"/>
          <w:sz w:val="30"/>
          <w:szCs w:val="30"/>
        </w:rPr>
        <w:t>利于上下游行业的协调发展，处理好预拌砂浆行业与相关行业的关系，促进行业间的交流与合作，实现共同发展。</w:t>
      </w:r>
    </w:p>
    <w:p>
      <w:pPr>
        <w:spacing w:line="480" w:lineRule="exact"/>
        <w:rPr>
          <w:rFonts w:ascii="仿宋" w:hAnsi="仿宋" w:eastAsia="仿宋" w:cs="仿宋"/>
          <w:sz w:val="30"/>
          <w:szCs w:val="30"/>
        </w:rPr>
      </w:pPr>
      <w:r>
        <w:rPr>
          <w:rFonts w:hint="eastAsia" w:ascii="仿宋" w:hAnsi="仿宋" w:eastAsia="仿宋" w:cs="仿宋"/>
          <w:sz w:val="30"/>
          <w:szCs w:val="30"/>
        </w:rPr>
        <w:t>有利于提高行业的整体运行效率，鼓励适度竞争，优化企业布局，促进产业转型升级，推进管理与技术创新，促进预拌砂浆企业以较低的成本提供高质量的产品与服务。</w:t>
      </w:r>
    </w:p>
    <w:p>
      <w:pPr>
        <w:spacing w:line="480" w:lineRule="exact"/>
        <w:rPr>
          <w:rFonts w:ascii="仿宋" w:hAnsi="仿宋" w:eastAsia="仿宋" w:cs="仿宋"/>
          <w:b/>
          <w:bCs/>
          <w:sz w:val="30"/>
          <w:szCs w:val="30"/>
        </w:rPr>
      </w:pPr>
      <w:r>
        <w:rPr>
          <w:rFonts w:hint="eastAsia" w:ascii="仿宋" w:hAnsi="仿宋" w:eastAsia="仿宋" w:cs="仿宋"/>
          <w:b/>
          <w:bCs/>
          <w:sz w:val="30"/>
          <w:szCs w:val="30"/>
        </w:rPr>
        <w:t>规划布局</w:t>
      </w:r>
    </w:p>
    <w:p>
      <w:pPr>
        <w:spacing w:line="480" w:lineRule="exact"/>
        <w:rPr>
          <w:rFonts w:ascii="仿宋" w:hAnsi="仿宋" w:eastAsia="仿宋" w:cs="仿宋"/>
          <w:sz w:val="30"/>
          <w:szCs w:val="30"/>
        </w:rPr>
      </w:pPr>
      <w:r>
        <w:rPr>
          <w:rFonts w:hint="eastAsia" w:ascii="仿宋" w:hAnsi="仿宋" w:eastAsia="仿宋" w:cs="仿宋"/>
          <w:sz w:val="30"/>
          <w:szCs w:val="30"/>
        </w:rPr>
        <w:t>（1）用地许可：选址应符合土地利用总体规划、严禁非法占用基本农田。选址应符合城市总体规划、所在区域的控规或村镇规划等法定各层次规划，尽量避免在景观节点区域及城市门户地区布局。</w:t>
      </w:r>
    </w:p>
    <w:p>
      <w:pPr>
        <w:spacing w:line="480" w:lineRule="exact"/>
        <w:rPr>
          <w:rFonts w:ascii="仿宋" w:hAnsi="仿宋" w:eastAsia="仿宋" w:cs="仿宋"/>
          <w:sz w:val="30"/>
          <w:szCs w:val="30"/>
        </w:rPr>
      </w:pPr>
      <w:r>
        <w:rPr>
          <w:rFonts w:hint="eastAsia" w:ascii="仿宋" w:hAnsi="仿宋" w:eastAsia="仿宋" w:cs="仿宋"/>
          <w:sz w:val="30"/>
          <w:szCs w:val="30"/>
        </w:rPr>
        <w:t>（2）成本节约：选址应靠近原料来源地，以减少运输成本与对环境的二次污染。</w:t>
      </w:r>
    </w:p>
    <w:p>
      <w:pPr>
        <w:spacing w:line="480" w:lineRule="exact"/>
        <w:rPr>
          <w:rFonts w:ascii="仿宋" w:hAnsi="仿宋" w:eastAsia="仿宋" w:cs="仿宋"/>
          <w:sz w:val="30"/>
          <w:szCs w:val="30"/>
        </w:rPr>
      </w:pPr>
      <w:r>
        <w:rPr>
          <w:rFonts w:hint="eastAsia" w:ascii="仿宋" w:hAnsi="仿宋" w:eastAsia="仿宋" w:cs="仿宋"/>
          <w:sz w:val="30"/>
          <w:szCs w:val="30"/>
        </w:rPr>
        <w:t>（3）环境友好：选址应达到市级环保部门核准的环评标准、避让集中居住区与环境敏感区。</w:t>
      </w:r>
    </w:p>
    <w:p>
      <w:pPr>
        <w:spacing w:line="480" w:lineRule="exact"/>
        <w:rPr>
          <w:rFonts w:ascii="仿宋" w:hAnsi="仿宋" w:eastAsia="仿宋" w:cs="仿宋"/>
          <w:sz w:val="30"/>
          <w:szCs w:val="30"/>
        </w:rPr>
      </w:pPr>
      <w:r>
        <w:rPr>
          <w:rFonts w:hint="eastAsia" w:ascii="仿宋" w:hAnsi="仿宋" w:eastAsia="仿宋" w:cs="仿宋"/>
          <w:sz w:val="30"/>
          <w:szCs w:val="30"/>
        </w:rPr>
        <w:t>（4）交通便利：选址应靠近城市交通性干道或其联络线，有较便利的交通条件。</w:t>
      </w:r>
    </w:p>
    <w:p>
      <w:pPr>
        <w:spacing w:line="480" w:lineRule="exact"/>
        <w:ind w:firstLine="600"/>
        <w:rPr>
          <w:rFonts w:ascii="仿宋" w:hAnsi="仿宋" w:eastAsia="仿宋" w:cs="仿宋"/>
          <w:sz w:val="30"/>
          <w:szCs w:val="30"/>
        </w:rPr>
      </w:pPr>
      <w:r>
        <w:rPr>
          <w:rFonts w:hint="eastAsia" w:ascii="仿宋" w:hAnsi="仿宋" w:eastAsia="仿宋" w:cs="仿宋"/>
          <w:sz w:val="30"/>
          <w:szCs w:val="30"/>
        </w:rPr>
        <w:t>以选址范围为引导，生产企业的具体选址在报建过程中由规划、国土等相关部门把关落实。远期达到生产企业布局合理，资源配置优化，基本满足城市现代化建设的需要。</w:t>
      </w:r>
    </w:p>
    <w:p>
      <w:pPr>
        <w:spacing w:line="480" w:lineRule="exact"/>
        <w:rPr>
          <w:rFonts w:ascii="仿宋" w:hAnsi="仿宋" w:eastAsia="仿宋" w:cs="仿宋"/>
          <w:sz w:val="30"/>
          <w:szCs w:val="30"/>
        </w:rPr>
      </w:pPr>
      <w:r>
        <w:rPr>
          <w:rFonts w:hint="eastAsia" w:ascii="仿宋" w:hAnsi="仿宋" w:eastAsia="仿宋" w:cs="仿宋"/>
          <w:b/>
          <w:bCs/>
          <w:sz w:val="30"/>
          <w:szCs w:val="30"/>
        </w:rPr>
        <w:t>（三）规划范围</w:t>
      </w:r>
    </w:p>
    <w:p>
      <w:pPr>
        <w:spacing w:line="480" w:lineRule="exact"/>
        <w:rPr>
          <w:rFonts w:ascii="仿宋" w:hAnsi="仿宋" w:eastAsia="仿宋" w:cs="仿宋"/>
          <w:sz w:val="30"/>
          <w:szCs w:val="30"/>
        </w:rPr>
      </w:pPr>
      <w:r>
        <w:rPr>
          <w:rFonts w:hint="eastAsia" w:ascii="仿宋" w:hAnsi="仿宋" w:eastAsia="仿宋" w:cs="仿宋"/>
          <w:sz w:val="30"/>
          <w:szCs w:val="30"/>
        </w:rPr>
        <w:t>本规划针对吉林省县及县以上主城区。要求预拌砂浆生产企业服务范围覆盖主城区所有建设工程。服务对象以房屋建筑和市政工程为主。</w:t>
      </w:r>
      <w:bookmarkStart w:id="26" w:name="_Toc2719"/>
    </w:p>
    <w:p>
      <w:pPr>
        <w:spacing w:line="480" w:lineRule="exact"/>
        <w:rPr>
          <w:rFonts w:ascii="仿宋" w:hAnsi="仿宋" w:eastAsia="仿宋" w:cs="仿宋"/>
          <w:sz w:val="30"/>
          <w:szCs w:val="30"/>
        </w:rPr>
      </w:pPr>
    </w:p>
    <w:p>
      <w:pPr>
        <w:spacing w:line="48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44"/>
          <w:szCs w:val="44"/>
        </w:rPr>
        <w:t>第五章 保障措施</w:t>
      </w:r>
      <w:bookmarkEnd w:id="26"/>
    </w:p>
    <w:p>
      <w:pPr>
        <w:spacing w:line="480" w:lineRule="exact"/>
        <w:rPr>
          <w:rFonts w:ascii="仿宋" w:hAnsi="仿宋" w:eastAsia="仿宋" w:cs="仿宋"/>
          <w:sz w:val="30"/>
          <w:szCs w:val="30"/>
        </w:rPr>
      </w:pPr>
      <w:bookmarkStart w:id="27" w:name="_Toc8561"/>
    </w:p>
    <w:p>
      <w:pPr>
        <w:spacing w:line="480" w:lineRule="exact"/>
        <w:rPr>
          <w:rFonts w:ascii="仿宋" w:hAnsi="仿宋" w:eastAsia="仿宋" w:cs="仿宋"/>
          <w:b/>
          <w:bCs/>
          <w:sz w:val="30"/>
          <w:szCs w:val="30"/>
        </w:rPr>
      </w:pPr>
      <w:r>
        <w:rPr>
          <w:rFonts w:hint="eastAsia" w:ascii="仿宋" w:hAnsi="仿宋" w:eastAsia="仿宋" w:cs="仿宋"/>
          <w:b/>
          <w:bCs/>
          <w:sz w:val="30"/>
          <w:szCs w:val="30"/>
        </w:rPr>
        <w:t>5.1保障措施</w:t>
      </w:r>
      <w:bookmarkEnd w:id="27"/>
    </w:p>
    <w:p>
      <w:pPr>
        <w:spacing w:line="480" w:lineRule="exact"/>
        <w:rPr>
          <w:rFonts w:ascii="仿宋" w:hAnsi="仿宋" w:eastAsia="仿宋" w:cs="仿宋"/>
          <w:b/>
          <w:bCs/>
          <w:sz w:val="30"/>
          <w:szCs w:val="30"/>
        </w:rPr>
      </w:pPr>
      <w:r>
        <w:rPr>
          <w:rFonts w:hint="eastAsia" w:ascii="仿宋" w:hAnsi="仿宋" w:eastAsia="仿宋" w:cs="仿宋"/>
          <w:b/>
          <w:bCs/>
          <w:sz w:val="30"/>
          <w:szCs w:val="30"/>
        </w:rPr>
        <w:t>（一）制订落实政策措施，规范预拌砂浆行业健康发展。</w:t>
      </w:r>
    </w:p>
    <w:p>
      <w:pPr>
        <w:spacing w:line="480" w:lineRule="exact"/>
        <w:rPr>
          <w:rFonts w:ascii="仿宋" w:hAnsi="仿宋" w:eastAsia="仿宋" w:cs="仿宋"/>
          <w:sz w:val="30"/>
          <w:szCs w:val="30"/>
        </w:rPr>
      </w:pPr>
      <w:r>
        <w:rPr>
          <w:rFonts w:hint="eastAsia" w:ascii="仿宋" w:hAnsi="仿宋" w:eastAsia="仿宋" w:cs="仿宋"/>
          <w:sz w:val="30"/>
          <w:szCs w:val="30"/>
        </w:rPr>
        <w:t>完善政策体系。按照《吉林省住房和城乡建设厅关于在全省全面禁止建筑工程施工现场搅拌砂浆及使用预拌砂浆的指导意见》的要求。加大监管力度。散装水泥行政主管部门负责本规划实施的督查和政策研究，实施规划引导，发展预拌砂浆。坚持依法行政，切实加大监管力度，建立多层次、全方位的监管网络，明确工作职责，完善目标管理责任制。加强协调工作，协调有关部门从设计、造价、招标、施工、监理、工程验收等环节对使用预拌砂浆各个环节把好关。                 </w:t>
      </w:r>
    </w:p>
    <w:p>
      <w:pPr>
        <w:spacing w:line="480" w:lineRule="exact"/>
        <w:rPr>
          <w:rFonts w:ascii="仿宋" w:hAnsi="仿宋" w:eastAsia="仿宋" w:cs="仿宋"/>
          <w:b/>
          <w:bCs/>
          <w:sz w:val="30"/>
          <w:szCs w:val="30"/>
        </w:rPr>
      </w:pPr>
      <w:r>
        <w:rPr>
          <w:rFonts w:hint="eastAsia" w:ascii="仿宋" w:hAnsi="仿宋" w:eastAsia="仿宋" w:cs="仿宋"/>
          <w:b/>
          <w:bCs/>
          <w:sz w:val="30"/>
          <w:szCs w:val="30"/>
        </w:rPr>
        <w:t>（二）落实部门职责</w:t>
      </w:r>
    </w:p>
    <w:p>
      <w:pPr>
        <w:spacing w:line="480" w:lineRule="exact"/>
        <w:rPr>
          <w:rFonts w:ascii="仿宋" w:hAnsi="仿宋" w:eastAsia="仿宋" w:cs="仿宋"/>
          <w:sz w:val="30"/>
          <w:szCs w:val="30"/>
        </w:rPr>
      </w:pPr>
      <w:r>
        <w:rPr>
          <w:rFonts w:hint="eastAsia" w:ascii="仿宋" w:hAnsi="仿宋" w:eastAsia="仿宋" w:cs="仿宋"/>
          <w:sz w:val="30"/>
          <w:szCs w:val="30"/>
        </w:rPr>
        <w:t>各部门要按照《吉林省促进散装水泥和预拌混凝土、预拌砂浆发展办法》（吉林省人民政府令第266号）在预拌砂浆推广应用中各司其职，解决预拌砂浆推广应用过程中的有关问题，确保预拌砂浆在建筑工程中的应用。</w:t>
      </w:r>
    </w:p>
    <w:p>
      <w:pPr>
        <w:spacing w:line="480" w:lineRule="exact"/>
        <w:rPr>
          <w:rFonts w:ascii="仿宋" w:hAnsi="仿宋" w:eastAsia="仿宋" w:cs="仿宋"/>
          <w:sz w:val="30"/>
          <w:szCs w:val="30"/>
        </w:rPr>
      </w:pPr>
      <w:r>
        <w:rPr>
          <w:rFonts w:hint="eastAsia" w:ascii="仿宋" w:hAnsi="仿宋" w:eastAsia="仿宋" w:cs="仿宋"/>
          <w:sz w:val="30"/>
          <w:szCs w:val="30"/>
        </w:rPr>
        <w:t>1、住房和城乡建设管理部门及散装水泥管理机构负责本规划区域预拌砂浆应用管理工作。</w:t>
      </w:r>
    </w:p>
    <w:p>
      <w:pPr>
        <w:spacing w:line="480" w:lineRule="exact"/>
        <w:rPr>
          <w:rFonts w:ascii="仿宋" w:hAnsi="仿宋" w:eastAsia="仿宋" w:cs="仿宋"/>
          <w:sz w:val="30"/>
          <w:szCs w:val="30"/>
        </w:rPr>
      </w:pPr>
      <w:r>
        <w:rPr>
          <w:rFonts w:hint="eastAsia" w:ascii="仿宋" w:hAnsi="仿宋" w:eastAsia="仿宋" w:cs="仿宋"/>
          <w:sz w:val="30"/>
          <w:szCs w:val="30"/>
        </w:rPr>
        <w:t>2、住房和城乡建设管理部门，根据城市建设规划和建筑行业发展的要求，加强对预拌砂浆使用环节的管理。</w:t>
      </w:r>
    </w:p>
    <w:p>
      <w:pPr>
        <w:spacing w:line="480" w:lineRule="exact"/>
        <w:rPr>
          <w:rFonts w:ascii="仿宋" w:hAnsi="仿宋" w:eastAsia="仿宋" w:cs="仿宋"/>
          <w:sz w:val="30"/>
          <w:szCs w:val="30"/>
        </w:rPr>
      </w:pPr>
      <w:r>
        <w:rPr>
          <w:rFonts w:hint="eastAsia" w:ascii="仿宋" w:hAnsi="仿宋" w:eastAsia="仿宋" w:cs="仿宋"/>
          <w:sz w:val="30"/>
          <w:szCs w:val="30"/>
        </w:rPr>
        <w:t>3、预拌砂浆生产企业的建设用地和建设工程规划的管理及建设项目选址的审批应符合相关部门的规划布局方案。</w:t>
      </w:r>
    </w:p>
    <w:p>
      <w:pPr>
        <w:spacing w:line="480" w:lineRule="exact"/>
        <w:rPr>
          <w:rFonts w:ascii="仿宋" w:hAnsi="仿宋" w:eastAsia="仿宋" w:cs="仿宋"/>
          <w:sz w:val="30"/>
          <w:szCs w:val="30"/>
        </w:rPr>
      </w:pPr>
      <w:r>
        <w:rPr>
          <w:rFonts w:hint="eastAsia" w:ascii="仿宋" w:hAnsi="仿宋" w:eastAsia="仿宋" w:cs="仿宋"/>
          <w:sz w:val="30"/>
          <w:szCs w:val="30"/>
        </w:rPr>
        <w:t>4、预拌砂浆专用车辆运输行为要服从当地公安、交通运输部门的管理。</w:t>
      </w:r>
    </w:p>
    <w:p>
      <w:pPr>
        <w:spacing w:line="480" w:lineRule="exact"/>
        <w:rPr>
          <w:rFonts w:ascii="仿宋" w:hAnsi="仿宋" w:eastAsia="仿宋" w:cs="仿宋"/>
          <w:sz w:val="30"/>
          <w:szCs w:val="30"/>
        </w:rPr>
      </w:pPr>
      <w:r>
        <w:rPr>
          <w:rFonts w:hint="eastAsia" w:ascii="仿宋" w:hAnsi="仿宋" w:eastAsia="仿宋" w:cs="仿宋"/>
          <w:sz w:val="30"/>
          <w:szCs w:val="30"/>
        </w:rPr>
        <w:t>5、市州、县住房和城乡建设管理部门加强预拌砂浆行业的产品应用和质量监管。</w:t>
      </w:r>
    </w:p>
    <w:p>
      <w:pPr>
        <w:spacing w:line="480" w:lineRule="exact"/>
        <w:rPr>
          <w:rFonts w:ascii="仿宋" w:hAnsi="仿宋" w:eastAsia="仿宋" w:cs="仿宋"/>
          <w:sz w:val="30"/>
          <w:szCs w:val="30"/>
        </w:rPr>
        <w:sectPr>
          <w:headerReference r:id="rId9" w:type="default"/>
          <w:pgSz w:w="11906" w:h="16838"/>
          <w:pgMar w:top="1797" w:right="1440" w:bottom="1797" w:left="1440" w:header="851" w:footer="992" w:gutter="0"/>
          <w:cols w:space="720" w:num="1"/>
          <w:docGrid w:linePitch="312" w:charSpace="0"/>
        </w:sectPr>
      </w:pPr>
      <w:r>
        <w:rPr>
          <w:rFonts w:hint="eastAsia" w:ascii="仿宋" w:hAnsi="仿宋" w:eastAsia="仿宋" w:cs="仿宋"/>
          <w:sz w:val="30"/>
          <w:szCs w:val="30"/>
        </w:rPr>
        <w:t>6、预拌砂浆企业在投产前，应对其具体选址、建设生产进行环境影响评价，并报有关部门审批</w:t>
      </w:r>
      <w:bookmarkStart w:id="28" w:name="_Toc299949235"/>
      <w:r>
        <w:rPr>
          <w:rFonts w:hint="eastAsia" w:ascii="仿宋" w:hAnsi="仿宋" w:eastAsia="仿宋" w:cs="仿宋"/>
          <w:sz w:val="30"/>
          <w:szCs w:val="30"/>
        </w:rPr>
        <w:t>。</w:t>
      </w:r>
    </w:p>
    <w:bookmarkEnd w:id="28"/>
    <w:p>
      <w:pPr>
        <w:spacing w:line="480" w:lineRule="exact"/>
        <w:jc w:val="both"/>
        <w:rPr>
          <w:rFonts w:ascii="仿宋" w:hAnsi="仿宋" w:eastAsia="仿宋" w:cs="仿宋"/>
          <w:caps/>
          <w:sz w:val="30"/>
          <w:szCs w:val="30"/>
        </w:rPr>
      </w:pPr>
    </w:p>
    <w:sectPr>
      <w:footerReference r:id="rId10" w:type="default"/>
      <w:pgSz w:w="11906" w:h="16838"/>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0" w:usb3="00000000" w:csb0="00000001" w:csb1="00000000"/>
  </w:font>
  <w:font w:name="Verdana">
    <w:altName w:val="DejaVu Sans"/>
    <w:panose1 w:val="020B0604030504040204"/>
    <w:charset w:val="00"/>
    <w:family w:val="swiss"/>
    <w:pitch w:val="default"/>
    <w:sig w:usb0="00000000" w:usb1="00000000" w:usb2="00000010" w:usb3="00000000" w:csb0="0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Align="top"/>
    </w:pPr>
    <w:r>
      <w:fldChar w:fldCharType="begin"/>
    </w:r>
    <w:r>
      <w:rPr>
        <w:rStyle w:val="36"/>
      </w:rPr>
      <w:instrText xml:space="preserve"> PAGE  </w:instrText>
    </w:r>
    <w:r>
      <w:fldChar w:fldCharType="separate"/>
    </w:r>
    <w:r>
      <w:rPr>
        <w:rStyle w:val="36"/>
      </w:rPr>
      <w:t>1</w:t>
    </w:r>
    <w:r>
      <w:fldChar w:fldCharType="end"/>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ind w:firstLine="7290" w:firstLineChars="4050"/>
      <w:jc w:val="left"/>
      <w:rPr>
        <w:rFonts w:ascii="宋体" w:hAnsi="宋体"/>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7290" w:firstLineChars="4050"/>
      <w:jc w:val="left"/>
      <w:rPr>
        <w:rFonts w:ascii="宋体" w:hAnsi="宋体"/>
        <w:color w:val="000000"/>
      </w:rPr>
    </w:pPr>
    <w:r>
      <w:rPr>
        <w:rFonts w:hint="eastAsia" w:ascii="宋体" w:hAnsi="宋体"/>
        <w:color w:val="000000"/>
        <w:lang w:eastAsia="zh-CN"/>
      </w:rPr>
      <w:t>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7290" w:firstLineChars="4050"/>
      <w:jc w:val="left"/>
      <w:rPr>
        <w:rFonts w:ascii="宋体" w:hAnsi="宋体"/>
        <w:color w:val="000000"/>
      </w:rPr>
    </w:pPr>
    <w:r>
      <w:rPr>
        <w:rFonts w:hint="eastAsia" w:ascii="宋体" w:hAnsi="宋体"/>
        <w:color w:val="000000"/>
      </w:rPr>
      <w:t xml:space="preserve">              前言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ascii="宋体" w:hAnsi="宋体"/>
        <w:color w:val="000000"/>
      </w:rPr>
    </w:pPr>
    <w:r>
      <w:rPr>
        <w:rFonts w:hint="eastAsia" w:ascii="宋体" w:hAnsi="宋体"/>
        <w:color w:val="000000"/>
      </w:rPr>
      <w:t xml:space="preserve"> 第一章发展基本情况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860" w:firstLineChars="2700"/>
      <w:jc w:val="left"/>
      <w:rPr>
        <w:rFonts w:ascii="宋体" w:hAnsi="宋体"/>
        <w:color w:val="000000"/>
      </w:rPr>
    </w:pPr>
    <w:r>
      <w:rPr>
        <w:rFonts w:hint="eastAsia" w:ascii="宋体" w:hAnsi="宋体"/>
        <w:color w:val="000000"/>
      </w:rPr>
      <w:t xml:space="preserve">                           第二章发展环境分析</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860" w:firstLineChars="2700"/>
      <w:jc w:val="right"/>
      <w:rPr>
        <w:rFonts w:ascii="宋体" w:hAnsi="宋体"/>
        <w:color w:val="000000"/>
      </w:rPr>
    </w:pPr>
    <w:r>
      <w:rPr>
        <w:rFonts w:hint="eastAsia" w:ascii="宋体" w:hAnsi="宋体"/>
        <w:color w:val="000000"/>
        <w:lang w:eastAsia="zh-CN"/>
      </w:rPr>
      <w:t>第四章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2AB72"/>
    <w:multiLevelType w:val="singleLevel"/>
    <w:tmpl w:val="D762AB72"/>
    <w:lvl w:ilvl="0" w:tentative="0">
      <w:start w:val="2"/>
      <w:numFmt w:val="chineseCounting"/>
      <w:suff w:val="space"/>
      <w:lvlText w:val="第%1章"/>
      <w:lvlJc w:val="left"/>
      <w:rPr>
        <w:rFonts w:hint="eastAsia"/>
      </w:rPr>
    </w:lvl>
  </w:abstractNum>
  <w:abstractNum w:abstractNumId="1">
    <w:nsid w:val="61627FCD"/>
    <w:multiLevelType w:val="singleLevel"/>
    <w:tmpl w:val="61627FCD"/>
    <w:lvl w:ilvl="0" w:tentative="0">
      <w:start w:val="3"/>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NotTrackMoves/>
  <w:documentProtection w:enforcement="0"/>
  <w:defaultTabStop w:val="420"/>
  <w:drawingGridHorizontalSpacing w:val="1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05"/>
    <w:rsid w:val="00144714"/>
    <w:rsid w:val="001F6DAA"/>
    <w:rsid w:val="00912B9C"/>
    <w:rsid w:val="00977285"/>
    <w:rsid w:val="00A43779"/>
    <w:rsid w:val="00B717A6"/>
    <w:rsid w:val="00C44A65"/>
    <w:rsid w:val="00D333FF"/>
    <w:rsid w:val="00DE7605"/>
    <w:rsid w:val="7BFE5471"/>
    <w:rsid w:val="D6D867CD"/>
    <w:rsid w:val="F7DB60F9"/>
    <w:rsid w:val="FA7FCF9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widowControl w:val="0"/>
      <w:spacing w:line="413" w:lineRule="auto"/>
      <w:jc w:val="both"/>
      <w:outlineLvl w:val="2"/>
    </w:pPr>
    <w:rPr>
      <w:b/>
      <w:bCs/>
      <w:kern w:val="2"/>
      <w:sz w:val="32"/>
      <w:szCs w:val="32"/>
    </w:rPr>
  </w:style>
  <w:style w:type="paragraph" w:styleId="5">
    <w:name w:val="heading 4"/>
    <w:basedOn w:val="1"/>
    <w:next w:val="1"/>
    <w:qFormat/>
    <w:uiPriority w:val="0"/>
    <w:pPr>
      <w:keepNext/>
      <w:keepLines/>
      <w:spacing w:line="372" w:lineRule="auto"/>
      <w:outlineLvl w:val="3"/>
    </w:pPr>
    <w:rPr>
      <w:rFonts w:ascii="Arial" w:hAnsi="Arial" w:eastAsia="黑体"/>
      <w:b/>
      <w:bCs/>
      <w:sz w:val="28"/>
      <w:szCs w:val="28"/>
    </w:rPr>
  </w:style>
  <w:style w:type="paragraph" w:styleId="6">
    <w:name w:val="heading 7"/>
    <w:basedOn w:val="1"/>
    <w:next w:val="1"/>
    <w:qFormat/>
    <w:uiPriority w:val="0"/>
    <w:pPr>
      <w:keepNext/>
      <w:keepLines/>
      <w:spacing w:line="317" w:lineRule="auto"/>
      <w:outlineLvl w:val="6"/>
    </w:pPr>
    <w:rPr>
      <w:b/>
      <w:bCs/>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0"/>
    <w:pPr>
      <w:ind w:left="1440"/>
    </w:pPr>
    <w:rPr>
      <w:sz w:val="18"/>
    </w:rPr>
  </w:style>
  <w:style w:type="paragraph" w:styleId="8">
    <w:name w:val="Normal Indent"/>
    <w:basedOn w:val="1"/>
    <w:link w:val="40"/>
    <w:qFormat/>
    <w:uiPriority w:val="0"/>
    <w:pPr>
      <w:ind w:firstLine="420" w:firstLineChars="200"/>
    </w:pPr>
  </w:style>
  <w:style w:type="paragraph" w:styleId="9">
    <w:name w:val="caption"/>
    <w:basedOn w:val="1"/>
    <w:next w:val="1"/>
    <w:qFormat/>
    <w:uiPriority w:val="0"/>
    <w:rPr>
      <w:rFonts w:ascii="Arial" w:hAnsi="Arial" w:eastAsia="黑体" w:cs="Arial"/>
      <w:sz w:val="20"/>
    </w:rPr>
  </w:style>
  <w:style w:type="paragraph" w:styleId="10">
    <w:name w:val="Document Map"/>
    <w:basedOn w:val="1"/>
    <w:qFormat/>
    <w:uiPriority w:val="0"/>
    <w:pPr>
      <w:shd w:val="clear" w:color="auto" w:fill="000080"/>
    </w:pPr>
  </w:style>
  <w:style w:type="paragraph" w:styleId="11">
    <w:name w:val="annotation text"/>
    <w:basedOn w:val="1"/>
    <w:qFormat/>
    <w:uiPriority w:val="0"/>
  </w:style>
  <w:style w:type="paragraph" w:styleId="12">
    <w:name w:val="Body Text"/>
    <w:basedOn w:val="1"/>
    <w:qFormat/>
    <w:uiPriority w:val="0"/>
  </w:style>
  <w:style w:type="paragraph" w:styleId="13">
    <w:name w:val="Body Text Indent"/>
    <w:basedOn w:val="1"/>
    <w:qFormat/>
    <w:uiPriority w:val="0"/>
    <w:pPr>
      <w:spacing w:line="360" w:lineRule="auto"/>
      <w:ind w:firstLine="480"/>
      <w:jc w:val="both"/>
    </w:pPr>
    <w:rPr>
      <w:sz w:val="28"/>
    </w:rPr>
  </w:style>
  <w:style w:type="paragraph" w:styleId="14">
    <w:name w:val="toc 5"/>
    <w:basedOn w:val="1"/>
    <w:next w:val="1"/>
    <w:qFormat/>
    <w:uiPriority w:val="0"/>
    <w:pPr>
      <w:ind w:left="960"/>
    </w:pPr>
    <w:rPr>
      <w:sz w:val="18"/>
    </w:rPr>
  </w:style>
  <w:style w:type="paragraph" w:styleId="15">
    <w:name w:val="toc 3"/>
    <w:basedOn w:val="1"/>
    <w:next w:val="1"/>
    <w:qFormat/>
    <w:uiPriority w:val="0"/>
    <w:pPr>
      <w:ind w:left="480"/>
    </w:pPr>
    <w:rPr>
      <w:i/>
      <w:sz w:val="20"/>
    </w:rPr>
  </w:style>
  <w:style w:type="paragraph" w:styleId="16">
    <w:name w:val="Plain Text"/>
    <w:basedOn w:val="1"/>
    <w:qFormat/>
    <w:uiPriority w:val="0"/>
    <w:pPr>
      <w:widowControl w:val="0"/>
      <w:jc w:val="both"/>
    </w:pPr>
    <w:rPr>
      <w:rFonts w:ascii="宋体" w:hAnsi="Courier New" w:cs="Courier New"/>
      <w:spacing w:val="20"/>
      <w:kern w:val="2"/>
      <w:sz w:val="21"/>
      <w:szCs w:val="21"/>
    </w:rPr>
  </w:style>
  <w:style w:type="paragraph" w:styleId="17">
    <w:name w:val="toc 8"/>
    <w:basedOn w:val="1"/>
    <w:next w:val="1"/>
    <w:qFormat/>
    <w:uiPriority w:val="0"/>
    <w:pPr>
      <w:ind w:left="1680"/>
    </w:pPr>
    <w:rPr>
      <w:sz w:val="18"/>
    </w:rPr>
  </w:style>
  <w:style w:type="paragraph" w:styleId="18">
    <w:name w:val="Date"/>
    <w:basedOn w:val="1"/>
    <w:next w:val="1"/>
    <w:qFormat/>
    <w:uiPriority w:val="0"/>
    <w:pPr>
      <w:ind w:left="100" w:leftChars="2500"/>
    </w:pPr>
  </w:style>
  <w:style w:type="paragraph" w:styleId="19">
    <w:name w:val="Body Text Indent 2"/>
    <w:basedOn w:val="1"/>
    <w:qFormat/>
    <w:uiPriority w:val="0"/>
    <w:pPr>
      <w:spacing w:line="480" w:lineRule="auto"/>
      <w:ind w:left="420" w:leftChars="200"/>
    </w:pPr>
  </w:style>
  <w:style w:type="paragraph" w:styleId="20">
    <w:name w:val="Balloon Text"/>
    <w:basedOn w:val="1"/>
    <w:qFormat/>
    <w:uiPriority w:val="0"/>
    <w:rPr>
      <w:sz w:val="18"/>
    </w:rPr>
  </w:style>
  <w:style w:type="paragraph" w:styleId="21">
    <w:name w:val="footer"/>
    <w:basedOn w:val="1"/>
    <w:link w:val="41"/>
    <w:qFormat/>
    <w:uiPriority w:val="0"/>
    <w:pPr>
      <w:tabs>
        <w:tab w:val="center" w:pos="4153"/>
        <w:tab w:val="right" w:pos="8306"/>
      </w:tabs>
      <w:snapToGrid w:val="0"/>
    </w:pPr>
    <w:rPr>
      <w:sz w:val="18"/>
    </w:rPr>
  </w:style>
  <w:style w:type="paragraph" w:styleId="22">
    <w:name w:val="header"/>
    <w:basedOn w:val="1"/>
    <w:link w:val="42"/>
    <w:qFormat/>
    <w:uiPriority w:val="0"/>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0"/>
    <w:rPr>
      <w:b/>
      <w:caps/>
      <w:sz w:val="20"/>
    </w:rPr>
  </w:style>
  <w:style w:type="paragraph" w:styleId="24">
    <w:name w:val="toc 4"/>
    <w:basedOn w:val="1"/>
    <w:next w:val="1"/>
    <w:qFormat/>
    <w:uiPriority w:val="0"/>
    <w:pPr>
      <w:ind w:left="720"/>
    </w:pPr>
    <w:rPr>
      <w:sz w:val="18"/>
    </w:rPr>
  </w:style>
  <w:style w:type="paragraph" w:styleId="25">
    <w:name w:val="toc 6"/>
    <w:basedOn w:val="1"/>
    <w:next w:val="1"/>
    <w:qFormat/>
    <w:uiPriority w:val="0"/>
    <w:pPr>
      <w:ind w:left="1200"/>
    </w:pPr>
    <w:rPr>
      <w:sz w:val="18"/>
    </w:rPr>
  </w:style>
  <w:style w:type="paragraph" w:styleId="26">
    <w:name w:val="Body Text Indent 3"/>
    <w:basedOn w:val="1"/>
    <w:qFormat/>
    <w:uiPriority w:val="0"/>
    <w:pPr>
      <w:ind w:left="420" w:leftChars="200"/>
    </w:pPr>
    <w:rPr>
      <w:sz w:val="16"/>
    </w:rPr>
  </w:style>
  <w:style w:type="paragraph" w:styleId="27">
    <w:name w:val="toc 2"/>
    <w:basedOn w:val="1"/>
    <w:next w:val="1"/>
    <w:qFormat/>
    <w:uiPriority w:val="0"/>
    <w:pPr>
      <w:ind w:left="240"/>
    </w:pPr>
    <w:rPr>
      <w:smallCaps/>
      <w:sz w:val="20"/>
    </w:rPr>
  </w:style>
  <w:style w:type="paragraph" w:styleId="28">
    <w:name w:val="toc 9"/>
    <w:basedOn w:val="1"/>
    <w:next w:val="1"/>
    <w:qFormat/>
    <w:uiPriority w:val="0"/>
    <w:pPr>
      <w:ind w:left="1920"/>
    </w:pPr>
    <w:rPr>
      <w:sz w:val="18"/>
    </w:rPr>
  </w:style>
  <w:style w:type="paragraph" w:styleId="29">
    <w:name w:val="Normal (Web)"/>
    <w:basedOn w:val="1"/>
    <w:qFormat/>
    <w:uiPriority w:val="0"/>
    <w:pPr>
      <w:spacing w:beforeAutospacing="1" w:afterAutospacing="1"/>
    </w:pPr>
    <w:rPr>
      <w:rFonts w:ascii="宋体" w:hAnsi="宋体"/>
      <w:color w:val="000000"/>
    </w:rPr>
  </w:style>
  <w:style w:type="paragraph" w:styleId="30">
    <w:name w:val="annotation subject"/>
    <w:basedOn w:val="11"/>
    <w:next w:val="11"/>
    <w:qFormat/>
    <w:uiPriority w:val="0"/>
    <w:rPr>
      <w:b/>
      <w:bCs/>
    </w:rPr>
  </w:style>
  <w:style w:type="paragraph" w:styleId="31">
    <w:name w:val="Body Text First Indent"/>
    <w:basedOn w:val="12"/>
    <w:qFormat/>
    <w:uiPriority w:val="0"/>
    <w:pPr>
      <w:ind w:firstLine="420" w:firstLineChars="100"/>
    </w:p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qFormat/>
    <w:uiPriority w:val="0"/>
  </w:style>
  <w:style w:type="character" w:styleId="37">
    <w:name w:val="FollowedHyperlink"/>
    <w:qFormat/>
    <w:uiPriority w:val="0"/>
    <w:rPr>
      <w:color w:val="800080"/>
      <w:u w:val="single"/>
    </w:rPr>
  </w:style>
  <w:style w:type="character" w:styleId="38">
    <w:name w:val="Hyperlink"/>
    <w:qFormat/>
    <w:uiPriority w:val="0"/>
    <w:rPr>
      <w:color w:val="0000FF"/>
      <w:u w:val="single"/>
    </w:rPr>
  </w:style>
  <w:style w:type="character" w:styleId="39">
    <w:name w:val="annotation reference"/>
    <w:qFormat/>
    <w:uiPriority w:val="0"/>
    <w:rPr>
      <w:sz w:val="21"/>
      <w:szCs w:val="21"/>
    </w:rPr>
  </w:style>
  <w:style w:type="character" w:customStyle="1" w:styleId="40">
    <w:name w:val="正文缩进 Char"/>
    <w:link w:val="8"/>
    <w:qFormat/>
    <w:uiPriority w:val="0"/>
    <w:rPr>
      <w:rFonts w:eastAsia="宋体"/>
      <w:sz w:val="24"/>
      <w:lang w:val="en-US" w:eastAsia="zh-CN" w:bidi="ar-SA"/>
    </w:rPr>
  </w:style>
  <w:style w:type="character" w:customStyle="1" w:styleId="41">
    <w:name w:val="页脚 Char"/>
    <w:link w:val="21"/>
    <w:qFormat/>
    <w:uiPriority w:val="0"/>
    <w:rPr>
      <w:sz w:val="18"/>
    </w:rPr>
  </w:style>
  <w:style w:type="character" w:customStyle="1" w:styleId="42">
    <w:name w:val="页眉 Char"/>
    <w:link w:val="22"/>
    <w:qFormat/>
    <w:uiPriority w:val="0"/>
    <w:rPr>
      <w:sz w:val="18"/>
    </w:rPr>
  </w:style>
  <w:style w:type="character" w:customStyle="1" w:styleId="43">
    <w:name w:val="表头 Char Char"/>
    <w:link w:val="44"/>
    <w:qFormat/>
    <w:uiPriority w:val="0"/>
    <w:rPr>
      <w:rFonts w:cs="宋体"/>
      <w:b/>
      <w:bCs/>
      <w:kern w:val="2"/>
      <w:sz w:val="28"/>
    </w:rPr>
  </w:style>
  <w:style w:type="paragraph" w:customStyle="1" w:styleId="44">
    <w:name w:val="表头"/>
    <w:basedOn w:val="1"/>
    <w:link w:val="43"/>
    <w:qFormat/>
    <w:uiPriority w:val="0"/>
    <w:pPr>
      <w:widowControl w:val="0"/>
      <w:spacing w:beforeLines="50" w:line="360" w:lineRule="exact"/>
      <w:ind w:firstLine="561"/>
      <w:jc w:val="center"/>
    </w:pPr>
    <w:rPr>
      <w:b/>
      <w:bCs/>
      <w:kern w:val="2"/>
      <w:sz w:val="28"/>
    </w:rPr>
  </w:style>
  <w:style w:type="character" w:customStyle="1" w:styleId="45">
    <w:name w:val="apple-converted-space"/>
    <w:qFormat/>
    <w:uiPriority w:val="0"/>
  </w:style>
  <w:style w:type="character" w:customStyle="1" w:styleId="46">
    <w:name w:val="表格标题 Char Char"/>
    <w:link w:val="47"/>
    <w:qFormat/>
    <w:uiPriority w:val="0"/>
    <w:rPr>
      <w:rFonts w:eastAsia="宋体"/>
      <w:kern w:val="2"/>
      <w:sz w:val="28"/>
      <w:szCs w:val="24"/>
      <w:lang w:val="en-US" w:eastAsia="zh-CN" w:bidi="ar-SA"/>
    </w:rPr>
  </w:style>
  <w:style w:type="paragraph" w:customStyle="1" w:styleId="47">
    <w:name w:val="表格标题"/>
    <w:basedOn w:val="1"/>
    <w:next w:val="1"/>
    <w:link w:val="46"/>
    <w:qFormat/>
    <w:uiPriority w:val="0"/>
    <w:pPr>
      <w:widowControl w:val="0"/>
      <w:spacing w:line="360" w:lineRule="auto"/>
      <w:jc w:val="center"/>
    </w:pPr>
    <w:rPr>
      <w:kern w:val="2"/>
      <w:sz w:val="28"/>
      <w:szCs w:val="24"/>
    </w:rPr>
  </w:style>
  <w:style w:type="character" w:customStyle="1" w:styleId="48">
    <w:name w:val="Char Char4"/>
    <w:link w:val="49"/>
    <w:qFormat/>
    <w:uiPriority w:val="0"/>
    <w:rPr>
      <w:rFonts w:eastAsia="宋体"/>
      <w:sz w:val="24"/>
      <w:lang w:val="en-US" w:eastAsia="zh-CN" w:bidi="ar-SA"/>
    </w:rPr>
  </w:style>
  <w:style w:type="paragraph" w:customStyle="1" w:styleId="49">
    <w:name w:val="Char"/>
    <w:basedOn w:val="1"/>
    <w:next w:val="1"/>
    <w:link w:val="48"/>
    <w:qFormat/>
    <w:uiPriority w:val="0"/>
    <w:pPr>
      <w:widowControl w:val="0"/>
      <w:spacing w:line="360" w:lineRule="auto"/>
      <w:ind w:firstLine="200" w:firstLineChars="200"/>
      <w:jc w:val="both"/>
    </w:pPr>
  </w:style>
  <w:style w:type="character" w:customStyle="1" w:styleId="50">
    <w:name w:val="无间隔 Char"/>
    <w:link w:val="51"/>
    <w:qFormat/>
    <w:uiPriority w:val="0"/>
    <w:rPr>
      <w:rFonts w:ascii="Calibri" w:hAnsi="Calibri"/>
      <w:sz w:val="22"/>
      <w:szCs w:val="22"/>
      <w:lang w:val="en-US" w:eastAsia="zh-CN" w:bidi="ar-SA"/>
    </w:rPr>
  </w:style>
  <w:style w:type="paragraph" w:customStyle="1" w:styleId="51">
    <w:name w:val="无间隔1"/>
    <w:link w:val="50"/>
    <w:qFormat/>
    <w:uiPriority w:val="0"/>
    <w:rPr>
      <w:rFonts w:ascii="Calibri" w:hAnsi="Calibri" w:eastAsia="宋体" w:cs="Times New Roman"/>
      <w:sz w:val="22"/>
      <w:szCs w:val="22"/>
      <w:lang w:val="en-US" w:eastAsia="zh-CN" w:bidi="ar-SA"/>
    </w:rPr>
  </w:style>
  <w:style w:type="character" w:customStyle="1" w:styleId="52">
    <w:name w:val="sh14"/>
    <w:qFormat/>
    <w:uiPriority w:val="0"/>
  </w:style>
  <w:style w:type="character" w:customStyle="1" w:styleId="53">
    <w:name w:val="view_11"/>
    <w:qFormat/>
    <w:uiPriority w:val="0"/>
    <w:rPr>
      <w:sz w:val="21"/>
      <w:szCs w:val="21"/>
    </w:rPr>
  </w:style>
  <w:style w:type="character" w:customStyle="1" w:styleId="54">
    <w:name w:val="text14"/>
    <w:qFormat/>
    <w:uiPriority w:val="0"/>
  </w:style>
  <w:style w:type="character" w:customStyle="1" w:styleId="55">
    <w:name w:val="title"/>
    <w:qFormat/>
    <w:uiPriority w:val="0"/>
  </w:style>
  <w:style w:type="character" w:customStyle="1" w:styleId="56">
    <w:name w:val="表号 Char Char"/>
    <w:link w:val="57"/>
    <w:qFormat/>
    <w:uiPriority w:val="0"/>
    <w:rPr>
      <w:rFonts w:cs="宋体"/>
      <w:sz w:val="24"/>
      <w:szCs w:val="24"/>
    </w:rPr>
  </w:style>
  <w:style w:type="paragraph" w:customStyle="1" w:styleId="57">
    <w:name w:val="表号"/>
    <w:basedOn w:val="1"/>
    <w:link w:val="56"/>
    <w:qFormat/>
    <w:uiPriority w:val="0"/>
    <w:pPr>
      <w:widowControl w:val="0"/>
      <w:spacing w:line="320" w:lineRule="exact"/>
      <w:ind w:firstLine="100" w:firstLineChars="100"/>
    </w:pPr>
    <w:rPr>
      <w:szCs w:val="24"/>
    </w:rPr>
  </w:style>
  <w:style w:type="character" w:customStyle="1" w:styleId="58">
    <w:name w:val="文中文本 Char Char"/>
    <w:link w:val="59"/>
    <w:qFormat/>
    <w:uiPriority w:val="0"/>
    <w:rPr>
      <w:rFonts w:eastAsia="宋体"/>
      <w:kern w:val="2"/>
      <w:sz w:val="28"/>
      <w:szCs w:val="24"/>
      <w:lang w:val="en-US" w:eastAsia="zh-CN" w:bidi="ar-SA"/>
    </w:rPr>
  </w:style>
  <w:style w:type="paragraph" w:customStyle="1" w:styleId="59">
    <w:name w:val="文中文本"/>
    <w:basedOn w:val="1"/>
    <w:link w:val="58"/>
    <w:qFormat/>
    <w:uiPriority w:val="0"/>
    <w:pPr>
      <w:widowControl w:val="0"/>
      <w:spacing w:line="360" w:lineRule="auto"/>
      <w:ind w:firstLine="200" w:firstLineChars="200"/>
      <w:jc w:val="both"/>
    </w:pPr>
    <w:rPr>
      <w:kern w:val="2"/>
      <w:sz w:val="28"/>
      <w:szCs w:val="24"/>
    </w:rPr>
  </w:style>
  <w:style w:type="paragraph" w:customStyle="1" w:styleId="60">
    <w:name w:val="默认段落字体 Para Char Char Char Char Char"/>
    <w:basedOn w:val="1"/>
    <w:qFormat/>
    <w:uiPriority w:val="0"/>
    <w:pPr>
      <w:widowControl w:val="0"/>
      <w:jc w:val="both"/>
    </w:pPr>
    <w:rPr>
      <w:kern w:val="2"/>
      <w:sz w:val="21"/>
      <w:szCs w:val="24"/>
    </w:rPr>
  </w:style>
  <w:style w:type="paragraph" w:customStyle="1" w:styleId="61">
    <w:name w:val="Char1"/>
    <w:basedOn w:val="1"/>
    <w:qFormat/>
    <w:uiPriority w:val="0"/>
    <w:pPr>
      <w:spacing w:line="240" w:lineRule="exact"/>
    </w:pPr>
    <w:rPr>
      <w:rFonts w:ascii="Verdana" w:hAnsi="Verdana"/>
      <w:sz w:val="30"/>
      <w:lang w:eastAsia="en-US"/>
    </w:rPr>
  </w:style>
  <w:style w:type="paragraph" w:customStyle="1" w:styleId="62">
    <w:name w:val="列出段落1"/>
    <w:basedOn w:val="1"/>
    <w:qFormat/>
    <w:uiPriority w:val="0"/>
    <w:pPr>
      <w:widowControl w:val="0"/>
      <w:snapToGrid w:val="0"/>
      <w:ind w:firstLine="420" w:firstLineChars="200"/>
      <w:jc w:val="both"/>
    </w:pPr>
    <w:rPr>
      <w:rFonts w:eastAsia="方正仿宋简体"/>
      <w:sz w:val="32"/>
      <w:szCs w:val="32"/>
    </w:rPr>
  </w:style>
  <w:style w:type="paragraph" w:customStyle="1" w:styleId="63">
    <w:name w:val="列出段落2"/>
    <w:basedOn w:val="1"/>
    <w:qFormat/>
    <w:uiPriority w:val="0"/>
    <w:pPr>
      <w:adjustRightInd w:val="0"/>
      <w:snapToGrid w:val="0"/>
      <w:ind w:firstLine="420" w:firstLineChars="200"/>
    </w:pPr>
    <w:rPr>
      <w:rFonts w:ascii="Tahoma" w:hAnsi="Tahoma" w:eastAsia="微软雅黑"/>
      <w:sz w:val="22"/>
      <w:szCs w:val="22"/>
    </w:rPr>
  </w:style>
  <w:style w:type="paragraph" w:customStyle="1" w:styleId="64">
    <w:name w:val="表"/>
    <w:basedOn w:val="1"/>
    <w:qFormat/>
    <w:uiPriority w:val="0"/>
    <w:pPr>
      <w:widowControl w:val="0"/>
      <w:suppressAutoHyphens/>
      <w:adjustRightInd w:val="0"/>
      <w:spacing w:line="312" w:lineRule="auto"/>
      <w:jc w:val="center"/>
    </w:pPr>
    <w:rPr>
      <w:sz w:val="21"/>
    </w:rPr>
  </w:style>
  <w:style w:type="paragraph" w:customStyle="1" w:styleId="65">
    <w:name w:val="默认段落字体 Para Char Char Char Char"/>
    <w:basedOn w:val="1"/>
    <w:qFormat/>
    <w:uiPriority w:val="0"/>
    <w:pPr>
      <w:widowControl w:val="0"/>
      <w:jc w:val="both"/>
    </w:pPr>
    <w:rPr>
      <w:kern w:val="2"/>
      <w:sz w:val="21"/>
      <w:szCs w:val="24"/>
    </w:rPr>
  </w:style>
  <w:style w:type="paragraph" w:customStyle="1" w:styleId="6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7">
    <w:name w:val="p"/>
    <w:basedOn w:val="1"/>
    <w:qFormat/>
    <w:uiPriority w:val="0"/>
    <w:pPr>
      <w:spacing w:beforeAutospacing="1" w:afterAutospacing="1"/>
    </w:pPr>
    <w:rPr>
      <w:rFonts w:ascii="宋体" w:hAnsi="宋体" w:cs="宋体"/>
      <w:szCs w:val="24"/>
    </w:rPr>
  </w:style>
  <w:style w:type="paragraph" w:customStyle="1" w:styleId="68">
    <w:name w:val="reader-word-layer"/>
    <w:basedOn w:val="1"/>
    <w:qFormat/>
    <w:uiPriority w:val="0"/>
    <w:pPr>
      <w:spacing w:beforeAutospacing="1" w:afterAutospacing="1"/>
    </w:pPr>
    <w:rPr>
      <w:rFonts w:ascii="宋体" w:hAnsi="宋体" w:cs="宋体"/>
      <w:szCs w:val="24"/>
    </w:rPr>
  </w:style>
  <w:style w:type="paragraph" w:customStyle="1" w:styleId="69">
    <w:name w:val="样式1"/>
    <w:basedOn w:val="2"/>
    <w:qFormat/>
    <w:uiPriority w:val="0"/>
  </w:style>
  <w:style w:type="paragraph" w:customStyle="1" w:styleId="70">
    <w:name w:val="ql-align-center"/>
    <w:basedOn w:val="1"/>
    <w:qFormat/>
    <w:uiPriority w:val="0"/>
    <w:pPr>
      <w:spacing w:beforeAutospacing="1" w:afterAutospacing="1"/>
    </w:pPr>
    <w:rPr>
      <w:rFonts w:ascii="宋体" w:hAnsi="宋体" w:cs="宋体"/>
      <w:szCs w:val="24"/>
    </w:rPr>
  </w:style>
  <w:style w:type="paragraph" w:customStyle="1" w:styleId="71">
    <w:name w:val="Char Char Char Char"/>
    <w:basedOn w:val="1"/>
    <w:next w:val="1"/>
    <w:qFormat/>
    <w:uiPriority w:val="0"/>
    <w:pPr>
      <w:snapToGrid w:val="0"/>
      <w:spacing w:line="300" w:lineRule="auto"/>
    </w:pPr>
    <w:rPr>
      <w:rFonts w:eastAsia="黑体"/>
      <w:sz w:val="28"/>
      <w:szCs w:val="28"/>
      <w:lang w:eastAsia="en-US"/>
    </w:rPr>
  </w:style>
  <w:style w:type="paragraph" w:customStyle="1" w:styleId="72">
    <w:name w:val="Char Char Char Char Char Char Char1"/>
    <w:basedOn w:val="1"/>
    <w:qFormat/>
    <w:uiPriority w:val="0"/>
    <w:pPr>
      <w:widowControl w:val="0"/>
      <w:jc w:val="both"/>
    </w:pPr>
    <w:rPr>
      <w:kern w:val="2"/>
      <w:sz w:val="21"/>
      <w:szCs w:val="21"/>
    </w:rPr>
  </w:style>
  <w:style w:type="paragraph" w:customStyle="1" w:styleId="73">
    <w:name w:val="_Style 18"/>
    <w:basedOn w:val="1"/>
    <w:next w:val="1"/>
    <w:qFormat/>
    <w:uiPriority w:val="0"/>
    <w:pPr>
      <w:widowControl w:val="0"/>
      <w:spacing w:line="360" w:lineRule="auto"/>
      <w:ind w:firstLine="200" w:firstLineChars="200"/>
      <w:jc w:val="both"/>
    </w:pPr>
    <w:rPr>
      <w:kern w:val="2"/>
      <w:sz w:val="21"/>
    </w:rPr>
  </w:style>
  <w:style w:type="paragraph" w:customStyle="1" w:styleId="74">
    <w:name w:val="Char Char Char1 Char Char"/>
    <w:basedOn w:val="1"/>
    <w:next w:val="1"/>
    <w:qFormat/>
    <w:uiPriority w:val="0"/>
    <w:pPr>
      <w:widowControl w:val="0"/>
      <w:spacing w:line="360" w:lineRule="auto"/>
      <w:ind w:firstLine="200" w:firstLineChars="200"/>
      <w:jc w:val="both"/>
    </w:pPr>
  </w:style>
  <w:style w:type="paragraph" w:customStyle="1" w:styleId="75">
    <w:name w:val="Char Char Char Char Char Char Char Char Char Char Char Char Char"/>
    <w:basedOn w:val="1"/>
    <w:qFormat/>
    <w:uiPriority w:val="0"/>
    <w:pPr>
      <w:spacing w:line="360" w:lineRule="auto"/>
      <w:ind w:firstLine="200" w:firstLineChars="200"/>
    </w:pPr>
    <w:rPr>
      <w:kern w:val="2"/>
      <w:sz w:val="21"/>
      <w:szCs w:val="24"/>
    </w:rPr>
  </w:style>
  <w:style w:type="paragraph" w:customStyle="1" w:styleId="76">
    <w:name w:val="xl26"/>
    <w:basedOn w:val="1"/>
    <w:qFormat/>
    <w:uiPriority w:val="0"/>
    <w:pPr>
      <w:pBdr>
        <w:left w:val="single" w:color="auto" w:sz="4" w:space="0"/>
        <w:bottom w:val="single" w:color="auto" w:sz="4" w:space="0"/>
        <w:right w:val="single" w:color="auto" w:sz="4" w:space="0"/>
      </w:pBdr>
      <w:spacing w:beforeAutospacing="1" w:afterAutospacing="1"/>
      <w:jc w:val="center"/>
      <w:textAlignment w:val="top"/>
    </w:pPr>
    <w:rPr>
      <w:sz w:val="21"/>
    </w:rPr>
  </w:style>
  <w:style w:type="paragraph" w:customStyle="1" w:styleId="77">
    <w:name w:val="reader-word-layer reader-word-s6-13"/>
    <w:basedOn w:val="1"/>
    <w:qFormat/>
    <w:uiPriority w:val="0"/>
    <w:pPr>
      <w:spacing w:beforeAutospacing="1" w:afterAutospacing="1"/>
    </w:pPr>
    <w:rPr>
      <w:rFonts w:ascii="宋体" w:hAnsi="宋体" w:cs="宋体"/>
      <w:szCs w:val="24"/>
    </w:rPr>
  </w:style>
  <w:style w:type="paragraph" w:customStyle="1" w:styleId="78">
    <w:name w:val="Char1 Char Char Char Char Char Char Char Char Char Char Char Char Char Char Char"/>
    <w:basedOn w:val="1"/>
    <w:qFormat/>
    <w:uiPriority w:val="0"/>
    <w:pPr>
      <w:widowControl w:val="0"/>
      <w:jc w:val="both"/>
    </w:pPr>
    <w:rPr>
      <w:kern w:val="2"/>
      <w:sz w:val="21"/>
      <w:szCs w:val="24"/>
    </w:rPr>
  </w:style>
  <w:style w:type="paragraph" w:customStyle="1" w:styleId="79">
    <w:name w:val="Char Char1"/>
    <w:basedOn w:val="1"/>
    <w:next w:val="1"/>
    <w:qFormat/>
    <w:uiPriority w:val="0"/>
    <w:pPr>
      <w:widowControl w:val="0"/>
      <w:spacing w:line="360" w:lineRule="auto"/>
      <w:ind w:firstLine="200" w:firstLineChars="200"/>
      <w:jc w:val="both"/>
    </w:pPr>
  </w:style>
  <w:style w:type="paragraph" w:customStyle="1" w:styleId="80">
    <w:name w:val="xl27"/>
    <w:basedOn w:val="1"/>
    <w:qFormat/>
    <w:uiPriority w:val="0"/>
    <w:pPr>
      <w:jc w:val="center"/>
      <w:textAlignment w:val="center"/>
    </w:pPr>
    <w:rPr>
      <w:rFonts w:ascii="宋体" w:hAnsi="宋体"/>
      <w:szCs w:val="24"/>
    </w:rPr>
  </w:style>
  <w:style w:type="paragraph" w:customStyle="1" w:styleId="81">
    <w:name w:val="reader-word-layer reader-word-s6-12"/>
    <w:basedOn w:val="1"/>
    <w:qFormat/>
    <w:uiPriority w:val="0"/>
    <w:pPr>
      <w:spacing w:beforeAutospacing="1" w:afterAutospacing="1"/>
    </w:pPr>
    <w:rPr>
      <w:rFonts w:ascii="宋体" w:hAnsi="宋体" w:cs="宋体"/>
      <w:szCs w:val="24"/>
    </w:rPr>
  </w:style>
  <w:style w:type="paragraph" w:customStyle="1" w:styleId="82">
    <w:name w:val="pic-info"/>
    <w:basedOn w:val="1"/>
    <w:qFormat/>
    <w:uiPriority w:val="0"/>
    <w:pPr>
      <w:spacing w:beforeAutospacing="1" w:afterAutospacing="1"/>
    </w:pPr>
    <w:rPr>
      <w:rFonts w:ascii="宋体" w:hAnsi="宋体" w:cs="宋体"/>
      <w:szCs w:val="24"/>
    </w:rPr>
  </w:style>
  <w:style w:type="paragraph" w:customStyle="1" w:styleId="83">
    <w:name w:val="style3"/>
    <w:basedOn w:val="1"/>
    <w:qFormat/>
    <w:uiPriority w:val="0"/>
    <w:pPr>
      <w:spacing w:beforeAutospacing="1" w:afterAutospacing="1"/>
    </w:pPr>
    <w:rPr>
      <w:rFonts w:ascii="宋体" w:hAnsi="宋体"/>
    </w:rPr>
  </w:style>
  <w:style w:type="paragraph" w:customStyle="1" w:styleId="84">
    <w:name w:val="Char Char Char1"/>
    <w:basedOn w:val="1"/>
    <w:next w:val="1"/>
    <w:qFormat/>
    <w:uiPriority w:val="0"/>
    <w:pPr>
      <w:widowControl w:val="0"/>
      <w:spacing w:line="360" w:lineRule="auto"/>
      <w:ind w:firstLine="200" w:firstLineChars="200"/>
      <w:jc w:val="both"/>
    </w:p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1996</Words>
  <Characters>11379</Characters>
  <Lines>94</Lines>
  <Paragraphs>26</Paragraphs>
  <TotalTime>5</TotalTime>
  <ScaleCrop>false</ScaleCrop>
  <LinksUpToDate>false</LinksUpToDate>
  <CharactersWithSpaces>13349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2019-12-18T13:56:00Z</dcterms:created>
  <dc:creator>微软用户</dc:creator>
  <cp:lastModifiedBy>zjt</cp:lastModifiedBy>
  <cp:lastPrinted>2021-09-16T10:00:00Z</cp:lastPrinted>
  <dcterms:modified xsi:type="dcterms:W3CDTF">2021-10-19T10:52:27Z</dcterms:modified>
  <dc:title>个人建议：</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9EBF4C1851A64E98AF0CD60DB38C9C04</vt:lpwstr>
  </property>
</Properties>
</file>