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C2" w:rsidRDefault="00A433A0" w:rsidP="007974B4">
      <w:pPr>
        <w:widowControl w:val="0"/>
        <w:tabs>
          <w:tab w:val="left" w:pos="0"/>
        </w:tabs>
        <w:topLinePunct/>
        <w:spacing w:beforeLines="150" w:line="600" w:lineRule="exact"/>
        <w:jc w:val="right"/>
        <w:rPr>
          <w:rFonts w:ascii="Vineta BT" w:eastAsia="Times New Roman" w:hAnsi="Vineta BT" w:cs="Times New Roman"/>
          <w:kern w:val="2"/>
          <w:sz w:val="52"/>
          <w:szCs w:val="52"/>
        </w:rPr>
      </w:pPr>
      <w:bookmarkStart w:id="0" w:name="_Toc525982028"/>
      <w:bookmarkStart w:id="1" w:name="_Toc532755634"/>
      <w:bookmarkStart w:id="2" w:name="_Toc15245076"/>
      <w:r>
        <w:rPr>
          <w:rFonts w:ascii="Vineta BT" w:hAnsi="Vineta BT"/>
          <w:sz w:val="72"/>
        </w:rPr>
        <w:t>DB</w:t>
      </w:r>
    </w:p>
    <w:p w:rsidR="009846C2" w:rsidRDefault="00A433A0">
      <w:pPr>
        <w:widowControl w:val="0"/>
        <w:tabs>
          <w:tab w:val="left" w:pos="0"/>
          <w:tab w:val="center" w:pos="2948"/>
        </w:tabs>
        <w:topLinePunct/>
        <w:spacing w:before="100" w:beforeAutospacing="1" w:after="100" w:afterAutospacing="1" w:line="300" w:lineRule="auto"/>
        <w:rPr>
          <w:rFonts w:ascii="Times New Roman" w:eastAsia="Times New Roman" w:hAnsi="Times New Roman" w:cs="Times New Roman"/>
          <w:kern w:val="2"/>
          <w:sz w:val="32"/>
        </w:rPr>
      </w:pPr>
      <w:r>
        <w:rPr>
          <w:rFonts w:ascii="Times New Roman" w:eastAsia="黑体" w:hAnsi="Times New Roman" w:cs="Times New Roman"/>
          <w:kern w:val="2"/>
          <w:sz w:val="32"/>
        </w:rPr>
        <w:tab/>
      </w:r>
      <w:r>
        <w:rPr>
          <w:rFonts w:ascii="Times New Roman" w:eastAsia="黑体" w:hAnsi="Times New Roman" w:cs="Times New Roman"/>
          <w:kern w:val="2"/>
          <w:sz w:val="32"/>
        </w:rPr>
        <w:t>河北省工程建设</w:t>
      </w:r>
      <w:r>
        <w:rPr>
          <w:rFonts w:ascii="Times New Roman" w:eastAsia="黑体" w:hAnsi="Times New Roman" w:cs="Times New Roman" w:hint="eastAsia"/>
          <w:kern w:val="2"/>
          <w:sz w:val="32"/>
        </w:rPr>
        <w:t>地方</w:t>
      </w:r>
      <w:r>
        <w:rPr>
          <w:rFonts w:ascii="Times New Roman" w:eastAsia="黑体" w:hAnsi="Times New Roman" w:cs="Times New Roman"/>
          <w:kern w:val="2"/>
          <w:sz w:val="32"/>
        </w:rPr>
        <w:t>标准</w:t>
      </w:r>
    </w:p>
    <w:p w:rsidR="009846C2" w:rsidRDefault="00A433A0" w:rsidP="007974B4">
      <w:pPr>
        <w:widowControl w:val="0"/>
        <w:tabs>
          <w:tab w:val="left" w:pos="0"/>
          <w:tab w:val="left" w:pos="398"/>
          <w:tab w:val="right" w:pos="5896"/>
        </w:tabs>
        <w:topLinePunct/>
        <w:spacing w:beforeLines="50" w:line="400" w:lineRule="exact"/>
        <w:rPr>
          <w:rFonts w:ascii="Times New Roman" w:eastAsia="黑体" w:hAnsi="Times New Roman" w:cs="Times New Roman"/>
          <w:kern w:val="2"/>
          <w:sz w:val="24"/>
        </w:rPr>
      </w:pPr>
      <w:r>
        <w:rPr>
          <w:rFonts w:ascii="Times New Roman" w:eastAsia="黑体" w:hAnsi="Times New Roman" w:cs="Times New Roman"/>
          <w:kern w:val="2"/>
          <w:sz w:val="28"/>
          <w:szCs w:val="28"/>
        </w:rPr>
        <w:tab/>
      </w:r>
      <w:r>
        <w:rPr>
          <w:rFonts w:ascii="Times New Roman" w:eastAsia="黑体" w:hAnsi="Times New Roman" w:cs="Times New Roman" w:hint="eastAsia"/>
          <w:kern w:val="2"/>
          <w:sz w:val="28"/>
          <w:szCs w:val="28"/>
        </w:rPr>
        <w:t>P</w:t>
      </w:r>
      <w:r>
        <w:rPr>
          <w:rFonts w:ascii="Times New Roman" w:eastAsia="黑体" w:hAnsi="Times New Roman" w:cs="Times New Roman"/>
          <w:kern w:val="2"/>
          <w:sz w:val="28"/>
          <w:szCs w:val="28"/>
        </w:rPr>
        <w:tab/>
      </w:r>
      <w:r>
        <w:rPr>
          <w:rFonts w:ascii="Times New Roman" w:eastAsia="黑体" w:hAnsi="Times New Roman" w:cs="Times New Roman" w:hint="eastAsia"/>
          <w:kern w:val="2"/>
          <w:sz w:val="28"/>
          <w:szCs w:val="28"/>
        </w:rPr>
        <w:t xml:space="preserve">                      </w:t>
      </w:r>
      <w:r>
        <w:rPr>
          <w:rFonts w:ascii="Times New Roman" w:eastAsia="黑体" w:hAnsi="Times New Roman" w:cs="Times New Roman"/>
          <w:kern w:val="2"/>
          <w:sz w:val="28"/>
          <w:szCs w:val="28"/>
        </w:rPr>
        <w:t xml:space="preserve"> DB13(J)/T</w:t>
      </w:r>
      <w:r>
        <w:rPr>
          <w:rFonts w:ascii="Times New Roman" w:eastAsia="黑体" w:hAnsi="Times New Roman" w:cs="Times New Roman" w:hint="eastAsia"/>
          <w:kern w:val="2"/>
          <w:sz w:val="10"/>
          <w:szCs w:val="10"/>
        </w:rPr>
        <w:t xml:space="preserve"> </w:t>
      </w:r>
      <w:r>
        <w:rPr>
          <w:rFonts w:ascii="Times New Roman" w:eastAsia="黑体" w:hAnsi="Times New Roman" w:cs="Times New Roman"/>
          <w:kern w:val="2"/>
          <w:sz w:val="28"/>
          <w:szCs w:val="28"/>
        </w:rPr>
        <w:t>××</w:t>
      </w:r>
      <w:r>
        <w:rPr>
          <w:rFonts w:ascii="Times New Roman" w:eastAsia="宋体" w:hAnsi="Times New Roman" w:cs="宋体" w:hint="eastAsia"/>
          <w:kern w:val="2"/>
          <w:sz w:val="24"/>
          <w:szCs w:val="24"/>
        </w:rPr>
        <w:t>—</w:t>
      </w:r>
      <w:r>
        <w:rPr>
          <w:rFonts w:ascii="Times New Roman" w:eastAsia="黑体" w:hAnsi="Times New Roman" w:cs="Times New Roman"/>
          <w:kern w:val="2"/>
          <w:sz w:val="28"/>
          <w:szCs w:val="28"/>
        </w:rPr>
        <w:t>2021</w:t>
      </w:r>
    </w:p>
    <w:p w:rsidR="009846C2" w:rsidRDefault="00330AD5" w:rsidP="005B1C19">
      <w:pPr>
        <w:widowControl w:val="0"/>
        <w:tabs>
          <w:tab w:val="left" w:pos="0"/>
        </w:tabs>
        <w:topLinePunct/>
        <w:spacing w:line="400" w:lineRule="exact"/>
        <w:ind w:leftChars="400" w:left="796" w:rightChars="7" w:right="14"/>
        <w:jc w:val="right"/>
        <w:rPr>
          <w:rFonts w:ascii="Times New Roman" w:eastAsia="黑体" w:hAnsi="Times New Roman" w:cs="Times New Roman"/>
          <w:kern w:val="2"/>
          <w:sz w:val="24"/>
        </w:rPr>
      </w:pPr>
      <w:r w:rsidRPr="00330AD5">
        <w:rPr>
          <w:rFonts w:ascii="Times New Roman" w:eastAsia="Times New Roman" w:hAnsi="Times New Roman" w:cs="Times New Roman"/>
          <w:kern w:val="2"/>
          <w:sz w:val="21"/>
        </w:rPr>
        <w:pict>
          <v:line id="直线 1" o:spid="_x0000_s1026" style="position:absolute;left:0;text-align:left;z-index:251661312" from="-8.9pt,3.35pt" to="30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aQJAIAAC0EAAAOAAAAZHJzL2Uyb0RvYy54bWysU02O2jAU3lfqHazsIQkEBiLCqEqgm2mL&#10;NNMDGNshVh3bsg0BVT1Jr9HVbHqcuUafTaCl3VRVs3D8897n733v8+L+2Ap0YMZyJYsoHSYRYpIo&#10;yuWuiD4+rQezCFmHJcVCSVZEJ2aj++XrV4tO52ykGiUoMwhApM07XUSNczqPY0sa1mI7VJpJOKyV&#10;abGDpdnF1OAO0FsRj5JkGnfKUG0UYdbCbnU+jJYBv64ZcR/q2jKHRBEBNxdGE8atH+PlAuc7g3XD&#10;SU8D/wOLFnMJl16hKuww2hv+B1TLiVFW1W5IVBuruuaEhRqgmjT5rZrHBmsWagFxrL7KZP8fLHl/&#10;2BjEaRGNIyRxCy16+frt5fk7Sr02nbY5hJRyY3x15Cgf9YMinyySqmyw3LHA8emkITFkxDcpfmE1&#10;3LDt3ikKMXjvVBDqWJvWQ4IE6Bj6cbr2gx0dIrCZJdldNoe2ETibjieeUYzzS6o21r1lqkV+UkSC&#10;Sy8WzvHhwbpz6CXEb0u15kKEhguJOuA7md1NQoZVglN/6uOs2W1LYdABe8+Er7/4JsyovaQBrWGY&#10;rvq5w1yc50BUSI8H1QCffnY2xed5Ml/NVrNskI2mq0GWVNXgzbrMBtN1ejepxlVZVukXTy3N8oZT&#10;yqRndzFomv2dAfqncrbW1aJXHeJb9KAtkL38A+nQTt/Bsxe2ip42xmvrOwueDMH9+/Gm/3Udon6+&#10;8uUPAAAA//8DAFBLAwQUAAYACAAAACEAldZwgt0AAAAHAQAADwAAAGRycy9kb3ducmV2LnhtbEzO&#10;z2rCQBAG8HvBd1hG6E03kZJomo2IIPRSi38eYM2OSWh2NmRXTXz6Tk/tbYZv+OaXrwfbijv2vnGk&#10;IJ5HIJBKZxqqFJxPu9kShA+ajG4doYIRPayLyUuuM+MedMD7MVSCS8hnWkEdQpdJ6csarfZz1yFx&#10;dnW91YHXvpKm1w8ut61cRFEirW6IP9S6w22N5ffxZhUctm6fbrq3r499+Lymz+eIZTUq9TodNu8g&#10;Ag7h7xh++UyHgk0XdyPjRatgFqdMDwqSFATnSbxKQFx4WIIscvnfX/wAAAD//wMAUEsBAi0AFAAG&#10;AAgAAAAhALaDOJL+AAAA4QEAABMAAAAAAAAAAAAAAAAAAAAAAFtDb250ZW50X1R5cGVzXS54bWxQ&#10;SwECLQAUAAYACAAAACEAOP0h/9YAAACUAQAACwAAAAAAAAAAAAAAAAAvAQAAX3JlbHMvLnJlbHNQ&#10;SwECLQAUAAYACAAAACEAOFo2kCQCAAAtBAAADgAAAAAAAAAAAAAAAAAuAgAAZHJzL2Uyb0RvYy54&#10;bWxQSwECLQAUAAYACAAAACEAldZwgt0AAAAHAQAADwAAAAAAAAAAAAAAAAB+BAAAZHJzL2Rvd25y&#10;ZXYueG1sUEsFBgAAAAAEAAQA8wAAAIgFAAAAAA==&#10;" strokeweight="1.25pt">
            <w10:wrap type="square"/>
          </v:line>
        </w:pict>
      </w:r>
      <w:r w:rsidR="00A433A0">
        <w:rPr>
          <w:rFonts w:ascii="Times New Roman" w:eastAsia="宋体" w:hAnsi="Times New Roman" w:cs="Times New Roman"/>
          <w:kern w:val="2"/>
          <w:sz w:val="21"/>
        </w:rPr>
        <w:t xml:space="preserve">       </w:t>
      </w:r>
      <w:r w:rsidR="00A433A0">
        <w:rPr>
          <w:rFonts w:ascii="Times New Roman" w:eastAsia="黑体" w:hAnsi="Times New Roman" w:cs="Times New Roman"/>
          <w:kern w:val="2"/>
          <w:sz w:val="24"/>
        </w:rPr>
        <w:t>备案号：</w:t>
      </w:r>
      <w:r w:rsidR="00A433A0">
        <w:rPr>
          <w:rFonts w:ascii="Times New Roman" w:eastAsia="黑体" w:hAnsi="Times New Roman" w:cs="Times New Roman"/>
          <w:kern w:val="2"/>
          <w:sz w:val="24"/>
        </w:rPr>
        <w:t>J</w:t>
      </w:r>
      <w:r w:rsidR="00A433A0">
        <w:rPr>
          <w:rFonts w:ascii="Times New Roman" w:eastAsia="黑体" w:hAnsi="Times New Roman" w:cs="Times New Roman"/>
          <w:kern w:val="2"/>
          <w:sz w:val="28"/>
          <w:szCs w:val="28"/>
        </w:rPr>
        <w:t>×××××</w:t>
      </w:r>
      <w:r w:rsidR="00A433A0">
        <w:rPr>
          <w:rFonts w:ascii="Times New Roman" w:eastAsia="宋体" w:hAnsi="Times New Roman" w:cs="宋体" w:hint="eastAsia"/>
          <w:kern w:val="2"/>
          <w:sz w:val="24"/>
        </w:rPr>
        <w:t>—</w:t>
      </w:r>
      <w:r w:rsidR="00A433A0">
        <w:rPr>
          <w:rFonts w:ascii="Times New Roman" w:eastAsia="黑体" w:hAnsi="Times New Roman" w:cs="Times New Roman"/>
          <w:kern w:val="2"/>
          <w:sz w:val="24"/>
        </w:rPr>
        <w:t>2021</w:t>
      </w:r>
    </w:p>
    <w:p w:rsidR="009846C2" w:rsidRDefault="00A433A0" w:rsidP="007974B4">
      <w:pPr>
        <w:widowControl w:val="0"/>
        <w:tabs>
          <w:tab w:val="left" w:pos="0"/>
        </w:tabs>
        <w:topLinePunct/>
        <w:spacing w:beforeLines="150" w:line="560" w:lineRule="atLeast"/>
        <w:jc w:val="center"/>
        <w:rPr>
          <w:rFonts w:ascii="Times New Roman" w:eastAsia="方正小标宋简体" w:hAnsi="Times New Roman" w:cs="Times New Roman"/>
          <w:kern w:val="2"/>
          <w:sz w:val="36"/>
          <w:szCs w:val="36"/>
        </w:rPr>
      </w:pPr>
      <w:r>
        <w:rPr>
          <w:rFonts w:ascii="Times New Roman" w:eastAsia="方正小标宋简体" w:hAnsi="Times New Roman" w:cs="Times New Roman" w:hint="eastAsia"/>
          <w:kern w:val="2"/>
          <w:sz w:val="36"/>
          <w:szCs w:val="36"/>
        </w:rPr>
        <w:t>输变电工程消防验收标准</w:t>
      </w:r>
    </w:p>
    <w:p w:rsidR="009846C2" w:rsidRDefault="00A433A0">
      <w:pPr>
        <w:widowControl w:val="0"/>
        <w:tabs>
          <w:tab w:val="left" w:pos="0"/>
        </w:tabs>
        <w:topLinePunct/>
        <w:spacing w:line="240" w:lineRule="auto"/>
        <w:ind w:left="113"/>
        <w:jc w:val="center"/>
        <w:rPr>
          <w:rFonts w:ascii="Times New Roman" w:eastAsia="楷体_GB2312" w:hAnsi="Times New Roman" w:cs="Times New Roman"/>
          <w:b/>
          <w:kern w:val="2"/>
          <w:sz w:val="21"/>
          <w:szCs w:val="21"/>
        </w:rPr>
      </w:pPr>
      <w:bookmarkStart w:id="3" w:name="_Hlk45525858"/>
      <w:r>
        <w:rPr>
          <w:rFonts w:ascii="Times New Roman" w:eastAsia="楷体_GB2312" w:hAnsi="Times New Roman" w:cs="Times New Roman" w:hint="eastAsia"/>
          <w:b/>
          <w:kern w:val="2"/>
          <w:sz w:val="21"/>
          <w:szCs w:val="21"/>
        </w:rPr>
        <w:t>Acceptance Standard for Fire Protection of power</w:t>
      </w:r>
      <w:r>
        <w:rPr>
          <w:rFonts w:ascii="Times New Roman" w:eastAsia="楷体_GB2312" w:hAnsi="Times New Roman" w:cs="Times New Roman"/>
          <w:b/>
          <w:kern w:val="2"/>
          <w:sz w:val="21"/>
          <w:szCs w:val="21"/>
        </w:rPr>
        <w:t xml:space="preserve"> </w:t>
      </w:r>
      <w:r>
        <w:rPr>
          <w:rFonts w:ascii="Times New Roman" w:eastAsia="楷体_GB2312" w:hAnsi="Times New Roman" w:cs="Times New Roman" w:hint="eastAsia"/>
          <w:b/>
          <w:kern w:val="2"/>
          <w:sz w:val="21"/>
          <w:szCs w:val="21"/>
        </w:rPr>
        <w:t>transmission and transformation engineering</w:t>
      </w:r>
    </w:p>
    <w:p w:rsidR="009846C2" w:rsidRDefault="009846C2">
      <w:pPr>
        <w:widowControl w:val="0"/>
        <w:tabs>
          <w:tab w:val="left" w:pos="0"/>
        </w:tabs>
        <w:topLinePunct/>
        <w:spacing w:line="240" w:lineRule="auto"/>
        <w:ind w:left="113"/>
        <w:jc w:val="center"/>
        <w:rPr>
          <w:rFonts w:ascii="Times New Roman" w:eastAsia="楷体_GB2312" w:hAnsi="Times New Roman" w:cs="Times New Roman"/>
          <w:b/>
          <w:kern w:val="2"/>
          <w:sz w:val="32"/>
          <w:szCs w:val="32"/>
        </w:rPr>
      </w:pPr>
    </w:p>
    <w:p w:rsidR="009846C2" w:rsidRDefault="00A433A0">
      <w:pPr>
        <w:widowControl w:val="0"/>
        <w:tabs>
          <w:tab w:val="left" w:pos="0"/>
        </w:tabs>
        <w:topLinePunct/>
        <w:spacing w:line="240" w:lineRule="auto"/>
        <w:ind w:left="113"/>
        <w:jc w:val="center"/>
        <w:rPr>
          <w:rFonts w:ascii="Times New Roman" w:eastAsia="楷体_GB2312" w:hAnsi="Times New Roman" w:cs="Times New Roman"/>
          <w:b/>
          <w:kern w:val="2"/>
          <w:sz w:val="32"/>
          <w:szCs w:val="32"/>
        </w:rPr>
      </w:pPr>
      <w:r>
        <w:rPr>
          <w:rFonts w:ascii="Times New Roman" w:eastAsia="楷体_GB2312" w:hAnsi="Times New Roman" w:cs="Times New Roman" w:hint="eastAsia"/>
          <w:b/>
          <w:kern w:val="2"/>
          <w:sz w:val="32"/>
          <w:szCs w:val="32"/>
        </w:rPr>
        <w:t>（编制稿）</w:t>
      </w:r>
    </w:p>
    <w:bookmarkEnd w:id="3"/>
    <w:p w:rsidR="009846C2" w:rsidRDefault="009846C2">
      <w:pPr>
        <w:widowControl w:val="0"/>
        <w:tabs>
          <w:tab w:val="left" w:pos="0"/>
        </w:tabs>
        <w:topLinePunct/>
        <w:spacing w:line="240" w:lineRule="auto"/>
        <w:jc w:val="both"/>
        <w:rPr>
          <w:rFonts w:ascii="Times New Roman" w:eastAsiaTheme="minorEastAsia" w:hAnsi="Times New Roman" w:cs="Times New Roman"/>
          <w:kern w:val="2"/>
          <w:sz w:val="21"/>
        </w:rPr>
      </w:pPr>
    </w:p>
    <w:p w:rsidR="009846C2" w:rsidRDefault="009846C2">
      <w:pPr>
        <w:widowControl w:val="0"/>
        <w:tabs>
          <w:tab w:val="left" w:pos="0"/>
        </w:tabs>
        <w:topLinePunct/>
        <w:spacing w:line="240" w:lineRule="auto"/>
        <w:jc w:val="both"/>
        <w:rPr>
          <w:rFonts w:ascii="Times New Roman" w:eastAsiaTheme="minorEastAsia" w:hAnsi="Times New Roman" w:cs="Times New Roman"/>
          <w:kern w:val="2"/>
          <w:sz w:val="21"/>
        </w:rPr>
      </w:pPr>
    </w:p>
    <w:p w:rsidR="009846C2" w:rsidRDefault="009846C2">
      <w:pPr>
        <w:widowControl w:val="0"/>
        <w:tabs>
          <w:tab w:val="left" w:pos="0"/>
        </w:tabs>
        <w:topLinePunct/>
        <w:spacing w:line="240" w:lineRule="auto"/>
        <w:jc w:val="both"/>
        <w:rPr>
          <w:rFonts w:ascii="Times New Roman" w:eastAsia="宋体" w:hAnsi="Times New Roman" w:cs="Times New Roman"/>
          <w:kern w:val="2"/>
          <w:sz w:val="21"/>
        </w:rPr>
      </w:pPr>
    </w:p>
    <w:p w:rsidR="009846C2" w:rsidRDefault="00A433A0">
      <w:pPr>
        <w:widowControl w:val="0"/>
        <w:tabs>
          <w:tab w:val="left" w:pos="0"/>
        </w:tabs>
        <w:topLinePunct/>
        <w:spacing w:line="400" w:lineRule="exact"/>
        <w:jc w:val="center"/>
        <w:rPr>
          <w:rFonts w:ascii="Times New Roman" w:eastAsia="黑体" w:hAnsi="Times New Roman" w:cs="Times New Roman"/>
          <w:kern w:val="2"/>
          <w:sz w:val="28"/>
        </w:rPr>
      </w:pPr>
      <w:r>
        <w:rPr>
          <w:rFonts w:ascii="Times New Roman" w:eastAsia="黑体" w:hAnsi="Times New Roman" w:cs="Times New Roman"/>
          <w:kern w:val="2"/>
          <w:sz w:val="28"/>
        </w:rPr>
        <w:t>2021-××-××</w:t>
      </w:r>
      <w:r>
        <w:rPr>
          <w:rFonts w:ascii="Times New Roman" w:eastAsia="黑体" w:hAnsi="Times New Roman" w:cs="Times New Roman" w:hint="eastAsia"/>
          <w:kern w:val="2"/>
          <w:sz w:val="28"/>
        </w:rPr>
        <w:t xml:space="preserve">    </w:t>
      </w:r>
      <w:r>
        <w:rPr>
          <w:rFonts w:ascii="Times New Roman" w:eastAsia="黑体" w:hAnsi="Times New Roman" w:cs="Times New Roman"/>
          <w:kern w:val="2"/>
          <w:sz w:val="28"/>
        </w:rPr>
        <w:t>发布</w:t>
      </w:r>
      <w:r>
        <w:rPr>
          <w:rFonts w:ascii="Times New Roman" w:eastAsia="黑体" w:hAnsi="Times New Roman" w:cs="Times New Roman"/>
          <w:kern w:val="2"/>
          <w:sz w:val="28"/>
        </w:rPr>
        <w:t xml:space="preserve">      </w:t>
      </w:r>
      <w:r>
        <w:rPr>
          <w:rFonts w:ascii="Times New Roman" w:eastAsia="黑体" w:hAnsi="Times New Roman" w:cs="Times New Roman" w:hint="eastAsia"/>
          <w:kern w:val="2"/>
          <w:sz w:val="28"/>
        </w:rPr>
        <w:t xml:space="preserve">        </w:t>
      </w:r>
      <w:r>
        <w:rPr>
          <w:rFonts w:ascii="Times New Roman" w:eastAsia="黑体" w:hAnsi="Times New Roman" w:cs="Times New Roman"/>
          <w:kern w:val="2"/>
          <w:sz w:val="28"/>
        </w:rPr>
        <w:t xml:space="preserve">  </w:t>
      </w:r>
      <w:r>
        <w:rPr>
          <w:rFonts w:ascii="Times New Roman" w:eastAsia="黑体" w:hAnsi="Times New Roman" w:cs="Times New Roman" w:hint="eastAsia"/>
          <w:kern w:val="2"/>
          <w:sz w:val="28"/>
        </w:rPr>
        <w:t xml:space="preserve">      </w:t>
      </w:r>
      <w:r>
        <w:rPr>
          <w:rFonts w:ascii="Times New Roman" w:eastAsia="黑体" w:hAnsi="Times New Roman" w:cs="Times New Roman"/>
          <w:kern w:val="2"/>
          <w:sz w:val="28"/>
        </w:rPr>
        <w:t xml:space="preserve">2021-××-×× </w:t>
      </w:r>
      <w:r>
        <w:rPr>
          <w:rFonts w:ascii="Times New Roman" w:eastAsia="黑体" w:hAnsi="Times New Roman" w:cs="Times New Roman" w:hint="eastAsia"/>
          <w:kern w:val="2"/>
          <w:sz w:val="28"/>
        </w:rPr>
        <w:t xml:space="preserve">   </w:t>
      </w:r>
      <w:r>
        <w:rPr>
          <w:rFonts w:ascii="Times New Roman" w:eastAsia="黑体" w:hAnsi="Times New Roman" w:cs="Times New Roman"/>
          <w:kern w:val="2"/>
          <w:sz w:val="28"/>
        </w:rPr>
        <w:t>实施</w:t>
      </w:r>
    </w:p>
    <w:p w:rsidR="009846C2" w:rsidRDefault="00330AD5" w:rsidP="007974B4">
      <w:pPr>
        <w:widowControl w:val="0"/>
        <w:tabs>
          <w:tab w:val="left" w:pos="0"/>
        </w:tabs>
        <w:topLinePunct/>
        <w:spacing w:beforeLines="100" w:afterLines="100" w:line="400" w:lineRule="exact"/>
        <w:jc w:val="center"/>
        <w:rPr>
          <w:rFonts w:ascii="Times New Roman" w:eastAsia="黑体" w:hAnsi="Times New Roman" w:cs="Times New Roman"/>
          <w:kern w:val="2"/>
          <w:sz w:val="28"/>
        </w:rPr>
      </w:pPr>
      <w:r>
        <w:rPr>
          <w:rFonts w:ascii="Times New Roman" w:eastAsia="黑体" w:hAnsi="Times New Roman" w:cs="Times New Roman"/>
          <w:kern w:val="2"/>
          <w:sz w:val="28"/>
        </w:rPr>
        <w:pict>
          <v:line id="直线 3" o:spid="_x0000_s1028" style="position:absolute;left:0;text-align:left;z-index:251660288" from="-14.95pt,3.05pt" to="310.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4RJgIAAC4EAAAOAAAAZHJzL2Uyb0RvYy54bWysU82O2jAQvlfqO1i+QxIILESEVUWgl22L&#10;tNsHMLZDrDq2ZRsCqvokfY2e9tLH2dfo2PyIbS9V1RycsWfm8zczn2f3h1aiPbdOaFXirJ9ixBXV&#10;TKhtiT8/rXoTjJwnihGpFS/xkTt8P3/7ZtaZgg90oyXjFgGIckVnStx4b4okcbThLXF9bbgCZ61t&#10;Szxs7TZhlnSA3spkkKbjpNOWGaspdw5Oq5MTzyN+XXPqP9W14x7JEgM3H1cb101Yk/mMFFtLTCPo&#10;mQb5BxYtEQouvUJVxBO0s+IPqFZQq52ufZ/qNtF1LSiPNUA1WfpbNY8NMTzWAs1x5tom9/9g6cf9&#10;2iLBSjzASJEWRvTy/cfL8080DL3pjCsgZKHWNlRHD+rRPGj6xSGlFw1RWx45Ph0NJGYhI3mVEjbO&#10;wA2b7oNmEEN2XsdGHWrbBkhoATrEeRyv8+AHjygc5tlwMh3C2Cj4xsNRHFdCikuusc6/57pFwSix&#10;FCp0ixRk/+B84EKKS0g4VnolpIwTlwp1QHg0uRvFDKelYMEb4pzdbhbSoj0JoolfrAw8t2FW7xSL&#10;aA0nbHm2PRHyZMPtUgU8KAf4nK2TKr5O0+lyspzkvXwwXvbytKp671aLvDdeZXejalgtFlX2LVDL&#10;8qIRjHEV2F0UmuV/p4DzWzlp66rRax+S1+ixYUD28o+k4zzDCE9i2Gh2XNvLnEGUMfj8gILqb/dg&#10;3z7z+S8AAAD//wMAUEsDBBQABgAIAAAAIQBCzGF73AAAAAcBAAAPAAAAZHJzL2Rvd25yZXYueG1s&#10;TI7BSsNAFEX3gv8wPMFdO0mQxMa8lFIQ3Fhp9QOmyWsSzLwJmWmb9Ot9rnR5uZdzT7GebK8uNPrO&#10;MUK8jEARV67uuEH4+nxdPIPywXBteseEMJOHdXl/V5i8dlfe0+UQGiUQ9rlBaEMYcq191ZI1fukG&#10;YulObrQmSBwbXY/mKnDb6ySKUm1Nx/LQmoG2LVXfh7NF2G/dLtsMTx9vu/B+ym63mapmRnx8mDYv&#10;oAJN4W8Mv/qiDqU4Hd2Za696hEWyWskUIY1BSZ8mseQjQhaDLgv937/8AQAA//8DAFBLAQItABQA&#10;BgAIAAAAIQC2gziS/gAAAOEBAAATAAAAAAAAAAAAAAAAAAAAAABbQ29udGVudF9UeXBlc10ueG1s&#10;UEsBAi0AFAAGAAgAAAAhADj9If/WAAAAlAEAAAsAAAAAAAAAAAAAAAAALwEAAF9yZWxzLy5yZWxz&#10;UEsBAi0AFAAGAAgAAAAhACI6nhEmAgAALgQAAA4AAAAAAAAAAAAAAAAALgIAAGRycy9lMm9Eb2Mu&#10;eG1sUEsBAi0AFAAGAAgAAAAhAELMYXvcAAAABwEAAA8AAAAAAAAAAAAAAAAAgAQAAGRycy9kb3du&#10;cmV2LnhtbFBLBQYAAAAABAAEAPMAAACJBQAAAAA=&#10;" strokeweight="1.25pt">
            <w10:wrap type="square"/>
          </v:line>
        </w:pict>
      </w:r>
      <w:r w:rsidR="00A433A0">
        <w:rPr>
          <w:rFonts w:ascii="Times New Roman" w:eastAsia="黑体" w:hAnsi="Times New Roman" w:cs="Times New Roman"/>
          <w:kern w:val="2"/>
          <w:sz w:val="28"/>
        </w:rPr>
        <w:t>河北省住房和城乡建设厅</w:t>
      </w:r>
      <w:r w:rsidR="00A433A0">
        <w:rPr>
          <w:rFonts w:ascii="Times New Roman" w:eastAsia="黑体" w:hAnsi="Times New Roman" w:cs="Times New Roman"/>
          <w:kern w:val="2"/>
          <w:sz w:val="28"/>
        </w:rPr>
        <w:t xml:space="preserve"> </w:t>
      </w:r>
      <w:r w:rsidR="00A433A0">
        <w:rPr>
          <w:rFonts w:ascii="Times New Roman" w:eastAsia="黑体" w:hAnsi="Times New Roman" w:cs="Times New Roman" w:hint="eastAsia"/>
          <w:kern w:val="2"/>
          <w:sz w:val="28"/>
        </w:rPr>
        <w:t xml:space="preserve"> </w:t>
      </w:r>
      <w:r w:rsidR="00A433A0">
        <w:rPr>
          <w:rFonts w:ascii="Times New Roman" w:eastAsia="黑体" w:hAnsi="Times New Roman" w:cs="Times New Roman"/>
          <w:kern w:val="2"/>
          <w:sz w:val="28"/>
        </w:rPr>
        <w:t>发</w:t>
      </w:r>
      <w:r w:rsidR="00A433A0">
        <w:rPr>
          <w:rFonts w:ascii="Times New Roman" w:eastAsia="黑体" w:hAnsi="Times New Roman" w:cs="Times New Roman" w:hint="eastAsia"/>
          <w:kern w:val="2"/>
          <w:sz w:val="28"/>
        </w:rPr>
        <w:t xml:space="preserve">  </w:t>
      </w:r>
      <w:r w:rsidR="00A433A0">
        <w:rPr>
          <w:rFonts w:ascii="Times New Roman" w:eastAsia="黑体" w:hAnsi="Times New Roman" w:cs="Times New Roman"/>
          <w:kern w:val="2"/>
          <w:sz w:val="28"/>
        </w:rPr>
        <w:t>布</w:t>
      </w:r>
    </w:p>
    <w:p w:rsidR="009846C2" w:rsidRDefault="00A433A0" w:rsidP="007974B4">
      <w:pPr>
        <w:widowControl w:val="0"/>
        <w:tabs>
          <w:tab w:val="left" w:pos="0"/>
        </w:tabs>
        <w:topLinePunct/>
        <w:spacing w:beforeLines="150" w:line="360" w:lineRule="auto"/>
        <w:jc w:val="center"/>
        <w:rPr>
          <w:rFonts w:ascii="Times New Roman" w:eastAsia="黑体" w:hAnsi="Times New Roman" w:cs="Times New Roman"/>
          <w:kern w:val="2"/>
          <w:sz w:val="32"/>
          <w:szCs w:val="24"/>
        </w:rPr>
      </w:pPr>
      <w:r>
        <w:rPr>
          <w:rFonts w:ascii="Times New Roman" w:eastAsia="黑体" w:hAnsi="Times New Roman" w:cs="Times New Roman" w:hint="eastAsia"/>
          <w:kern w:val="2"/>
          <w:sz w:val="32"/>
          <w:szCs w:val="24"/>
        </w:rPr>
        <w:lastRenderedPageBreak/>
        <w:t>河北省工程建设地方标准</w:t>
      </w:r>
    </w:p>
    <w:p w:rsidR="009846C2" w:rsidRDefault="00A433A0" w:rsidP="007974B4">
      <w:pPr>
        <w:widowControl w:val="0"/>
        <w:tabs>
          <w:tab w:val="left" w:pos="0"/>
        </w:tabs>
        <w:topLinePunct/>
        <w:spacing w:beforeLines="100" w:line="560" w:lineRule="atLeast"/>
        <w:jc w:val="center"/>
        <w:rPr>
          <w:rFonts w:ascii="Times New Roman" w:eastAsia="方正小标宋简体" w:hAnsi="Times New Roman" w:cs="Times New Roman"/>
          <w:kern w:val="2"/>
          <w:sz w:val="36"/>
          <w:szCs w:val="36"/>
        </w:rPr>
      </w:pPr>
      <w:r>
        <w:rPr>
          <w:rFonts w:ascii="Times New Roman" w:eastAsia="方正小标宋简体" w:hAnsi="Times New Roman" w:cs="Times New Roman" w:hint="eastAsia"/>
          <w:kern w:val="2"/>
          <w:sz w:val="36"/>
          <w:szCs w:val="36"/>
        </w:rPr>
        <w:t>输变电工程消防验收标准</w:t>
      </w:r>
    </w:p>
    <w:p w:rsidR="009846C2" w:rsidRDefault="00A433A0" w:rsidP="007974B4">
      <w:pPr>
        <w:tabs>
          <w:tab w:val="left" w:pos="0"/>
        </w:tabs>
        <w:topLinePunct/>
        <w:spacing w:afterLines="100" w:line="360" w:lineRule="exact"/>
        <w:jc w:val="center"/>
        <w:rPr>
          <w:rFonts w:ascii="Times New Roman" w:eastAsia="楷体_GB2312" w:hAnsi="Times New Roman" w:cs="Times New Roman"/>
          <w:b/>
          <w:kern w:val="2"/>
          <w:sz w:val="21"/>
          <w:szCs w:val="21"/>
        </w:rPr>
      </w:pPr>
      <w:bookmarkStart w:id="4" w:name="_Hlk45526095"/>
      <w:r>
        <w:rPr>
          <w:rFonts w:ascii="Times New Roman" w:eastAsia="楷体_GB2312" w:hAnsi="Times New Roman" w:cs="Times New Roman" w:hint="eastAsia"/>
          <w:b/>
          <w:kern w:val="2"/>
          <w:sz w:val="21"/>
          <w:szCs w:val="21"/>
        </w:rPr>
        <w:t>Acceptance Standard for Fire Protection of power</w:t>
      </w:r>
      <w:r>
        <w:rPr>
          <w:rFonts w:ascii="Times New Roman" w:eastAsia="楷体_GB2312" w:hAnsi="Times New Roman" w:cs="Times New Roman"/>
          <w:b/>
          <w:kern w:val="2"/>
          <w:sz w:val="21"/>
          <w:szCs w:val="21"/>
        </w:rPr>
        <w:t xml:space="preserve"> </w:t>
      </w:r>
      <w:r>
        <w:rPr>
          <w:rFonts w:ascii="Times New Roman" w:eastAsia="楷体_GB2312" w:hAnsi="Times New Roman" w:cs="Times New Roman" w:hint="eastAsia"/>
          <w:b/>
          <w:kern w:val="2"/>
          <w:sz w:val="21"/>
          <w:szCs w:val="21"/>
        </w:rPr>
        <w:t>transmission and transformation engineering</w:t>
      </w:r>
    </w:p>
    <w:bookmarkEnd w:id="4"/>
    <w:p w:rsidR="009846C2" w:rsidRDefault="00A433A0" w:rsidP="007974B4">
      <w:pPr>
        <w:tabs>
          <w:tab w:val="left" w:pos="0"/>
        </w:tabs>
        <w:topLinePunct/>
        <w:spacing w:beforeLines="100" w:afterLines="100"/>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DB13(J)/T</w:t>
      </w:r>
      <w:r>
        <w:rPr>
          <w:rFonts w:ascii="Times New Roman" w:eastAsia="黑体" w:hAnsi="Times New Roman" w:cs="Times New Roman"/>
          <w:kern w:val="2"/>
          <w:sz w:val="15"/>
          <w:szCs w:val="15"/>
        </w:rPr>
        <w:t xml:space="preserve"> </w:t>
      </w:r>
      <w:r>
        <w:rPr>
          <w:rFonts w:ascii="Times New Roman" w:eastAsia="黑体" w:hAnsi="Times New Roman" w:cs="Times New Roman"/>
          <w:kern w:val="2"/>
          <w:sz w:val="28"/>
          <w:szCs w:val="28"/>
        </w:rPr>
        <w:t>×××</w:t>
      </w:r>
      <w:r>
        <w:rPr>
          <w:rFonts w:ascii="Times New Roman" w:eastAsia="宋体" w:hAnsi="Times New Roman" w:cs="宋体" w:hint="eastAsia"/>
          <w:kern w:val="2"/>
          <w:sz w:val="24"/>
          <w:szCs w:val="24"/>
        </w:rPr>
        <w:t>—</w:t>
      </w:r>
      <w:r>
        <w:rPr>
          <w:rFonts w:ascii="Times New Roman" w:eastAsia="黑体" w:hAnsi="Times New Roman" w:cs="Times New Roman"/>
          <w:kern w:val="2"/>
          <w:sz w:val="28"/>
          <w:szCs w:val="28"/>
        </w:rPr>
        <w:t>2021</w:t>
      </w:r>
    </w:p>
    <w:tbl>
      <w:tblPr>
        <w:tblW w:w="5000" w:type="dxa"/>
        <w:jc w:val="center"/>
        <w:tblLayout w:type="fixed"/>
        <w:tblLook w:val="04A0"/>
      </w:tblPr>
      <w:tblGrid>
        <w:gridCol w:w="1254"/>
        <w:gridCol w:w="3746"/>
      </w:tblGrid>
      <w:tr w:rsidR="009846C2">
        <w:trPr>
          <w:trHeight w:val="340"/>
          <w:jc w:val="center"/>
        </w:trPr>
        <w:tc>
          <w:tcPr>
            <w:tcW w:w="1254" w:type="dxa"/>
            <w:vAlign w:val="center"/>
          </w:tcPr>
          <w:p w:rsidR="009846C2" w:rsidRDefault="00A433A0">
            <w:pPr>
              <w:widowControl w:val="0"/>
              <w:tabs>
                <w:tab w:val="left" w:pos="0"/>
              </w:tabs>
              <w:topLinePunct/>
              <w:spacing w:line="360" w:lineRule="atLeast"/>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主编部门：</w:t>
            </w:r>
          </w:p>
          <w:p w:rsidR="009846C2" w:rsidRDefault="00A433A0">
            <w:pPr>
              <w:widowControl w:val="0"/>
              <w:tabs>
                <w:tab w:val="left" w:pos="0"/>
              </w:tabs>
              <w:topLinePunct/>
              <w:spacing w:line="360" w:lineRule="atLeast"/>
              <w:jc w:val="both"/>
              <w:rPr>
                <w:rFonts w:ascii="Times New Roman" w:eastAsia="黑体" w:hAnsi="Times New Roman" w:cs="Times New Roman"/>
                <w:kern w:val="2"/>
                <w:sz w:val="21"/>
                <w:szCs w:val="21"/>
              </w:rPr>
            </w:pPr>
            <w:r>
              <w:rPr>
                <w:rFonts w:ascii="Times New Roman" w:eastAsia="宋体" w:hAnsi="Times New Roman" w:cs="Times New Roman"/>
                <w:kern w:val="2"/>
                <w:sz w:val="21"/>
                <w:szCs w:val="21"/>
              </w:rPr>
              <w:t>主编单位：</w:t>
            </w:r>
          </w:p>
        </w:tc>
        <w:tc>
          <w:tcPr>
            <w:tcW w:w="3746" w:type="dxa"/>
            <w:vAlign w:val="center"/>
          </w:tcPr>
          <w:p w:rsidR="009846C2" w:rsidRDefault="00A433A0">
            <w:pPr>
              <w:widowControl w:val="0"/>
              <w:tabs>
                <w:tab w:val="left" w:pos="0"/>
              </w:tabs>
              <w:topLinePunct/>
              <w:spacing w:line="360" w:lineRule="atLeast"/>
              <w:jc w:val="distribute"/>
              <w:rPr>
                <w:rFonts w:ascii="Times New Roman" w:eastAsia="宋体" w:hAnsi="Times New Roman" w:cs="Times New Roman"/>
                <w:snapToGrid w:val="0"/>
                <w:sz w:val="21"/>
              </w:rPr>
            </w:pPr>
            <w:r>
              <w:rPr>
                <w:rFonts w:ascii="Times New Roman" w:eastAsia="宋体" w:hAnsi="Times New Roman" w:cs="Times New Roman" w:hint="eastAsia"/>
                <w:snapToGrid w:val="0"/>
                <w:sz w:val="21"/>
              </w:rPr>
              <w:t>河北省建设工程标准编制研究中心</w:t>
            </w:r>
          </w:p>
          <w:p w:rsidR="009846C2" w:rsidRDefault="00A433A0">
            <w:pPr>
              <w:widowControl w:val="0"/>
              <w:tabs>
                <w:tab w:val="left" w:pos="0"/>
              </w:tabs>
              <w:topLinePunct/>
              <w:spacing w:line="360" w:lineRule="atLeast"/>
              <w:jc w:val="distribute"/>
              <w:rPr>
                <w:rFonts w:ascii="Times New Roman" w:eastAsia="宋体" w:hAnsi="Times New Roman" w:cs="Times New Roman"/>
                <w:snapToGrid w:val="0"/>
                <w:kern w:val="21"/>
                <w:sz w:val="21"/>
              </w:rPr>
            </w:pPr>
            <w:r>
              <w:rPr>
                <w:rFonts w:ascii="Times New Roman" w:eastAsia="宋体" w:hAnsi="Times New Roman" w:cs="Times New Roman" w:hint="eastAsia"/>
                <w:snapToGrid w:val="0"/>
                <w:kern w:val="21"/>
                <w:sz w:val="21"/>
              </w:rPr>
              <w:t>国网河北省电力有限公司建设公司</w:t>
            </w:r>
          </w:p>
        </w:tc>
      </w:tr>
      <w:tr w:rsidR="009846C2">
        <w:trPr>
          <w:trHeight w:val="340"/>
          <w:jc w:val="center"/>
        </w:trPr>
        <w:tc>
          <w:tcPr>
            <w:tcW w:w="1254" w:type="dxa"/>
            <w:vAlign w:val="center"/>
          </w:tcPr>
          <w:p w:rsidR="009846C2" w:rsidRDefault="009846C2">
            <w:pPr>
              <w:widowControl w:val="0"/>
              <w:tabs>
                <w:tab w:val="left" w:pos="0"/>
              </w:tabs>
              <w:topLinePunct/>
              <w:spacing w:line="360" w:lineRule="atLeast"/>
              <w:jc w:val="both"/>
              <w:rPr>
                <w:rFonts w:ascii="Times New Roman" w:eastAsia="宋体" w:hAnsi="Times New Roman" w:cs="Times New Roman"/>
                <w:kern w:val="2"/>
                <w:sz w:val="21"/>
                <w:szCs w:val="21"/>
              </w:rPr>
            </w:pPr>
          </w:p>
        </w:tc>
        <w:tc>
          <w:tcPr>
            <w:tcW w:w="3746" w:type="dxa"/>
            <w:vAlign w:val="center"/>
          </w:tcPr>
          <w:p w:rsidR="009846C2" w:rsidRDefault="00A433A0">
            <w:pPr>
              <w:widowControl w:val="0"/>
              <w:tabs>
                <w:tab w:val="left" w:pos="0"/>
              </w:tabs>
              <w:topLinePunct/>
              <w:spacing w:line="360" w:lineRule="atLeast"/>
              <w:jc w:val="distribute"/>
              <w:rPr>
                <w:rFonts w:ascii="Times New Roman" w:eastAsia="宋体" w:hAnsi="Times New Roman" w:cs="Times New Roman"/>
                <w:snapToGrid w:val="0"/>
                <w:kern w:val="21"/>
                <w:sz w:val="21"/>
              </w:rPr>
            </w:pPr>
            <w:r>
              <w:rPr>
                <w:rFonts w:ascii="Times New Roman" w:eastAsia="宋体" w:hAnsi="Times New Roman" w:cs="Times New Roman" w:hint="eastAsia"/>
                <w:snapToGrid w:val="0"/>
                <w:kern w:val="21"/>
                <w:sz w:val="21"/>
              </w:rPr>
              <w:t>应急管理部天津消防研究所</w:t>
            </w:r>
          </w:p>
          <w:p w:rsidR="009846C2" w:rsidRDefault="00A433A0">
            <w:pPr>
              <w:widowControl w:val="0"/>
              <w:tabs>
                <w:tab w:val="left" w:pos="0"/>
              </w:tabs>
              <w:topLinePunct/>
              <w:spacing w:line="360" w:lineRule="atLeast"/>
              <w:jc w:val="distribute"/>
              <w:rPr>
                <w:rFonts w:ascii="Times New Roman" w:eastAsia="宋体" w:hAnsi="Times New Roman" w:cs="Times New Roman"/>
                <w:snapToGrid w:val="0"/>
                <w:kern w:val="21"/>
                <w:sz w:val="21"/>
              </w:rPr>
            </w:pPr>
            <w:r>
              <w:rPr>
                <w:rFonts w:ascii="Times New Roman" w:eastAsia="宋体" w:hAnsi="Times New Roman" w:cs="Times New Roman" w:hint="eastAsia"/>
                <w:snapToGrid w:val="0"/>
                <w:kern w:val="21"/>
                <w:sz w:val="21"/>
              </w:rPr>
              <w:t>河北大成建筑设计咨询有限公司</w:t>
            </w:r>
          </w:p>
        </w:tc>
      </w:tr>
      <w:tr w:rsidR="009846C2">
        <w:trPr>
          <w:trHeight w:val="340"/>
          <w:jc w:val="center"/>
        </w:trPr>
        <w:tc>
          <w:tcPr>
            <w:tcW w:w="1254" w:type="dxa"/>
            <w:vAlign w:val="center"/>
          </w:tcPr>
          <w:p w:rsidR="009846C2" w:rsidRDefault="00A433A0">
            <w:pPr>
              <w:widowControl w:val="0"/>
              <w:tabs>
                <w:tab w:val="left" w:pos="0"/>
              </w:tabs>
              <w:topLinePunct/>
              <w:spacing w:line="360" w:lineRule="atLeast"/>
              <w:jc w:val="both"/>
              <w:rPr>
                <w:rFonts w:ascii="Times New Roman" w:eastAsia="黑体" w:hAnsi="Times New Roman" w:cs="Times New Roman"/>
                <w:kern w:val="2"/>
                <w:sz w:val="21"/>
                <w:szCs w:val="21"/>
              </w:rPr>
            </w:pPr>
            <w:r>
              <w:rPr>
                <w:rFonts w:ascii="Times New Roman" w:eastAsia="宋体" w:hAnsi="Times New Roman" w:cs="Times New Roman" w:hint="eastAsia"/>
                <w:kern w:val="2"/>
                <w:sz w:val="21"/>
                <w:szCs w:val="21"/>
              </w:rPr>
              <w:t>批</w:t>
            </w:r>
            <w:r>
              <w:rPr>
                <w:rFonts w:ascii="Times New Roman" w:eastAsia="宋体" w:hAnsi="Times New Roman" w:cs="Times New Roman"/>
                <w:kern w:val="2"/>
                <w:sz w:val="21"/>
                <w:szCs w:val="21"/>
              </w:rPr>
              <w:t>准部门：</w:t>
            </w:r>
          </w:p>
        </w:tc>
        <w:tc>
          <w:tcPr>
            <w:tcW w:w="3746" w:type="dxa"/>
            <w:vAlign w:val="center"/>
          </w:tcPr>
          <w:p w:rsidR="009846C2" w:rsidRDefault="00A433A0">
            <w:pPr>
              <w:widowControl w:val="0"/>
              <w:tabs>
                <w:tab w:val="left" w:pos="0"/>
              </w:tabs>
              <w:topLinePunct/>
              <w:spacing w:line="360" w:lineRule="atLeast"/>
              <w:jc w:val="distribute"/>
              <w:rPr>
                <w:rFonts w:ascii="Times New Roman" w:eastAsia="黑体" w:hAnsi="Times New Roman" w:cs="Times New Roman"/>
                <w:kern w:val="2"/>
                <w:sz w:val="21"/>
                <w:szCs w:val="21"/>
              </w:rPr>
            </w:pPr>
            <w:r>
              <w:rPr>
                <w:rFonts w:ascii="Times New Roman" w:eastAsia="宋体" w:hAnsi="Times New Roman" w:cs="Times New Roman"/>
                <w:kern w:val="2"/>
                <w:sz w:val="21"/>
                <w:szCs w:val="21"/>
              </w:rPr>
              <w:t>河北省住房和城乡建设厅</w:t>
            </w:r>
          </w:p>
        </w:tc>
      </w:tr>
      <w:tr w:rsidR="009846C2">
        <w:trPr>
          <w:trHeight w:val="340"/>
          <w:jc w:val="center"/>
        </w:trPr>
        <w:tc>
          <w:tcPr>
            <w:tcW w:w="1254" w:type="dxa"/>
            <w:vAlign w:val="center"/>
          </w:tcPr>
          <w:p w:rsidR="009846C2" w:rsidRDefault="00A433A0">
            <w:pPr>
              <w:widowControl w:val="0"/>
              <w:tabs>
                <w:tab w:val="left" w:pos="0"/>
              </w:tabs>
              <w:topLinePunct/>
              <w:spacing w:line="360" w:lineRule="atLeast"/>
              <w:jc w:val="both"/>
              <w:rPr>
                <w:rFonts w:ascii="Times New Roman" w:eastAsia="黑体" w:hAnsi="Times New Roman" w:cs="Times New Roman"/>
                <w:kern w:val="2"/>
                <w:sz w:val="21"/>
                <w:szCs w:val="21"/>
              </w:rPr>
            </w:pPr>
            <w:r>
              <w:rPr>
                <w:rFonts w:ascii="Times New Roman" w:eastAsia="宋体" w:hAnsi="Times New Roman" w:cs="Times New Roman"/>
                <w:kern w:val="2"/>
                <w:sz w:val="21"/>
                <w:szCs w:val="21"/>
              </w:rPr>
              <w:t>施行日期：</w:t>
            </w:r>
          </w:p>
        </w:tc>
        <w:tc>
          <w:tcPr>
            <w:tcW w:w="3746" w:type="dxa"/>
            <w:vAlign w:val="center"/>
          </w:tcPr>
          <w:p w:rsidR="009846C2" w:rsidRDefault="00A433A0">
            <w:pPr>
              <w:widowControl w:val="0"/>
              <w:tabs>
                <w:tab w:val="left" w:pos="0"/>
              </w:tabs>
              <w:topLinePunct/>
              <w:spacing w:line="360" w:lineRule="atLeast"/>
              <w:jc w:val="distribute"/>
              <w:rPr>
                <w:rFonts w:ascii="Times New Roman" w:eastAsia="黑体" w:hAnsi="Times New Roman" w:cs="Times New Roman"/>
                <w:kern w:val="2"/>
                <w:sz w:val="21"/>
                <w:szCs w:val="21"/>
              </w:rPr>
            </w:pPr>
            <w:r>
              <w:rPr>
                <w:rFonts w:ascii="Times New Roman" w:eastAsia="宋体" w:hAnsi="Times New Roman" w:cs="Times New Roman"/>
                <w:kern w:val="2"/>
                <w:sz w:val="21"/>
                <w:szCs w:val="21"/>
              </w:rPr>
              <w:t>2021</w:t>
            </w:r>
            <w:r>
              <w:rPr>
                <w:rFonts w:ascii="Times New Roman" w:eastAsia="宋体" w:hAnsi="Times New Roman" w:cs="Times New Roman"/>
                <w:kern w:val="2"/>
                <w:sz w:val="21"/>
                <w:szCs w:val="21"/>
              </w:rPr>
              <w:t>年</w:t>
            </w:r>
            <w:r>
              <w:rPr>
                <w:rFonts w:ascii="Times New Roman" w:eastAsia="宋体" w:hAnsi="Times New Roman" w:cs="Times New Roman" w:hint="eastAsia"/>
                <w:kern w:val="2"/>
                <w:sz w:val="21"/>
                <w:szCs w:val="21"/>
              </w:rPr>
              <w:t>×</w:t>
            </w:r>
            <w:r>
              <w:rPr>
                <w:rFonts w:ascii="Times New Roman" w:eastAsia="宋体" w:hAnsi="Times New Roman" w:cs="Times New Roman"/>
                <w:kern w:val="2"/>
                <w:sz w:val="21"/>
                <w:szCs w:val="21"/>
              </w:rPr>
              <w:t>月</w:t>
            </w:r>
            <w:r>
              <w:rPr>
                <w:rFonts w:ascii="Times New Roman" w:eastAsia="宋体" w:hAnsi="Times New Roman" w:cs="Times New Roman" w:hint="eastAsia"/>
                <w:kern w:val="2"/>
                <w:sz w:val="21"/>
                <w:szCs w:val="21"/>
              </w:rPr>
              <w:t>×</w:t>
            </w:r>
            <w:r>
              <w:rPr>
                <w:rFonts w:ascii="Times New Roman" w:eastAsia="宋体" w:hAnsi="Times New Roman" w:cs="Times New Roman"/>
                <w:kern w:val="2"/>
                <w:sz w:val="21"/>
                <w:szCs w:val="21"/>
              </w:rPr>
              <w:t>日</w:t>
            </w:r>
          </w:p>
        </w:tc>
      </w:tr>
    </w:tbl>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p w:rsidR="009846C2" w:rsidRDefault="009846C2">
      <w:pPr>
        <w:widowControl w:val="0"/>
        <w:tabs>
          <w:tab w:val="left" w:pos="0"/>
        </w:tabs>
        <w:topLinePunct/>
        <w:spacing w:line="360" w:lineRule="exact"/>
        <w:jc w:val="both"/>
        <w:rPr>
          <w:rFonts w:ascii="Times New Roman" w:eastAsia="宋体" w:hAnsi="Times New Roman" w:cs="Times New Roman"/>
          <w:kern w:val="2"/>
          <w:sz w:val="21"/>
          <w:szCs w:val="21"/>
        </w:rPr>
      </w:pPr>
    </w:p>
    <w:p w:rsidR="009846C2" w:rsidRDefault="009846C2">
      <w:pPr>
        <w:widowControl w:val="0"/>
        <w:tabs>
          <w:tab w:val="left" w:pos="0"/>
        </w:tabs>
        <w:topLinePunct/>
        <w:spacing w:line="360" w:lineRule="exact"/>
        <w:jc w:val="both"/>
        <w:rPr>
          <w:rFonts w:ascii="Times New Roman" w:eastAsia="宋体" w:hAnsi="Times New Roman" w:cs="Times New Roman"/>
          <w:kern w:val="2"/>
          <w:sz w:val="21"/>
          <w:szCs w:val="21"/>
        </w:rPr>
      </w:pPr>
    </w:p>
    <w:p w:rsidR="009846C2" w:rsidRDefault="009846C2">
      <w:pPr>
        <w:widowControl w:val="0"/>
        <w:tabs>
          <w:tab w:val="left" w:pos="0"/>
        </w:tabs>
        <w:topLinePunct/>
        <w:spacing w:line="360" w:lineRule="exact"/>
        <w:jc w:val="both"/>
        <w:rPr>
          <w:rFonts w:ascii="Times New Roman" w:eastAsia="宋体" w:hAnsi="Times New Roman" w:cs="Times New Roman"/>
          <w:kern w:val="2"/>
          <w:sz w:val="18"/>
          <w:szCs w:val="18"/>
        </w:rPr>
      </w:pPr>
    </w:p>
    <w:p w:rsidR="009846C2" w:rsidRDefault="009846C2">
      <w:pPr>
        <w:widowControl w:val="0"/>
        <w:tabs>
          <w:tab w:val="left" w:pos="0"/>
        </w:tabs>
        <w:topLinePunct/>
        <w:spacing w:line="360" w:lineRule="exact"/>
        <w:jc w:val="both"/>
        <w:rPr>
          <w:rFonts w:ascii="Times New Roman" w:eastAsia="宋体" w:hAnsi="Times New Roman" w:cs="Times New Roman"/>
          <w:kern w:val="2"/>
          <w:sz w:val="18"/>
          <w:szCs w:val="18"/>
        </w:rPr>
      </w:pPr>
    </w:p>
    <w:p w:rsidR="009846C2" w:rsidRDefault="009846C2">
      <w:pPr>
        <w:widowControl w:val="0"/>
        <w:tabs>
          <w:tab w:val="left" w:pos="0"/>
        </w:tabs>
        <w:topLinePunct/>
        <w:spacing w:line="360" w:lineRule="exact"/>
        <w:jc w:val="both"/>
        <w:rPr>
          <w:rFonts w:ascii="Times New Roman" w:eastAsia="宋体" w:hAnsi="Times New Roman" w:cs="Times New Roman"/>
          <w:kern w:val="2"/>
          <w:sz w:val="18"/>
          <w:szCs w:val="18"/>
        </w:rPr>
      </w:pPr>
    </w:p>
    <w:p w:rsidR="009846C2" w:rsidRDefault="00A433A0">
      <w:pPr>
        <w:widowControl w:val="0"/>
        <w:tabs>
          <w:tab w:val="left" w:pos="0"/>
        </w:tabs>
        <w:topLinePunct/>
        <w:jc w:val="center"/>
        <w:rPr>
          <w:rFonts w:ascii="Times New Roman" w:eastAsiaTheme="minorEastAsia" w:hAnsi="Times New Roman" w:cs="Times New Roman"/>
          <w:kern w:val="2"/>
          <w:sz w:val="21"/>
        </w:rPr>
      </w:pPr>
      <w:r>
        <w:rPr>
          <w:rFonts w:ascii="Times New Roman" w:eastAsia="宋体" w:hAnsi="Times New Roman" w:cs="Times New Roman" w:hint="eastAsia"/>
          <w:noProof/>
          <w:kern w:val="2"/>
          <w:sz w:val="21"/>
        </w:rPr>
        <w:drawing>
          <wp:anchor distT="0" distB="0" distL="114300" distR="114300" simplePos="0" relativeHeight="251659264" behindDoc="0" locked="0" layoutInCell="1" allowOverlap="1">
            <wp:simplePos x="0" y="0"/>
            <wp:positionH relativeFrom="page">
              <wp:posOffset>2016760</wp:posOffset>
            </wp:positionH>
            <wp:positionV relativeFrom="page">
              <wp:posOffset>5887720</wp:posOffset>
            </wp:positionV>
            <wp:extent cx="995680" cy="132080"/>
            <wp:effectExtent l="19050" t="0" r="0" b="0"/>
            <wp:wrapNone/>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noChangeArrowheads="1"/>
                    </pic:cNvPicPr>
                  </pic:nvPicPr>
                  <pic:blipFill>
                    <a:blip r:embed="rId9" cstate="print"/>
                    <a:srcRect/>
                    <a:stretch>
                      <a:fillRect/>
                    </a:stretch>
                  </pic:blipFill>
                  <pic:spPr>
                    <a:xfrm>
                      <a:off x="0" y="0"/>
                      <a:ext cx="995775" cy="132139"/>
                    </a:xfrm>
                    <a:prstGeom prst="rect">
                      <a:avLst/>
                    </a:prstGeom>
                    <a:noFill/>
                  </pic:spPr>
                </pic:pic>
              </a:graphicData>
            </a:graphic>
          </wp:anchor>
        </w:drawing>
      </w:r>
    </w:p>
    <w:p w:rsidR="009846C2" w:rsidRDefault="00A433A0" w:rsidP="007974B4">
      <w:pPr>
        <w:widowControl w:val="0"/>
        <w:tabs>
          <w:tab w:val="left" w:pos="0"/>
        </w:tabs>
        <w:topLinePunct/>
        <w:spacing w:beforeLines="50" w:line="480" w:lineRule="auto"/>
        <w:jc w:val="center"/>
        <w:rPr>
          <w:rFonts w:ascii="Times New Roman" w:eastAsia="宋体" w:hAnsi="Times New Roman" w:cs="Times New Roman"/>
          <w:kern w:val="2"/>
          <w:sz w:val="24"/>
        </w:rPr>
      </w:pPr>
      <w:r>
        <w:rPr>
          <w:rFonts w:ascii="Times New Roman" w:eastAsia="黑体" w:hAnsi="Times New Roman" w:cs="Times New Roman" w:hint="eastAsia"/>
          <w:bCs/>
          <w:kern w:val="2"/>
          <w:sz w:val="21"/>
          <w:szCs w:val="21"/>
        </w:rPr>
        <w:t>20</w:t>
      </w:r>
      <w:r>
        <w:rPr>
          <w:rFonts w:ascii="Times New Roman" w:eastAsia="黑体" w:hAnsi="Times New Roman" w:cs="Times New Roman"/>
          <w:bCs/>
          <w:kern w:val="2"/>
          <w:sz w:val="21"/>
          <w:szCs w:val="21"/>
        </w:rPr>
        <w:t>21</w:t>
      </w:r>
      <w:r>
        <w:rPr>
          <w:rFonts w:ascii="Times New Roman" w:eastAsia="黑体" w:hAnsi="Times New Roman" w:cs="Times New Roman" w:hint="eastAsia"/>
          <w:bCs/>
          <w:kern w:val="2"/>
          <w:sz w:val="21"/>
          <w:szCs w:val="21"/>
        </w:rPr>
        <w:t xml:space="preserve"> </w:t>
      </w:r>
      <w:r>
        <w:rPr>
          <w:rFonts w:ascii="Times New Roman" w:eastAsia="黑体" w:hAnsi="Times New Roman" w:cs="Times New Roman" w:hint="eastAsia"/>
          <w:b/>
          <w:kern w:val="2"/>
          <w:sz w:val="21"/>
          <w:szCs w:val="21"/>
        </w:rPr>
        <w:t xml:space="preserve"> </w:t>
      </w:r>
      <w:r>
        <w:rPr>
          <w:rFonts w:ascii="Times New Roman" w:eastAsia="黑体" w:hAnsi="Times New Roman" w:cs="Times New Roman" w:hint="eastAsia"/>
          <w:kern w:val="2"/>
          <w:sz w:val="21"/>
          <w:szCs w:val="21"/>
        </w:rPr>
        <w:t>北</w:t>
      </w:r>
      <w:r>
        <w:rPr>
          <w:rFonts w:ascii="Times New Roman" w:eastAsia="黑体" w:hAnsi="Times New Roman" w:cs="Times New Roman" w:hint="eastAsia"/>
          <w:kern w:val="2"/>
          <w:sz w:val="21"/>
          <w:szCs w:val="21"/>
        </w:rPr>
        <w:t xml:space="preserve">  </w:t>
      </w:r>
      <w:r>
        <w:rPr>
          <w:rFonts w:ascii="Times New Roman" w:eastAsia="黑体" w:hAnsi="Times New Roman" w:cs="Times New Roman" w:hint="eastAsia"/>
          <w:kern w:val="2"/>
          <w:sz w:val="21"/>
          <w:szCs w:val="21"/>
        </w:rPr>
        <w:t>京</w:t>
      </w: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9846C2">
      <w:pPr>
        <w:widowControl w:val="0"/>
        <w:tabs>
          <w:tab w:val="left" w:pos="0"/>
        </w:tabs>
        <w:topLinePunct/>
        <w:jc w:val="center"/>
        <w:rPr>
          <w:rFonts w:ascii="Times New Roman" w:eastAsia="宋体" w:hAnsi="Times New Roman" w:cs="宋体"/>
          <w:kern w:val="2"/>
          <w:sz w:val="18"/>
          <w:szCs w:val="18"/>
          <w:lang w:val="zh-CN"/>
        </w:rPr>
      </w:pPr>
    </w:p>
    <w:p w:rsidR="009846C2" w:rsidRDefault="00A433A0">
      <w:pPr>
        <w:widowControl w:val="0"/>
        <w:tabs>
          <w:tab w:val="left" w:pos="0"/>
        </w:tabs>
        <w:topLinePunct/>
        <w:spacing w:line="320" w:lineRule="atLeast"/>
        <w:jc w:val="center"/>
        <w:rPr>
          <w:rFonts w:ascii="黑体" w:eastAsia="黑体" w:hAnsi="黑体" w:cs="宋体"/>
          <w:kern w:val="2"/>
          <w:sz w:val="21"/>
          <w:szCs w:val="21"/>
          <w:lang w:val="zh-CN"/>
        </w:rPr>
      </w:pPr>
      <w:r>
        <w:rPr>
          <w:rFonts w:ascii="黑体" w:eastAsia="黑体" w:hAnsi="黑体" w:cs="宋体" w:hint="eastAsia"/>
          <w:kern w:val="2"/>
          <w:sz w:val="21"/>
          <w:szCs w:val="21"/>
          <w:lang w:val="zh-CN"/>
        </w:rPr>
        <w:t>河北省工程建设地方标准</w:t>
      </w:r>
    </w:p>
    <w:p w:rsidR="009846C2" w:rsidRDefault="00A433A0">
      <w:pPr>
        <w:widowControl w:val="0"/>
        <w:tabs>
          <w:tab w:val="left" w:pos="0"/>
        </w:tabs>
        <w:topLinePunct/>
        <w:spacing w:line="320" w:lineRule="atLeast"/>
        <w:jc w:val="center"/>
        <w:rPr>
          <w:rFonts w:ascii="Times New Roman" w:eastAsia="黑体" w:hAnsi="Times New Roman" w:cs="黑体"/>
          <w:kern w:val="2"/>
          <w:sz w:val="21"/>
          <w:szCs w:val="21"/>
        </w:rPr>
      </w:pPr>
      <w:r>
        <w:rPr>
          <w:rFonts w:ascii="Times New Roman" w:eastAsia="黑体" w:hAnsi="Times New Roman" w:cs="黑体" w:hint="eastAsia"/>
          <w:kern w:val="2"/>
          <w:sz w:val="21"/>
          <w:szCs w:val="21"/>
        </w:rPr>
        <w:t>输变电工程消防验收标准</w:t>
      </w:r>
    </w:p>
    <w:p w:rsidR="009846C2" w:rsidRDefault="00A433A0" w:rsidP="007974B4">
      <w:pPr>
        <w:widowControl w:val="0"/>
        <w:tabs>
          <w:tab w:val="left" w:pos="0"/>
        </w:tabs>
        <w:topLinePunct/>
        <w:spacing w:beforeLines="50" w:line="320" w:lineRule="atLeast"/>
        <w:jc w:val="center"/>
        <w:rPr>
          <w:rFonts w:ascii="Times New Roman" w:eastAsia="宋体" w:hAnsi="Times New Roman" w:cs="Times New Roman"/>
          <w:kern w:val="2"/>
          <w:sz w:val="18"/>
          <w:szCs w:val="18"/>
        </w:rPr>
      </w:pPr>
      <w:r>
        <w:rPr>
          <w:rFonts w:ascii="Times New Roman" w:eastAsia="宋体" w:hAnsi="Times New Roman" w:cs="Times New Roman"/>
          <w:kern w:val="2"/>
          <w:sz w:val="18"/>
          <w:szCs w:val="18"/>
        </w:rPr>
        <w:t>Rules for acceptance inspection and assessment of fire protection in subway construction</w:t>
      </w:r>
    </w:p>
    <w:p w:rsidR="009846C2" w:rsidRDefault="00A433A0" w:rsidP="007974B4">
      <w:pPr>
        <w:widowControl w:val="0"/>
        <w:tabs>
          <w:tab w:val="left" w:pos="0"/>
        </w:tabs>
        <w:topLinePunct/>
        <w:spacing w:beforeLines="50" w:line="320" w:lineRule="atLeast"/>
        <w:jc w:val="center"/>
        <w:rPr>
          <w:rFonts w:ascii="Times New Roman" w:eastAsia="宋体" w:hAnsi="Times New Roman" w:cs="Times New Roman"/>
          <w:kern w:val="2"/>
          <w:sz w:val="18"/>
          <w:szCs w:val="18"/>
        </w:rPr>
      </w:pPr>
      <w:r>
        <w:rPr>
          <w:rFonts w:ascii="Times New Roman" w:eastAsia="宋体" w:hAnsi="Times New Roman" w:cs="Times New Roman"/>
          <w:kern w:val="2"/>
          <w:sz w:val="18"/>
          <w:szCs w:val="18"/>
        </w:rPr>
        <w:t>DB13(J)/T ×××</w:t>
      </w:r>
      <w:r>
        <w:rPr>
          <w:rFonts w:ascii="Times New Roman" w:eastAsia="宋体" w:hAnsi="Times New Roman" w:cs="宋体" w:hint="eastAsia"/>
          <w:kern w:val="2"/>
          <w:sz w:val="18"/>
          <w:szCs w:val="18"/>
        </w:rPr>
        <w:t>－</w:t>
      </w:r>
      <w:r>
        <w:rPr>
          <w:rFonts w:ascii="Times New Roman" w:eastAsia="宋体" w:hAnsi="Times New Roman" w:cs="Times New Roman"/>
          <w:kern w:val="2"/>
          <w:sz w:val="18"/>
          <w:szCs w:val="18"/>
        </w:rPr>
        <w:t>2021</w:t>
      </w:r>
    </w:p>
    <w:p w:rsidR="009846C2" w:rsidRDefault="00A433A0">
      <w:pPr>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宋体" w:hAnsi="Times New Roman" w:cs="黑体"/>
          <w:noProof/>
          <w:kern w:val="2"/>
          <w:sz w:val="21"/>
          <w:szCs w:val="24"/>
        </w:rPr>
        <w:drawing>
          <wp:anchor distT="0" distB="0" distL="114300" distR="114300" simplePos="0" relativeHeight="251663360" behindDoc="0" locked="0" layoutInCell="1" allowOverlap="1">
            <wp:simplePos x="0" y="0"/>
            <wp:positionH relativeFrom="page">
              <wp:posOffset>1068705</wp:posOffset>
            </wp:positionH>
            <wp:positionV relativeFrom="page">
              <wp:posOffset>4702175</wp:posOffset>
            </wp:positionV>
            <wp:extent cx="993140" cy="129540"/>
            <wp:effectExtent l="0" t="0" r="0" b="3810"/>
            <wp:wrapNone/>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93140" cy="129540"/>
                    </a:xfrm>
                    <a:prstGeom prst="rect">
                      <a:avLst/>
                    </a:prstGeom>
                    <a:noFill/>
                  </pic:spPr>
                </pic:pic>
              </a:graphicData>
            </a:graphic>
          </wp:anchor>
        </w:drawing>
      </w:r>
      <w:r>
        <w:rPr>
          <w:rFonts w:ascii="Times New Roman" w:eastAsia="宋体" w:hAnsi="Times New Roman" w:cs="Times New Roman"/>
          <w:kern w:val="2"/>
          <w:sz w:val="18"/>
          <w:szCs w:val="18"/>
        </w:rPr>
        <w:t>﹡</w:t>
      </w:r>
    </w:p>
    <w:p w:rsidR="009846C2" w:rsidRDefault="00A433A0">
      <w:pPr>
        <w:widowControl w:val="0"/>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楷体_GB2312" w:hAnsi="Times New Roman" w:cs="Times New Roman" w:hint="eastAsia"/>
          <w:kern w:val="2"/>
          <w:sz w:val="18"/>
          <w:szCs w:val="18"/>
        </w:rPr>
        <w:t xml:space="preserve">                       </w:t>
      </w:r>
      <w:r>
        <w:rPr>
          <w:rFonts w:ascii="Times New Roman" w:eastAsia="宋体" w:hAnsi="Times New Roman" w:cs="Times New Roman" w:hint="eastAsia"/>
          <w:kern w:val="2"/>
          <w:sz w:val="18"/>
          <w:szCs w:val="18"/>
        </w:rPr>
        <w:t>出版（</w:t>
      </w:r>
      <w:r>
        <w:rPr>
          <w:rFonts w:ascii="Times New Roman" w:eastAsia="宋体" w:hAnsi="Times New Roman" w:cs="Times New Roman"/>
          <w:kern w:val="2"/>
          <w:sz w:val="18"/>
          <w:szCs w:val="18"/>
        </w:rPr>
        <w:t>北京市海淀区三里河路</w:t>
      </w:r>
      <w:r>
        <w:rPr>
          <w:rFonts w:ascii="Times New Roman" w:eastAsia="宋体" w:hAnsi="Times New Roman" w:cs="Times New Roman"/>
          <w:kern w:val="2"/>
          <w:sz w:val="18"/>
          <w:szCs w:val="18"/>
        </w:rPr>
        <w:t>1</w:t>
      </w:r>
      <w:r>
        <w:rPr>
          <w:rFonts w:ascii="Times New Roman" w:eastAsia="宋体" w:hAnsi="Times New Roman" w:cs="Times New Roman"/>
          <w:kern w:val="2"/>
          <w:sz w:val="18"/>
          <w:szCs w:val="18"/>
        </w:rPr>
        <w:t>号</w:t>
      </w:r>
      <w:r>
        <w:rPr>
          <w:rFonts w:ascii="Times New Roman" w:eastAsia="宋体" w:hAnsi="Times New Roman" w:cs="Times New Roman" w:hint="eastAsia"/>
          <w:kern w:val="2"/>
          <w:sz w:val="18"/>
          <w:szCs w:val="18"/>
        </w:rPr>
        <w:t>）</w:t>
      </w:r>
    </w:p>
    <w:p w:rsidR="009846C2" w:rsidRDefault="00A433A0">
      <w:pPr>
        <w:widowControl w:val="0"/>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××印刷厂印刷</w:t>
      </w:r>
    </w:p>
    <w:p w:rsidR="009846C2" w:rsidRDefault="00A433A0">
      <w:pPr>
        <w:widowControl w:val="0"/>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宋体" w:hAnsi="Times New Roman" w:cs="Times New Roman" w:hint="eastAsia"/>
          <w:kern w:val="2"/>
          <w:sz w:val="18"/>
          <w:szCs w:val="18"/>
        </w:rPr>
        <w:t>﹡</w:t>
      </w:r>
    </w:p>
    <w:p w:rsidR="009846C2" w:rsidRDefault="00A433A0">
      <w:pPr>
        <w:widowControl w:val="0"/>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宋体" w:hAnsi="Times New Roman" w:cs="Times New Roman"/>
          <w:kern w:val="2"/>
          <w:sz w:val="18"/>
          <w:szCs w:val="18"/>
        </w:rPr>
        <w:t>开本：</w:t>
      </w:r>
      <w:r>
        <w:rPr>
          <w:rFonts w:ascii="Times New Roman" w:eastAsia="宋体" w:hAnsi="Times New Roman" w:cs="Times New Roman"/>
          <w:kern w:val="2"/>
          <w:sz w:val="18"/>
          <w:szCs w:val="18"/>
        </w:rPr>
        <w:t>8</w:t>
      </w:r>
      <w:r>
        <w:rPr>
          <w:rFonts w:ascii="Times New Roman" w:eastAsia="宋体" w:hAnsi="Times New Roman" w:cs="Times New Roman" w:hint="eastAsia"/>
          <w:kern w:val="2"/>
          <w:sz w:val="18"/>
          <w:szCs w:val="18"/>
        </w:rPr>
        <w:t>5</w:t>
      </w:r>
      <w:r>
        <w:rPr>
          <w:rFonts w:ascii="Times New Roman" w:eastAsia="宋体" w:hAnsi="Times New Roman" w:cs="Times New Roman"/>
          <w:kern w:val="2"/>
          <w:sz w:val="18"/>
          <w:szCs w:val="18"/>
        </w:rPr>
        <w:t>0</w:t>
      </w:r>
      <w:r>
        <w:rPr>
          <w:rFonts w:ascii="Times New Roman" w:eastAsia="宋体" w:hAnsi="Times New Roman" w:cs="Times New Roman" w:hint="eastAsia"/>
          <w:kern w:val="2"/>
          <w:sz w:val="18"/>
          <w:szCs w:val="18"/>
        </w:rPr>
        <w:t>mm</w:t>
      </w:r>
      <w:r>
        <w:rPr>
          <w:rFonts w:ascii="Times New Roman" w:eastAsia="宋体" w:hAnsi="Times New Roman" w:cs="Times New Roman"/>
          <w:kern w:val="2"/>
          <w:sz w:val="18"/>
          <w:szCs w:val="18"/>
        </w:rPr>
        <w:t>×1</w:t>
      </w:r>
      <w:r>
        <w:rPr>
          <w:rFonts w:ascii="Times New Roman" w:eastAsia="宋体" w:hAnsi="Times New Roman" w:cs="Times New Roman" w:hint="eastAsia"/>
          <w:kern w:val="2"/>
          <w:sz w:val="18"/>
          <w:szCs w:val="18"/>
        </w:rPr>
        <w:t>168mm</w:t>
      </w:r>
      <w:r>
        <w:rPr>
          <w:rFonts w:ascii="Times New Roman" w:eastAsia="宋体" w:hAnsi="Times New Roman" w:cs="Times New Roman"/>
          <w:kern w:val="2"/>
          <w:sz w:val="18"/>
          <w:szCs w:val="18"/>
        </w:rPr>
        <w:t xml:space="preserve">  1</w:t>
      </w:r>
      <w:r>
        <w:rPr>
          <w:rFonts w:ascii="Times New Roman" w:eastAsia="宋体" w:hAnsi="Times New Roman" w:cs="Times New Roman" w:hint="eastAsia"/>
          <w:kern w:val="2"/>
          <w:sz w:val="18"/>
          <w:szCs w:val="18"/>
        </w:rPr>
        <w:t>/</w:t>
      </w:r>
      <w:r>
        <w:rPr>
          <w:rFonts w:ascii="Times New Roman" w:eastAsia="宋体" w:hAnsi="Times New Roman" w:cs="Times New Roman"/>
          <w:kern w:val="2"/>
          <w:sz w:val="18"/>
          <w:szCs w:val="18"/>
        </w:rPr>
        <w:t xml:space="preserve">32  </w:t>
      </w:r>
      <w:r>
        <w:rPr>
          <w:rFonts w:ascii="Times New Roman" w:eastAsia="宋体" w:hAnsi="Times New Roman" w:cs="Times New Roman"/>
          <w:kern w:val="2"/>
          <w:sz w:val="18"/>
          <w:szCs w:val="18"/>
        </w:rPr>
        <w:t>印张：</w:t>
      </w:r>
      <w:r>
        <w:rPr>
          <w:rFonts w:ascii="Times New Roman" w:eastAsia="宋体" w:hAnsi="Times New Roman" w:cs="Times New Roman" w:hint="eastAsia"/>
          <w:kern w:val="2"/>
          <w:sz w:val="18"/>
          <w:szCs w:val="18"/>
        </w:rPr>
        <w:t xml:space="preserve">6  </w:t>
      </w:r>
      <w:r>
        <w:rPr>
          <w:rFonts w:ascii="Times New Roman" w:eastAsia="宋体" w:hAnsi="Times New Roman" w:cs="Times New Roman"/>
          <w:kern w:val="2"/>
          <w:sz w:val="18"/>
          <w:szCs w:val="18"/>
        </w:rPr>
        <w:t>字数：</w:t>
      </w:r>
      <w:r>
        <w:rPr>
          <w:rFonts w:ascii="Times New Roman" w:eastAsia="宋体" w:hAnsi="Times New Roman" w:cs="Times New Roman" w:hint="eastAsia"/>
          <w:kern w:val="2"/>
          <w:sz w:val="18"/>
          <w:szCs w:val="18"/>
        </w:rPr>
        <w:t>51</w:t>
      </w:r>
      <w:r>
        <w:rPr>
          <w:rFonts w:ascii="Times New Roman" w:eastAsia="宋体" w:hAnsi="Times New Roman" w:cs="Times New Roman"/>
          <w:kern w:val="2"/>
          <w:sz w:val="18"/>
          <w:szCs w:val="18"/>
        </w:rPr>
        <w:t>千字</w:t>
      </w:r>
    </w:p>
    <w:p w:rsidR="009846C2" w:rsidRDefault="00A433A0">
      <w:pPr>
        <w:widowControl w:val="0"/>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宋体" w:hAnsi="Times New Roman" w:cs="Times New Roman"/>
          <w:kern w:val="2"/>
          <w:sz w:val="18"/>
          <w:szCs w:val="18"/>
        </w:rPr>
        <w:t>2021</w:t>
      </w:r>
      <w:r>
        <w:rPr>
          <w:rFonts w:ascii="Times New Roman" w:eastAsia="宋体" w:hAnsi="Times New Roman" w:cs="Times New Roman"/>
          <w:kern w:val="2"/>
          <w:sz w:val="18"/>
          <w:szCs w:val="18"/>
        </w:rPr>
        <w:t>年</w:t>
      </w:r>
      <w:r>
        <w:rPr>
          <w:rFonts w:ascii="Times New Roman" w:eastAsia="宋体" w:hAnsi="Times New Roman" w:cs="Times New Roman" w:hint="eastAsia"/>
          <w:kern w:val="2"/>
          <w:sz w:val="18"/>
          <w:szCs w:val="18"/>
        </w:rPr>
        <w:t>××</w:t>
      </w:r>
      <w:r>
        <w:rPr>
          <w:rFonts w:ascii="Times New Roman" w:eastAsia="宋体" w:hAnsi="Times New Roman" w:cs="Times New Roman"/>
          <w:kern w:val="2"/>
          <w:sz w:val="18"/>
          <w:szCs w:val="18"/>
        </w:rPr>
        <w:t>月第</w:t>
      </w:r>
      <w:r>
        <w:rPr>
          <w:rFonts w:ascii="Times New Roman" w:eastAsia="宋体" w:hAnsi="Times New Roman" w:cs="Times New Roman" w:hint="eastAsia"/>
          <w:kern w:val="2"/>
          <w:sz w:val="18"/>
          <w:szCs w:val="18"/>
        </w:rPr>
        <w:t>1</w:t>
      </w:r>
      <w:r>
        <w:rPr>
          <w:rFonts w:ascii="Times New Roman" w:eastAsia="宋体" w:hAnsi="Times New Roman" w:cs="Times New Roman"/>
          <w:kern w:val="2"/>
          <w:sz w:val="18"/>
          <w:szCs w:val="18"/>
        </w:rPr>
        <w:t>版</w:t>
      </w:r>
      <w:r>
        <w:rPr>
          <w:rFonts w:ascii="Times New Roman" w:eastAsia="宋体" w:hAnsi="Times New Roman" w:cs="Times New Roman"/>
          <w:kern w:val="2"/>
          <w:sz w:val="18"/>
          <w:szCs w:val="18"/>
        </w:rPr>
        <w:t xml:space="preserve">   2021</w:t>
      </w:r>
      <w:r>
        <w:rPr>
          <w:rFonts w:ascii="Times New Roman" w:eastAsia="宋体" w:hAnsi="Times New Roman" w:cs="Times New Roman"/>
          <w:kern w:val="2"/>
          <w:sz w:val="18"/>
          <w:szCs w:val="18"/>
        </w:rPr>
        <w:t>年</w:t>
      </w:r>
      <w:r>
        <w:rPr>
          <w:rFonts w:ascii="Times New Roman" w:eastAsia="宋体" w:hAnsi="Times New Roman" w:cs="Times New Roman" w:hint="eastAsia"/>
          <w:kern w:val="2"/>
          <w:sz w:val="18"/>
          <w:szCs w:val="18"/>
        </w:rPr>
        <w:t>××</w:t>
      </w:r>
      <w:r>
        <w:rPr>
          <w:rFonts w:ascii="Times New Roman" w:eastAsia="宋体" w:hAnsi="Times New Roman" w:cs="Times New Roman"/>
          <w:kern w:val="2"/>
          <w:sz w:val="18"/>
          <w:szCs w:val="18"/>
        </w:rPr>
        <w:t>月第</w:t>
      </w:r>
      <w:r>
        <w:rPr>
          <w:rFonts w:ascii="Times New Roman" w:eastAsia="宋体" w:hAnsi="Times New Roman" w:cs="Times New Roman" w:hint="eastAsia"/>
          <w:kern w:val="2"/>
          <w:sz w:val="18"/>
          <w:szCs w:val="18"/>
        </w:rPr>
        <w:t>1</w:t>
      </w:r>
      <w:r>
        <w:rPr>
          <w:rFonts w:ascii="Times New Roman" w:eastAsia="宋体" w:hAnsi="Times New Roman" w:cs="Times New Roman"/>
          <w:kern w:val="2"/>
          <w:sz w:val="18"/>
          <w:szCs w:val="18"/>
        </w:rPr>
        <w:t>次印刷</w:t>
      </w:r>
    </w:p>
    <w:p w:rsidR="009846C2" w:rsidRDefault="00A433A0">
      <w:pPr>
        <w:widowControl w:val="0"/>
        <w:tabs>
          <w:tab w:val="left" w:pos="0"/>
        </w:tabs>
        <w:topLinePunct/>
        <w:spacing w:line="320" w:lineRule="atLeast"/>
        <w:jc w:val="center"/>
        <w:rPr>
          <w:rFonts w:ascii="Times New Roman" w:eastAsia="宋体" w:hAnsi="Times New Roman" w:cs="Times New Roman"/>
          <w:kern w:val="2"/>
          <w:sz w:val="18"/>
          <w:szCs w:val="18"/>
        </w:rPr>
      </w:pPr>
      <w:r>
        <w:rPr>
          <w:rFonts w:ascii="Times New Roman" w:eastAsia="宋体" w:hAnsi="Times New Roman" w:cs="Times New Roman"/>
          <w:kern w:val="2"/>
          <w:sz w:val="18"/>
          <w:szCs w:val="18"/>
        </w:rPr>
        <w:t>印数</w:t>
      </w:r>
      <w:r>
        <w:rPr>
          <w:rFonts w:ascii="Times New Roman" w:eastAsia="宋体" w:hAnsi="Times New Roman" w:cs="Times New Roman" w:hint="eastAsia"/>
          <w:kern w:val="2"/>
          <w:sz w:val="18"/>
          <w:szCs w:val="18"/>
        </w:rPr>
        <w:t>：</w:t>
      </w:r>
      <w:r>
        <w:rPr>
          <w:rFonts w:ascii="Times New Roman" w:eastAsia="宋体" w:hAnsi="Times New Roman" w:cs="Times New Roman" w:hint="eastAsia"/>
          <w:b/>
          <w:bCs/>
          <w:kern w:val="2"/>
          <w:sz w:val="18"/>
          <w:szCs w:val="18"/>
        </w:rPr>
        <w:t>1</w:t>
      </w:r>
      <w:r>
        <w:rPr>
          <w:rFonts w:ascii="Times New Roman" w:eastAsia="宋体" w:hAnsi="Times New Roman" w:cs="Times New Roman" w:hint="eastAsia"/>
          <w:kern w:val="2"/>
          <w:sz w:val="18"/>
          <w:szCs w:val="18"/>
        </w:rPr>
        <w:t>～</w:t>
      </w:r>
      <w:r>
        <w:rPr>
          <w:rFonts w:ascii="Times New Roman" w:eastAsia="宋体" w:hAnsi="Times New Roman" w:cs="Times New Roman" w:hint="eastAsia"/>
          <w:b/>
          <w:kern w:val="2"/>
          <w:sz w:val="18"/>
          <w:szCs w:val="18"/>
        </w:rPr>
        <w:t>1000</w:t>
      </w:r>
      <w:r>
        <w:rPr>
          <w:rFonts w:ascii="Times New Roman" w:eastAsia="宋体" w:hAnsi="Times New Roman" w:cs="Times New Roman"/>
          <w:kern w:val="2"/>
          <w:sz w:val="18"/>
          <w:szCs w:val="18"/>
        </w:rPr>
        <w:t>册</w:t>
      </w:r>
      <w:r>
        <w:rPr>
          <w:rFonts w:ascii="Times New Roman" w:eastAsia="宋体" w:hAnsi="Times New Roman" w:cs="Times New Roman"/>
          <w:kern w:val="2"/>
          <w:sz w:val="18"/>
          <w:szCs w:val="18"/>
        </w:rPr>
        <w:t xml:space="preserve">   </w:t>
      </w:r>
      <w:r>
        <w:rPr>
          <w:rFonts w:ascii="Times New Roman" w:eastAsia="宋体" w:hAnsi="Times New Roman" w:cs="Times New Roman"/>
          <w:kern w:val="2"/>
          <w:sz w:val="18"/>
          <w:szCs w:val="18"/>
        </w:rPr>
        <w:t>定价：</w:t>
      </w:r>
      <w:r>
        <w:rPr>
          <w:rFonts w:ascii="Times New Roman" w:eastAsia="宋体" w:hAnsi="Times New Roman" w:cs="Times New Roman"/>
          <w:b/>
          <w:bCs/>
          <w:kern w:val="2"/>
          <w:sz w:val="18"/>
          <w:szCs w:val="18"/>
        </w:rPr>
        <w:t xml:space="preserve"> </w:t>
      </w:r>
      <w:r>
        <w:rPr>
          <w:rFonts w:ascii="Times New Roman" w:eastAsia="宋体" w:hAnsi="Times New Roman" w:cs="Times New Roman"/>
          <w:kern w:val="2"/>
          <w:sz w:val="18"/>
          <w:szCs w:val="18"/>
        </w:rPr>
        <w:t xml:space="preserve"> </w:t>
      </w:r>
      <w:r>
        <w:rPr>
          <w:rFonts w:ascii="Times New Roman" w:eastAsia="宋体" w:hAnsi="Times New Roman" w:cs="Times New Roman"/>
          <w:kern w:val="2"/>
          <w:sz w:val="18"/>
          <w:szCs w:val="18"/>
        </w:rPr>
        <w:t>元</w:t>
      </w:r>
    </w:p>
    <w:p w:rsidR="009846C2" w:rsidRDefault="00A433A0">
      <w:pPr>
        <w:widowControl w:val="0"/>
        <w:tabs>
          <w:tab w:val="left" w:pos="0"/>
        </w:tabs>
        <w:topLinePunct/>
        <w:spacing w:line="340" w:lineRule="exact"/>
        <w:jc w:val="center"/>
        <w:rPr>
          <w:rFonts w:ascii="Times New Roman" w:eastAsia="宋体" w:hAnsi="Times New Roman" w:cs="Times New Roman"/>
          <w:kern w:val="2"/>
          <w:sz w:val="18"/>
          <w:szCs w:val="18"/>
        </w:rPr>
      </w:pPr>
      <w:r>
        <w:rPr>
          <w:rFonts w:ascii="Times New Roman" w:eastAsia="宋体" w:hAnsi="Times New Roman" w:cs="Times New Roman"/>
          <w:kern w:val="2"/>
          <w:sz w:val="18"/>
          <w:szCs w:val="18"/>
        </w:rPr>
        <w:t>统一书号：</w:t>
      </w:r>
      <w:r>
        <w:rPr>
          <w:rFonts w:ascii="Times New Roman" w:eastAsia="宋体" w:hAnsi="Times New Roman" w:cs="Times New Roman"/>
          <w:kern w:val="2"/>
          <w:sz w:val="18"/>
          <w:szCs w:val="18"/>
        </w:rPr>
        <w:t>15</w:t>
      </w:r>
      <w:r>
        <w:rPr>
          <w:rFonts w:ascii="Times New Roman" w:eastAsia="宋体" w:hAnsi="Times New Roman" w:cs="Times New Roman" w:hint="eastAsia"/>
          <w:kern w:val="2"/>
          <w:sz w:val="18"/>
          <w:szCs w:val="18"/>
        </w:rPr>
        <w:t>5160</w:t>
      </w:r>
      <w:r>
        <w:rPr>
          <w:rFonts w:ascii="Times New Roman" w:eastAsia="宋体" w:hAnsi="Times New Roman" w:cs="Times New Roman" w:hint="eastAsia"/>
          <w:kern w:val="2"/>
          <w:sz w:val="18"/>
          <w:szCs w:val="18"/>
        </w:rPr>
        <w:t>·</w:t>
      </w:r>
      <w:r>
        <w:rPr>
          <w:rFonts w:ascii="Times New Roman" w:eastAsia="宋体" w:hAnsi="Times New Roman" w:cs="Times New Roman" w:hint="eastAsia"/>
          <w:kern w:val="2"/>
          <w:sz w:val="18"/>
          <w:szCs w:val="18"/>
        </w:rPr>
        <w:t>****</w:t>
      </w:r>
    </w:p>
    <w:p w:rsidR="009846C2" w:rsidRDefault="009846C2">
      <w:pPr>
        <w:widowControl w:val="0"/>
        <w:tabs>
          <w:tab w:val="left" w:pos="0"/>
        </w:tabs>
        <w:topLinePunct/>
        <w:spacing w:line="360" w:lineRule="exact"/>
        <w:rPr>
          <w:rFonts w:ascii="Times New Roman" w:eastAsia="黑体" w:hAnsi="Times New Roman" w:cs="黑体"/>
          <w:kern w:val="2"/>
          <w:sz w:val="21"/>
          <w:szCs w:val="21"/>
          <w:lang w:val="zh-CN"/>
        </w:rPr>
      </w:pPr>
    </w:p>
    <w:p w:rsidR="009846C2" w:rsidRDefault="00A433A0" w:rsidP="007974B4">
      <w:pPr>
        <w:pageBreakBefore/>
        <w:widowControl w:val="0"/>
        <w:tabs>
          <w:tab w:val="left" w:pos="0"/>
        </w:tabs>
        <w:topLinePunct/>
        <w:spacing w:beforeLines="200" w:after="100" w:afterAutospacing="1"/>
        <w:jc w:val="center"/>
        <w:rPr>
          <w:rFonts w:ascii="Times New Roman" w:eastAsia="方正小标宋简体" w:hAnsi="Times New Roman" w:cs="Times New Roman"/>
          <w:kern w:val="2"/>
          <w:sz w:val="32"/>
          <w:szCs w:val="32"/>
          <w:lang w:val="zh-CN"/>
        </w:rPr>
      </w:pPr>
      <w:r>
        <w:rPr>
          <w:rFonts w:ascii="Times New Roman" w:eastAsia="方正小标宋简体" w:hAnsi="Times New Roman" w:cs="Times New Roman"/>
          <w:kern w:val="2"/>
          <w:sz w:val="32"/>
          <w:szCs w:val="32"/>
          <w:lang w:val="zh-CN"/>
        </w:rPr>
        <w:lastRenderedPageBreak/>
        <w:t>河北省住房和城乡建设厅</w:t>
      </w:r>
    </w:p>
    <w:p w:rsidR="009846C2" w:rsidRDefault="00A433A0">
      <w:pPr>
        <w:widowControl w:val="0"/>
        <w:tabs>
          <w:tab w:val="left" w:pos="0"/>
        </w:tabs>
        <w:topLinePunct/>
        <w:spacing w:before="100" w:beforeAutospacing="1" w:after="100" w:afterAutospacing="1"/>
        <w:jc w:val="center"/>
        <w:rPr>
          <w:rFonts w:ascii="Times New Roman" w:eastAsia="宋体" w:hAnsi="Times New Roman" w:cs="宋体"/>
          <w:b/>
          <w:bCs/>
          <w:kern w:val="2"/>
          <w:sz w:val="32"/>
          <w:szCs w:val="32"/>
          <w:lang w:val="zh-CN"/>
        </w:rPr>
      </w:pPr>
      <w:r>
        <w:rPr>
          <w:rFonts w:ascii="Times New Roman" w:eastAsia="方正小标宋简体" w:hAnsi="Times New Roman" w:cs="方正小标宋简体" w:hint="eastAsia"/>
          <w:kern w:val="2"/>
          <w:sz w:val="32"/>
          <w:szCs w:val="32"/>
          <w:lang w:val="zh-CN"/>
        </w:rPr>
        <w:t>公</w:t>
      </w:r>
      <w:r>
        <w:rPr>
          <w:rFonts w:ascii="Times New Roman" w:eastAsia="方正小标宋简体" w:hAnsi="Times New Roman" w:cs="方正小标宋简体" w:hint="eastAsia"/>
          <w:kern w:val="2"/>
          <w:sz w:val="32"/>
          <w:szCs w:val="32"/>
        </w:rPr>
        <w:t xml:space="preserve">    </w:t>
      </w:r>
      <w:r>
        <w:rPr>
          <w:rFonts w:ascii="Times New Roman" w:eastAsia="方正小标宋简体" w:hAnsi="Times New Roman" w:cs="方正小标宋简体" w:hint="eastAsia"/>
          <w:kern w:val="2"/>
          <w:sz w:val="32"/>
          <w:szCs w:val="32"/>
          <w:lang w:val="zh-CN"/>
        </w:rPr>
        <w:t>告</w:t>
      </w:r>
    </w:p>
    <w:p w:rsidR="009846C2" w:rsidRDefault="00A433A0">
      <w:pPr>
        <w:widowControl w:val="0"/>
        <w:tabs>
          <w:tab w:val="left" w:pos="0"/>
        </w:tabs>
        <w:topLinePunct/>
        <w:spacing w:before="100" w:beforeAutospacing="1" w:after="100" w:afterAutospacing="1"/>
        <w:jc w:val="center"/>
        <w:rPr>
          <w:rFonts w:ascii="Times New Roman" w:eastAsia="宋体" w:hAnsi="Times New Roman" w:cs="Times New Roman"/>
          <w:kern w:val="2"/>
          <w:sz w:val="21"/>
          <w:szCs w:val="21"/>
        </w:rPr>
      </w:pPr>
      <w:r>
        <w:rPr>
          <w:rFonts w:ascii="Times New Roman" w:eastAsia="宋体" w:hAnsi="Times New Roman" w:cs="Times New Roman"/>
          <w:kern w:val="2"/>
          <w:sz w:val="21"/>
          <w:szCs w:val="21"/>
        </w:rPr>
        <w:t>2021</w:t>
      </w:r>
      <w:r>
        <w:rPr>
          <w:rFonts w:ascii="Times New Roman" w:eastAsia="宋体" w:hAnsi="Times New Roman" w:cs="Times New Roman"/>
          <w:kern w:val="2"/>
          <w:sz w:val="21"/>
          <w:szCs w:val="21"/>
        </w:rPr>
        <w:t>年</w:t>
      </w:r>
      <w:r>
        <w:rPr>
          <w:rFonts w:ascii="Times New Roman" w:eastAsia="宋体" w:hAnsi="Times New Roman" w:cs="Times New Roman"/>
          <w:kern w:val="2"/>
          <w:sz w:val="21"/>
          <w:szCs w:val="21"/>
        </w:rPr>
        <w:t xml:space="preserve"> </w:t>
      </w:r>
      <w:r>
        <w:rPr>
          <w:rFonts w:ascii="Times New Roman" w:eastAsia="宋体" w:hAnsi="Times New Roman" w:cs="Times New Roman" w:hint="eastAsia"/>
          <w:kern w:val="2"/>
          <w:sz w:val="21"/>
          <w:szCs w:val="21"/>
        </w:rPr>
        <w:t xml:space="preserve">  </w:t>
      </w:r>
      <w:r>
        <w:rPr>
          <w:rFonts w:ascii="Times New Roman" w:eastAsia="宋体" w:hAnsi="Times New Roman" w:cs="Times New Roman"/>
          <w:kern w:val="2"/>
          <w:sz w:val="21"/>
          <w:szCs w:val="21"/>
        </w:rPr>
        <w:t>第</w:t>
      </w:r>
      <w:r>
        <w:rPr>
          <w:rFonts w:ascii="Times New Roman" w:eastAsia="宋体" w:hAnsi="Times New Roman" w:cs="Times New Roman" w:hint="eastAsia"/>
          <w:kern w:val="2"/>
          <w:sz w:val="21"/>
          <w:szCs w:val="21"/>
        </w:rPr>
        <w:t>xx</w:t>
      </w:r>
      <w:r>
        <w:rPr>
          <w:rFonts w:ascii="Times New Roman" w:eastAsia="宋体" w:hAnsi="Times New Roman" w:cs="Times New Roman"/>
          <w:kern w:val="2"/>
          <w:sz w:val="21"/>
          <w:szCs w:val="21"/>
        </w:rPr>
        <w:t>号</w:t>
      </w:r>
      <w:r w:rsidR="00330AD5" w:rsidRPr="00330AD5">
        <w:rPr>
          <w:rFonts w:ascii="Times New Roman" w:eastAsia="宋体" w:hAnsi="Times New Roman" w:cs="宋体"/>
          <w:kern w:val="2"/>
          <w:sz w:val="21"/>
          <w:szCs w:val="21"/>
        </w:rPr>
        <w:pict>
          <v:line id="直线 11" o:spid="_x0000_s1027" style="position:absolute;left:0;text-align:left;z-index:251662336;mso-position-horizontal-relative:text;mso-position-vertical-relative:text" from="5.65pt,25.3pt" to="299.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jCJAIAAC4EAAAOAAAAZHJzL2Uyb0RvYy54bWysU02O2jAU3lfqHazsIQkEBiLCqEqgm2mL&#10;NNMDGNshVh3bsg0BVT1Jr9HVbHqcuUafTaCl3VRVs3D8897n733v8+L+2Ap0YMZyJYsoHSYRYpIo&#10;yuWuiD4+rQezCFmHJcVCSVZEJ2aj++XrV4tO52ykGiUoMwhApM07XUSNczqPY0sa1mI7VJpJOKyV&#10;abGDpdnF1OAO0FsRj5JkGnfKUG0UYdbCbnU+jJYBv64ZcR/q2jKHRBEBNxdGE8atH+PlAuc7g3XD&#10;SU8D/wOLFnMJl16hKuww2hv+B1TLiVFW1W5IVBuruuaEhRqgmjT5rZrHBmsWagFxrL7KZP8fLHl/&#10;2BjEKfQuQhK30KKXr99enr+jNPXidNrmEFPKjfHlkaN81A+KfLJIqrLBcscCyaeThsyQEd+k+IXV&#10;cMW2e6coxOC9U0GpY21aDwkaoGNoyOnaEHZ0iMDm+G48niXQNwJn0/HEM4pxfknVxrq3TLXIT4pI&#10;cOnVwjk+PFh3Dr2E+G2p1lyI0HEhUQd858kkCRlWCU79qY+zZrcthUEH7E0Tvv7imzCj9pIGtIZh&#10;uurnDnNxngNRIT0eVAN8+tnZFZ/nyXw1W82yQTaargZZUlWDN+syG0zX6d2kGldlWaVfPLU0yxtO&#10;KZOe3cWhafZ3DujfytlbV49edYhv0YO2QPbyD6RDO30Hz17YKnraGK+t7yyYMgT3D8i7/td1iPr5&#10;zJc/AAAA//8DAFBLAwQUAAYACAAAACEAXH3JANsAAAAIAQAADwAAAGRycy9kb3ducmV2LnhtbEyP&#10;TU+DQBCG7yb+h82YeLNLVSogS6NNvPQmNtrjlN0CkZ0l7JbCv3d6ssf3I+88k68n24nRDL51pGC5&#10;iEAYqpxuqVaw+/p4SED4gKSxc2QUzMbDuri9yTHT7kyfZixDLXiEfIYKmhD6TEpfNcaiX7jeEGdH&#10;N1gMLIda6gHPPG47+RhFK2mxJb7QYG82jal+y5Pllfgned9ispvnrtynz5vv7UhWqfu76e0VRDBT&#10;+C/DBZ/RoWCmgzuR9qJjvXzipoI4WoHgPE5TNg4X4wVkkcvrB4o/AAAA//8DAFBLAQItABQABgAI&#10;AAAAIQC2gziS/gAAAOEBAAATAAAAAAAAAAAAAAAAAAAAAABbQ29udGVudF9UeXBlc10ueG1sUEsB&#10;Ai0AFAAGAAgAAAAhADj9If/WAAAAlAEAAAsAAAAAAAAAAAAAAAAALwEAAF9yZWxzLy5yZWxzUEsB&#10;Ai0AFAAGAAgAAAAhAAMNiMIkAgAALgQAAA4AAAAAAAAAAAAAAAAALgIAAGRycy9lMm9Eb2MueG1s&#10;UEsBAi0AFAAGAAgAAAAhAFx9yQDbAAAACAEAAA8AAAAAAAAAAAAAAAAAfgQAAGRycy9kb3ducmV2&#10;LnhtbFBLBQYAAAAABAAEAPMAAACGBQAAAAA=&#10;" strokeweight="1.5pt"/>
        </w:pict>
      </w:r>
    </w:p>
    <w:p w:rsidR="009846C2" w:rsidRDefault="00A433A0" w:rsidP="007974B4">
      <w:pPr>
        <w:widowControl w:val="0"/>
        <w:tabs>
          <w:tab w:val="left" w:pos="0"/>
        </w:tabs>
        <w:topLinePunct/>
        <w:spacing w:beforeLines="250"/>
        <w:jc w:val="center"/>
        <w:rPr>
          <w:rFonts w:ascii="Times New Roman" w:eastAsia="黑体" w:hAnsi="Times New Roman" w:cs="黑体"/>
          <w:kern w:val="2"/>
          <w:sz w:val="26"/>
          <w:szCs w:val="26"/>
          <w:lang w:val="zh-CN"/>
        </w:rPr>
      </w:pPr>
      <w:r>
        <w:rPr>
          <w:rFonts w:ascii="Times New Roman" w:eastAsia="黑体" w:hAnsi="Times New Roman" w:cs="黑体" w:hint="eastAsia"/>
          <w:kern w:val="2"/>
          <w:sz w:val="26"/>
          <w:szCs w:val="26"/>
          <w:lang w:val="zh-CN"/>
        </w:rPr>
        <w:t>河北省住房和城乡建设厅</w:t>
      </w:r>
    </w:p>
    <w:p w:rsidR="009846C2" w:rsidRDefault="00A433A0" w:rsidP="007974B4">
      <w:pPr>
        <w:widowControl w:val="0"/>
        <w:tabs>
          <w:tab w:val="left" w:pos="0"/>
        </w:tabs>
        <w:topLinePunct/>
        <w:spacing w:beforeLines="50" w:after="100" w:afterAutospacing="1"/>
        <w:jc w:val="center"/>
        <w:rPr>
          <w:rFonts w:ascii="Times New Roman" w:eastAsia="黑体" w:hAnsi="Times New Roman" w:cs="黑体"/>
          <w:kern w:val="2"/>
          <w:sz w:val="26"/>
          <w:szCs w:val="26"/>
          <w:lang w:val="zh-CN"/>
        </w:rPr>
      </w:pPr>
      <w:r>
        <w:rPr>
          <w:rFonts w:ascii="Times New Roman" w:eastAsia="黑体" w:hAnsi="Times New Roman" w:cs="黑体" w:hint="eastAsia"/>
          <w:kern w:val="2"/>
          <w:sz w:val="26"/>
          <w:szCs w:val="26"/>
          <w:lang w:val="zh-CN"/>
        </w:rPr>
        <w:t>关于发布《</w:t>
      </w:r>
      <w:r>
        <w:rPr>
          <w:rFonts w:ascii="Times New Roman" w:eastAsia="黑体" w:hAnsi="Times New Roman" w:cs="黑体" w:hint="eastAsia"/>
          <w:kern w:val="2"/>
          <w:sz w:val="26"/>
          <w:szCs w:val="26"/>
        </w:rPr>
        <w:t>输变电工程消防验收标准</w:t>
      </w:r>
      <w:r>
        <w:rPr>
          <w:rFonts w:ascii="Times New Roman" w:eastAsia="黑体" w:hAnsi="Times New Roman" w:cs="黑体" w:hint="eastAsia"/>
          <w:kern w:val="2"/>
          <w:sz w:val="26"/>
          <w:szCs w:val="26"/>
          <w:lang w:val="zh-CN"/>
        </w:rPr>
        <w:t>》的公告</w:t>
      </w:r>
    </w:p>
    <w:p w:rsidR="009846C2" w:rsidRDefault="00A433A0">
      <w:pPr>
        <w:tabs>
          <w:tab w:val="left" w:pos="0"/>
        </w:tabs>
        <w:topLinePunct/>
        <w:spacing w:line="380" w:lineRule="atLeast"/>
        <w:ind w:firstLineChars="200" w:firstLine="378"/>
        <w:jc w:val="distribute"/>
        <w:rPr>
          <w:rFonts w:ascii="Times New Roman" w:eastAsia="宋体" w:hAnsi="Times New Roman" w:cs="Times New Roman"/>
          <w:kern w:val="2"/>
          <w:sz w:val="21"/>
          <w:szCs w:val="21"/>
          <w:lang w:val="zh-CN"/>
        </w:rPr>
      </w:pPr>
      <w:r>
        <w:rPr>
          <w:rFonts w:ascii="Times New Roman" w:eastAsia="宋体" w:hAnsi="Times New Roman" w:cs="Times New Roman"/>
          <w:kern w:val="2"/>
          <w:sz w:val="21"/>
          <w:szCs w:val="21"/>
          <w:lang w:val="zh-CN"/>
        </w:rPr>
        <w:t>《</w:t>
      </w:r>
      <w:r>
        <w:rPr>
          <w:rFonts w:ascii="Times New Roman" w:eastAsia="宋体" w:hAnsi="Times New Roman" w:cs="Times New Roman" w:hint="eastAsia"/>
          <w:kern w:val="2"/>
          <w:sz w:val="21"/>
          <w:szCs w:val="21"/>
        </w:rPr>
        <w:t>输变电工程消防验收标准</w:t>
      </w:r>
      <w:r>
        <w:rPr>
          <w:rFonts w:ascii="Times New Roman" w:eastAsia="宋体" w:hAnsi="Times New Roman" w:cs="Times New Roman"/>
          <w:kern w:val="2"/>
          <w:sz w:val="21"/>
          <w:szCs w:val="21"/>
          <w:lang w:val="zh-CN"/>
        </w:rPr>
        <w:t>》（编号</w:t>
      </w:r>
      <w:r>
        <w:rPr>
          <w:rFonts w:ascii="Times New Roman" w:eastAsia="宋体" w:hAnsi="Times New Roman" w:cs="Times New Roman" w:hint="eastAsia"/>
          <w:kern w:val="2"/>
          <w:sz w:val="21"/>
          <w:szCs w:val="21"/>
          <w:lang w:val="zh-CN"/>
        </w:rPr>
        <w:t>为</w:t>
      </w:r>
    </w:p>
    <w:p w:rsidR="009846C2" w:rsidRDefault="00A433A0">
      <w:pPr>
        <w:tabs>
          <w:tab w:val="left" w:pos="0"/>
        </w:tabs>
        <w:topLinePunct/>
        <w:spacing w:line="380" w:lineRule="atLeast"/>
        <w:rPr>
          <w:rFonts w:ascii="Times New Roman" w:eastAsia="宋体" w:hAnsi="Times New Roman" w:cs="Times New Roman"/>
          <w:kern w:val="2"/>
          <w:sz w:val="21"/>
          <w:szCs w:val="21"/>
          <w:lang w:val="zh-CN"/>
        </w:rPr>
      </w:pPr>
      <w:r>
        <w:rPr>
          <w:rFonts w:ascii="Times New Roman" w:eastAsia="宋体" w:hAnsi="Times New Roman" w:cs="Times New Roman"/>
          <w:kern w:val="2"/>
          <w:sz w:val="21"/>
          <w:szCs w:val="21"/>
        </w:rPr>
        <w:t>DB13</w:t>
      </w:r>
      <w:r>
        <w:rPr>
          <w:rFonts w:ascii="Times New Roman" w:eastAsia="宋体" w:hAnsi="Times New Roman" w:cs="宋体" w:hint="eastAsia"/>
          <w:kern w:val="2"/>
          <w:sz w:val="21"/>
          <w:szCs w:val="21"/>
        </w:rPr>
        <w:t>(</w:t>
      </w:r>
      <w:r>
        <w:rPr>
          <w:rFonts w:ascii="Times New Roman" w:eastAsia="宋体" w:hAnsi="Times New Roman" w:cs="Times New Roman"/>
          <w:kern w:val="2"/>
          <w:sz w:val="21"/>
          <w:szCs w:val="21"/>
        </w:rPr>
        <w:t>J</w:t>
      </w:r>
      <w:r>
        <w:rPr>
          <w:rFonts w:ascii="Times New Roman" w:eastAsia="宋体" w:hAnsi="Times New Roman" w:cs="宋体" w:hint="eastAsia"/>
          <w:kern w:val="2"/>
          <w:sz w:val="21"/>
          <w:szCs w:val="21"/>
        </w:rPr>
        <w:t>)</w:t>
      </w:r>
      <w:r>
        <w:rPr>
          <w:rFonts w:ascii="Times New Roman" w:eastAsia="宋体" w:hAnsi="Times New Roman" w:cs="Times New Roman"/>
          <w:kern w:val="2"/>
          <w:sz w:val="21"/>
          <w:szCs w:val="21"/>
        </w:rPr>
        <w:t>/T ×××</w:t>
      </w:r>
      <w:r>
        <w:rPr>
          <w:rFonts w:ascii="Times New Roman" w:eastAsia="宋体" w:hAnsi="Times New Roman" w:cs="宋体" w:hint="eastAsia"/>
          <w:kern w:val="2"/>
          <w:sz w:val="21"/>
          <w:szCs w:val="21"/>
        </w:rPr>
        <w:t>－</w:t>
      </w:r>
      <w:r>
        <w:rPr>
          <w:rFonts w:ascii="Times New Roman" w:eastAsia="宋体" w:hAnsi="Times New Roman" w:cs="Times New Roman"/>
          <w:kern w:val="2"/>
          <w:sz w:val="21"/>
          <w:szCs w:val="21"/>
        </w:rPr>
        <w:t>20××</w:t>
      </w:r>
      <w:r>
        <w:rPr>
          <w:rFonts w:ascii="Times New Roman" w:eastAsia="宋体" w:hAnsi="Times New Roman" w:cs="Times New Roman"/>
          <w:kern w:val="2"/>
          <w:sz w:val="21"/>
          <w:szCs w:val="21"/>
          <w:lang w:val="zh-CN"/>
        </w:rPr>
        <w:t>）</w:t>
      </w:r>
      <w:r>
        <w:rPr>
          <w:rFonts w:ascii="Times New Roman" w:eastAsia="宋体" w:hAnsi="Times New Roman" w:cs="Times New Roman" w:hint="eastAsia"/>
          <w:kern w:val="2"/>
          <w:sz w:val="21"/>
          <w:szCs w:val="21"/>
          <w:lang w:val="zh-CN"/>
        </w:rPr>
        <w:t>已经本机关审查并批准为河北省工程建设标准，现予发布，自</w:t>
      </w:r>
      <w:r>
        <w:rPr>
          <w:rFonts w:ascii="Times New Roman" w:eastAsia="宋体" w:hAnsi="Times New Roman" w:cs="Times New Roman" w:hint="eastAsia"/>
          <w:kern w:val="2"/>
          <w:sz w:val="21"/>
          <w:szCs w:val="21"/>
        </w:rPr>
        <w:t>20</w:t>
      </w:r>
      <w:r>
        <w:rPr>
          <w:rFonts w:ascii="Times New Roman" w:eastAsia="宋体" w:hAnsi="Times New Roman" w:cs="Times New Roman"/>
          <w:kern w:val="2"/>
          <w:sz w:val="21"/>
          <w:szCs w:val="21"/>
        </w:rPr>
        <w:t>21</w:t>
      </w:r>
      <w:r>
        <w:rPr>
          <w:rFonts w:ascii="Times New Roman" w:eastAsia="宋体" w:hAnsi="Times New Roman" w:cs="Times New Roman" w:hint="eastAsia"/>
          <w:kern w:val="2"/>
          <w:sz w:val="21"/>
          <w:szCs w:val="21"/>
        </w:rPr>
        <w:t>年××月××日起实施。</w:t>
      </w:r>
    </w:p>
    <w:p w:rsidR="009846C2" w:rsidRDefault="009846C2">
      <w:pPr>
        <w:widowControl w:val="0"/>
        <w:tabs>
          <w:tab w:val="left" w:pos="0"/>
        </w:tabs>
        <w:topLinePunct/>
        <w:spacing w:before="100" w:beforeAutospacing="1" w:after="100" w:afterAutospacing="1"/>
        <w:rPr>
          <w:rFonts w:ascii="Times New Roman" w:eastAsia="宋体" w:hAnsi="Times New Roman" w:cs="Times New Roman"/>
          <w:kern w:val="2"/>
          <w:sz w:val="21"/>
          <w:szCs w:val="21"/>
        </w:rPr>
      </w:pPr>
    </w:p>
    <w:p w:rsidR="009846C2" w:rsidRDefault="009846C2">
      <w:pPr>
        <w:widowControl w:val="0"/>
        <w:tabs>
          <w:tab w:val="left" w:pos="0"/>
        </w:tabs>
        <w:topLinePunct/>
        <w:spacing w:before="100" w:beforeAutospacing="1" w:after="100" w:afterAutospacing="1"/>
        <w:rPr>
          <w:rFonts w:ascii="Times New Roman" w:eastAsia="宋体" w:hAnsi="Times New Roman" w:cs="Times New Roman"/>
          <w:kern w:val="2"/>
          <w:sz w:val="21"/>
          <w:szCs w:val="21"/>
        </w:rPr>
      </w:pPr>
    </w:p>
    <w:p w:rsidR="009846C2" w:rsidRDefault="00A433A0">
      <w:pPr>
        <w:widowControl w:val="0"/>
        <w:tabs>
          <w:tab w:val="left" w:pos="0"/>
        </w:tabs>
        <w:topLinePunct/>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w:t>
      </w:r>
      <w:r>
        <w:rPr>
          <w:rFonts w:ascii="Times New Roman" w:eastAsia="宋体" w:hAnsi="Times New Roman" w:cs="Times New Roman" w:hint="eastAsia"/>
          <w:kern w:val="2"/>
          <w:sz w:val="21"/>
          <w:szCs w:val="21"/>
        </w:rPr>
        <w:t>河北省住房和城乡建设厅</w:t>
      </w:r>
    </w:p>
    <w:p w:rsidR="009846C2" w:rsidRDefault="00A433A0">
      <w:pPr>
        <w:widowControl w:val="0"/>
        <w:tabs>
          <w:tab w:val="left" w:pos="0"/>
        </w:tabs>
        <w:topLinePunct/>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 xml:space="preserve">                                                                                                                  20</w:t>
      </w:r>
      <w:r>
        <w:rPr>
          <w:rFonts w:ascii="Times New Roman" w:eastAsia="宋体" w:hAnsi="Times New Roman" w:cs="Times New Roman"/>
          <w:kern w:val="2"/>
          <w:sz w:val="21"/>
          <w:szCs w:val="21"/>
        </w:rPr>
        <w:t>21</w:t>
      </w:r>
      <w:r>
        <w:rPr>
          <w:rFonts w:ascii="Times New Roman" w:eastAsia="宋体" w:hAnsi="Times New Roman" w:cs="Times New Roman" w:hint="eastAsia"/>
          <w:kern w:val="2"/>
          <w:sz w:val="21"/>
          <w:szCs w:val="21"/>
        </w:rPr>
        <w:t>年×月×日</w:t>
      </w:r>
    </w:p>
    <w:p w:rsidR="009846C2" w:rsidRDefault="009846C2" w:rsidP="007974B4">
      <w:pPr>
        <w:widowControl w:val="0"/>
        <w:tabs>
          <w:tab w:val="left" w:pos="0"/>
        </w:tabs>
        <w:topLinePunct/>
        <w:spacing w:beforeLines="100" w:after="100" w:afterAutospacing="1"/>
        <w:jc w:val="center"/>
        <w:rPr>
          <w:rFonts w:ascii="Times New Roman" w:eastAsia="宋体" w:hAnsi="Times New Roman" w:cs="Times New Roman"/>
          <w:b/>
          <w:kern w:val="2"/>
          <w:sz w:val="28"/>
          <w:szCs w:val="28"/>
        </w:rPr>
      </w:pPr>
    </w:p>
    <w:p w:rsidR="009846C2" w:rsidRDefault="00A433A0" w:rsidP="007974B4">
      <w:pPr>
        <w:widowControl w:val="0"/>
        <w:tabs>
          <w:tab w:val="left" w:pos="0"/>
        </w:tabs>
        <w:topLinePunct/>
        <w:spacing w:beforeLines="100" w:after="100" w:afterAutospacing="1"/>
        <w:jc w:val="center"/>
        <w:rPr>
          <w:rFonts w:ascii="Times New Roman" w:eastAsia="宋体" w:hAnsi="Times New Roman" w:cs="Times New Roman"/>
          <w:b/>
          <w:kern w:val="2"/>
          <w:sz w:val="28"/>
          <w:szCs w:val="28"/>
        </w:rPr>
      </w:pPr>
      <w:r>
        <w:rPr>
          <w:rFonts w:ascii="Times New Roman" w:eastAsia="宋体" w:hAnsi="Times New Roman" w:cs="Times New Roman"/>
          <w:b/>
          <w:kern w:val="2"/>
          <w:sz w:val="28"/>
          <w:szCs w:val="28"/>
        </w:rPr>
        <w:lastRenderedPageBreak/>
        <w:t>前</w:t>
      </w:r>
      <w:r>
        <w:rPr>
          <w:rFonts w:ascii="Times New Roman" w:eastAsia="宋体" w:hAnsi="Times New Roman" w:cs="Times New Roman" w:hint="eastAsia"/>
          <w:b/>
          <w:kern w:val="2"/>
          <w:sz w:val="28"/>
          <w:szCs w:val="28"/>
        </w:rPr>
        <w:t xml:space="preserve">    </w:t>
      </w:r>
      <w:r>
        <w:rPr>
          <w:rFonts w:ascii="Times New Roman" w:eastAsia="宋体" w:hAnsi="Times New Roman" w:cs="Times New Roman"/>
          <w:b/>
          <w:kern w:val="2"/>
          <w:sz w:val="28"/>
          <w:szCs w:val="28"/>
        </w:rPr>
        <w:t>言</w:t>
      </w:r>
    </w:p>
    <w:p w:rsidR="009846C2" w:rsidRDefault="00A433A0">
      <w:pPr>
        <w:widowControl w:val="0"/>
        <w:tabs>
          <w:tab w:val="left" w:pos="0"/>
        </w:tabs>
        <w:topLinePunct/>
        <w:snapToGrid w:val="0"/>
        <w:spacing w:line="360" w:lineRule="atLeast"/>
        <w:ind w:firstLineChars="200" w:firstLine="378"/>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为规范输变电工程消防验收</w:t>
      </w:r>
      <w:r>
        <w:rPr>
          <w:rFonts w:ascii="Times New Roman" w:eastAsia="宋体" w:hAnsi="Times New Roman" w:cs="Times New Roman" w:hint="eastAsia"/>
          <w:kern w:val="2"/>
          <w:sz w:val="21"/>
          <w:szCs w:val="21"/>
        </w:rPr>
        <w:t>工作</w:t>
      </w:r>
      <w:r>
        <w:rPr>
          <w:rFonts w:ascii="Times New Roman" w:eastAsia="宋体" w:hAnsi="Times New Roman" w:cs="Times New Roman"/>
          <w:kern w:val="2"/>
          <w:sz w:val="21"/>
          <w:szCs w:val="21"/>
        </w:rPr>
        <w:t>，针对目前我省输变电工程消防验收标准缺失的现状，制定本标准。编制组经过广泛深入调查研究，认真总结实践经验，并在广泛征求意见的基础上，制定了本标准。</w:t>
      </w:r>
    </w:p>
    <w:p w:rsidR="009846C2" w:rsidRDefault="00A433A0">
      <w:pPr>
        <w:widowControl w:val="0"/>
        <w:tabs>
          <w:tab w:val="left" w:pos="0"/>
        </w:tabs>
        <w:topLinePunct/>
        <w:snapToGrid w:val="0"/>
        <w:spacing w:line="360" w:lineRule="atLeast"/>
        <w:ind w:firstLineChars="200" w:firstLine="378"/>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本标准主要技术内容包括：</w:t>
      </w:r>
      <w:r>
        <w:rPr>
          <w:rFonts w:ascii="Times New Roman" w:eastAsia="宋体" w:hAnsi="Times New Roman" w:cs="Times New Roman"/>
          <w:kern w:val="2"/>
          <w:sz w:val="21"/>
          <w:szCs w:val="21"/>
        </w:rPr>
        <w:t xml:space="preserve">1. </w:t>
      </w:r>
      <w:r>
        <w:rPr>
          <w:rFonts w:ascii="Times New Roman" w:eastAsia="宋体" w:hAnsi="Times New Roman" w:cs="Times New Roman"/>
          <w:kern w:val="2"/>
          <w:sz w:val="21"/>
          <w:szCs w:val="21"/>
        </w:rPr>
        <w:t>总则；</w:t>
      </w:r>
      <w:r>
        <w:rPr>
          <w:rFonts w:ascii="Times New Roman" w:eastAsia="宋体" w:hAnsi="Times New Roman" w:cs="Times New Roman"/>
          <w:kern w:val="2"/>
          <w:sz w:val="21"/>
          <w:szCs w:val="21"/>
        </w:rPr>
        <w:t xml:space="preserve">2. </w:t>
      </w:r>
      <w:r>
        <w:rPr>
          <w:rFonts w:ascii="Times New Roman" w:eastAsia="宋体" w:hAnsi="Times New Roman" w:cs="Times New Roman"/>
          <w:kern w:val="2"/>
          <w:sz w:val="21"/>
          <w:szCs w:val="21"/>
        </w:rPr>
        <w:t>术语；</w:t>
      </w:r>
      <w:r>
        <w:rPr>
          <w:rFonts w:ascii="Times New Roman" w:eastAsia="宋体" w:hAnsi="Times New Roman" w:cs="Times New Roman"/>
          <w:kern w:val="2"/>
          <w:sz w:val="21"/>
          <w:szCs w:val="21"/>
        </w:rPr>
        <w:t xml:space="preserve">3. </w:t>
      </w:r>
      <w:r>
        <w:rPr>
          <w:rFonts w:ascii="Times New Roman" w:eastAsia="宋体" w:hAnsi="Times New Roman" w:cs="Times New Roman"/>
          <w:kern w:val="2"/>
          <w:sz w:val="21"/>
          <w:szCs w:val="21"/>
        </w:rPr>
        <w:t>基本规定；</w:t>
      </w:r>
      <w:r>
        <w:rPr>
          <w:rFonts w:ascii="Times New Roman" w:eastAsia="宋体" w:hAnsi="Times New Roman" w:cs="Times New Roman"/>
          <w:kern w:val="2"/>
          <w:sz w:val="21"/>
          <w:szCs w:val="21"/>
        </w:rPr>
        <w:t xml:space="preserve">4. </w:t>
      </w:r>
      <w:r>
        <w:rPr>
          <w:rFonts w:ascii="Times New Roman" w:eastAsia="宋体" w:hAnsi="Times New Roman" w:cs="Times New Roman"/>
          <w:kern w:val="2"/>
          <w:sz w:val="21"/>
          <w:szCs w:val="21"/>
        </w:rPr>
        <w:t>建筑防火；</w:t>
      </w:r>
      <w:r>
        <w:rPr>
          <w:rFonts w:ascii="Times New Roman" w:eastAsia="宋体" w:hAnsi="Times New Roman" w:cs="Times New Roman"/>
          <w:kern w:val="2"/>
          <w:sz w:val="21"/>
          <w:szCs w:val="21"/>
        </w:rPr>
        <w:t xml:space="preserve">5. </w:t>
      </w:r>
      <w:r>
        <w:rPr>
          <w:rFonts w:ascii="Times New Roman" w:eastAsia="宋体" w:hAnsi="Times New Roman" w:cs="Times New Roman"/>
          <w:kern w:val="2"/>
          <w:sz w:val="21"/>
          <w:szCs w:val="21"/>
        </w:rPr>
        <w:t>消防给水和灭火设</w:t>
      </w:r>
      <w:r>
        <w:rPr>
          <w:rFonts w:ascii="Times New Roman" w:eastAsia="宋体" w:hAnsi="Times New Roman" w:cs="Times New Roman" w:hint="eastAsia"/>
          <w:kern w:val="2"/>
          <w:sz w:val="21"/>
          <w:szCs w:val="21"/>
        </w:rPr>
        <w:t>施</w:t>
      </w:r>
      <w:r>
        <w:rPr>
          <w:rFonts w:ascii="Times New Roman" w:eastAsia="宋体" w:hAnsi="Times New Roman" w:cs="Times New Roman"/>
          <w:kern w:val="2"/>
          <w:sz w:val="21"/>
          <w:szCs w:val="21"/>
        </w:rPr>
        <w:t>；</w:t>
      </w:r>
      <w:r>
        <w:rPr>
          <w:rFonts w:ascii="Times New Roman" w:eastAsia="宋体" w:hAnsi="Times New Roman" w:cs="Times New Roman"/>
          <w:kern w:val="2"/>
          <w:sz w:val="21"/>
          <w:szCs w:val="21"/>
        </w:rPr>
        <w:t xml:space="preserve">6. </w:t>
      </w:r>
      <w:r>
        <w:rPr>
          <w:rFonts w:ascii="Times New Roman" w:eastAsia="宋体" w:hAnsi="Times New Roman" w:cs="Times New Roman"/>
          <w:kern w:val="2"/>
          <w:sz w:val="21"/>
          <w:szCs w:val="21"/>
        </w:rPr>
        <w:t>通风、空气调节及防排烟系统；</w:t>
      </w:r>
      <w:r>
        <w:rPr>
          <w:rFonts w:ascii="Times New Roman" w:eastAsia="宋体" w:hAnsi="Times New Roman" w:cs="Times New Roman"/>
          <w:kern w:val="2"/>
          <w:sz w:val="21"/>
          <w:szCs w:val="21"/>
        </w:rPr>
        <w:t>7.</w:t>
      </w:r>
      <w:r>
        <w:rPr>
          <w:rFonts w:ascii="Times New Roman" w:eastAsia="宋体" w:hAnsi="Times New Roman" w:cs="Times New Roman"/>
          <w:kern w:val="2"/>
          <w:sz w:val="21"/>
          <w:szCs w:val="21"/>
        </w:rPr>
        <w:t>电气；</w:t>
      </w:r>
      <w:r>
        <w:rPr>
          <w:rFonts w:ascii="Times New Roman" w:eastAsia="宋体" w:hAnsi="Times New Roman" w:cs="Times New Roman"/>
          <w:kern w:val="2"/>
          <w:sz w:val="21"/>
          <w:szCs w:val="21"/>
        </w:rPr>
        <w:t>8.</w:t>
      </w:r>
      <w:r>
        <w:rPr>
          <w:rFonts w:ascii="Times New Roman" w:eastAsia="宋体" w:hAnsi="Times New Roman" w:cs="Times New Roman" w:hint="eastAsia"/>
          <w:kern w:val="2"/>
          <w:sz w:val="21"/>
          <w:szCs w:val="21"/>
        </w:rPr>
        <w:t>电力</w:t>
      </w:r>
      <w:r>
        <w:rPr>
          <w:rFonts w:ascii="Times New Roman" w:eastAsia="宋体" w:hAnsi="Times New Roman" w:cs="Times New Roman"/>
          <w:kern w:val="2"/>
          <w:sz w:val="21"/>
          <w:szCs w:val="21"/>
        </w:rPr>
        <w:t>线路。</w:t>
      </w:r>
      <w:r>
        <w:rPr>
          <w:rFonts w:ascii="Times New Roman" w:eastAsia="宋体" w:hAnsi="Times New Roman" w:cs="Times New Roman"/>
          <w:kern w:val="2"/>
          <w:sz w:val="21"/>
          <w:szCs w:val="21"/>
        </w:rPr>
        <w:t xml:space="preserve"> </w:t>
      </w:r>
    </w:p>
    <w:p w:rsidR="009846C2" w:rsidRDefault="00A433A0">
      <w:pPr>
        <w:widowControl w:val="0"/>
        <w:tabs>
          <w:tab w:val="left" w:pos="0"/>
        </w:tabs>
        <w:topLinePunct/>
        <w:adjustRightInd w:val="0"/>
        <w:snapToGrid w:val="0"/>
        <w:spacing w:line="360" w:lineRule="atLeast"/>
        <w:ind w:firstLineChars="200" w:firstLine="378"/>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本标准由河北大成建筑设计咨询有限公司负责具体技术内容的解释，由河北省工程建设标准化管理办公室负责管理。</w:t>
      </w:r>
    </w:p>
    <w:p w:rsidR="009846C2" w:rsidRDefault="00A433A0">
      <w:pPr>
        <w:widowControl w:val="0"/>
        <w:tabs>
          <w:tab w:val="left" w:pos="0"/>
        </w:tabs>
        <w:topLinePunct/>
        <w:adjustRightInd w:val="0"/>
        <w:snapToGrid w:val="0"/>
        <w:spacing w:line="360" w:lineRule="atLeast"/>
        <w:ind w:firstLineChars="200" w:firstLine="378"/>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本标准执行过程中如有意见和建议，请寄送河北省大成建筑设计咨询有限公司（石家庄市裕华区槐安东路</w:t>
      </w:r>
      <w:r>
        <w:rPr>
          <w:rFonts w:ascii="Times New Roman" w:eastAsia="宋体" w:hAnsi="Times New Roman" w:cs="Times New Roman"/>
          <w:kern w:val="2"/>
          <w:sz w:val="21"/>
          <w:szCs w:val="21"/>
        </w:rPr>
        <w:t>121</w:t>
      </w:r>
      <w:r>
        <w:rPr>
          <w:rFonts w:ascii="Times New Roman" w:eastAsia="宋体" w:hAnsi="Times New Roman" w:cs="Times New Roman"/>
          <w:kern w:val="2"/>
          <w:sz w:val="21"/>
          <w:szCs w:val="21"/>
        </w:rPr>
        <w:t>号万达广场写字楼</w:t>
      </w:r>
      <w:r>
        <w:rPr>
          <w:rFonts w:ascii="Times New Roman" w:eastAsia="宋体" w:hAnsi="Times New Roman" w:cs="Times New Roman"/>
          <w:kern w:val="2"/>
          <w:sz w:val="21"/>
          <w:szCs w:val="21"/>
        </w:rPr>
        <w:t>A</w:t>
      </w:r>
      <w:r>
        <w:rPr>
          <w:rFonts w:ascii="Times New Roman" w:eastAsia="宋体" w:hAnsi="Times New Roman" w:cs="Times New Roman"/>
          <w:kern w:val="2"/>
          <w:sz w:val="21"/>
          <w:szCs w:val="21"/>
        </w:rPr>
        <w:t>座</w:t>
      </w:r>
      <w:r>
        <w:rPr>
          <w:rFonts w:ascii="Times New Roman" w:eastAsia="宋体" w:hAnsi="Times New Roman" w:cs="Times New Roman"/>
          <w:kern w:val="2"/>
          <w:sz w:val="21"/>
          <w:szCs w:val="21"/>
        </w:rPr>
        <w:t>12</w:t>
      </w:r>
      <w:r>
        <w:rPr>
          <w:rFonts w:ascii="Times New Roman" w:eastAsia="宋体" w:hAnsi="Times New Roman" w:cs="Times New Roman"/>
          <w:kern w:val="2"/>
          <w:sz w:val="21"/>
          <w:szCs w:val="21"/>
        </w:rPr>
        <w:t>层，邮编：</w:t>
      </w:r>
      <w:r>
        <w:rPr>
          <w:rFonts w:ascii="Times New Roman" w:eastAsia="宋体" w:hAnsi="Times New Roman" w:cs="Times New Roman"/>
          <w:kern w:val="2"/>
          <w:sz w:val="21"/>
          <w:szCs w:val="21"/>
        </w:rPr>
        <w:t>050000</w:t>
      </w:r>
      <w:r>
        <w:rPr>
          <w:rFonts w:ascii="Times New Roman" w:eastAsia="宋体" w:hAnsi="Times New Roman" w:cs="Times New Roman"/>
          <w:kern w:val="2"/>
          <w:sz w:val="21"/>
          <w:szCs w:val="21"/>
        </w:rPr>
        <w:t>，电子邮箱：</w:t>
      </w:r>
      <w:r w:rsidR="001A28A3" w:rsidRPr="001A28A3">
        <w:rPr>
          <w:rFonts w:ascii="Times New Roman" w:hAnsi="Times New Roman" w:cs="Times New Roman"/>
          <w:color w:val="000000"/>
          <w:sz w:val="21"/>
          <w:szCs w:val="21"/>
        </w:rPr>
        <w:t>office@dachenggs.com</w:t>
      </w:r>
      <w:r>
        <w:rPr>
          <w:rFonts w:ascii="Times New Roman" w:eastAsia="宋体" w:hAnsi="Times New Roman" w:cs="Times New Roman"/>
          <w:kern w:val="2"/>
          <w:sz w:val="21"/>
          <w:szCs w:val="21"/>
        </w:rPr>
        <w:t>），以便修订时参考。</w:t>
      </w:r>
    </w:p>
    <w:p w:rsidR="009846C2" w:rsidRDefault="00A433A0">
      <w:pPr>
        <w:widowControl w:val="0"/>
        <w:tabs>
          <w:tab w:val="left" w:pos="0"/>
        </w:tabs>
        <w:topLinePunct/>
        <w:adjustRightInd w:val="0"/>
        <w:snapToGrid w:val="0"/>
        <w:spacing w:line="360" w:lineRule="atLeast"/>
        <w:ind w:firstLineChars="200" w:firstLine="378"/>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本标准主编单位、参编单位和主要起草人名单：</w:t>
      </w:r>
    </w:p>
    <w:tbl>
      <w:tblPr>
        <w:tblStyle w:val="13"/>
        <w:tblW w:w="6112" w:type="dxa"/>
        <w:tblLayout w:type="fixed"/>
        <w:tblLook w:val="04A0"/>
      </w:tblPr>
      <w:tblGrid>
        <w:gridCol w:w="1669"/>
        <w:gridCol w:w="4443"/>
      </w:tblGrid>
      <w:tr w:rsidR="009846C2">
        <w:tc>
          <w:tcPr>
            <w:tcW w:w="1669" w:type="dxa"/>
          </w:tcPr>
          <w:p w:rsidR="009846C2" w:rsidRDefault="00A433A0">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r>
              <w:rPr>
                <w:rFonts w:ascii="Times New Roman" w:eastAsia="宋体" w:hAnsi="Times New Roman" w:cs="Times New Roman"/>
                <w:kern w:val="2"/>
                <w:sz w:val="21"/>
                <w:szCs w:val="21"/>
              </w:rPr>
              <w:t>主</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编</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单</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位：</w:t>
            </w: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国网河北省电力有限公司建设公司</w:t>
            </w:r>
          </w:p>
        </w:tc>
      </w:tr>
      <w:tr w:rsidR="009846C2">
        <w:tc>
          <w:tcPr>
            <w:tcW w:w="1669" w:type="dxa"/>
            <w:vMerge w:val="restart"/>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应急管理部天津消防研究所</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河北大成建筑设计咨询有限公司</w:t>
            </w:r>
          </w:p>
        </w:tc>
      </w:tr>
      <w:tr w:rsidR="009846C2">
        <w:tc>
          <w:tcPr>
            <w:tcW w:w="1669" w:type="dxa"/>
          </w:tcPr>
          <w:p w:rsidR="009846C2" w:rsidRDefault="00A433A0">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r>
              <w:rPr>
                <w:rFonts w:ascii="Times New Roman" w:eastAsia="宋体" w:hAnsi="Times New Roman" w:cs="Times New Roman"/>
                <w:kern w:val="2"/>
                <w:sz w:val="21"/>
                <w:szCs w:val="21"/>
              </w:rPr>
              <w:t>参</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编</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单</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位：</w:t>
            </w: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石家庄市消防救援支队</w:t>
            </w:r>
          </w:p>
        </w:tc>
      </w:tr>
      <w:tr w:rsidR="009846C2">
        <w:tc>
          <w:tcPr>
            <w:tcW w:w="1669" w:type="dxa"/>
            <w:vMerge w:val="restart"/>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中国电建集团河北省电力勘测设计研究院有限公司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北方工程设计研究院有限公司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河北建筑设计研究院有限责任公司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中土大地国际建筑设计有限公司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河北省隆泰安全技术工程有限公司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河北丰安消防安全技术有限公司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河北广泰消防设施检测有限公司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河北安顺消防检测服务有限公司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深圳市泰和安科技有限公司</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tc>
      </w:tr>
      <w:tr w:rsidR="009846C2">
        <w:tc>
          <w:tcPr>
            <w:tcW w:w="1669" w:type="dxa"/>
          </w:tcPr>
          <w:p w:rsidR="009846C2" w:rsidRDefault="00A433A0" w:rsidP="005B1C19">
            <w:pPr>
              <w:widowControl w:val="0"/>
              <w:tabs>
                <w:tab w:val="left" w:pos="0"/>
              </w:tabs>
              <w:topLinePunct/>
              <w:spacing w:line="360" w:lineRule="exact"/>
              <w:ind w:firstLineChars="50" w:firstLine="94"/>
              <w:rPr>
                <w:rFonts w:ascii="Times New Roman" w:eastAsia="宋体" w:hAnsi="Times New Roman" w:cs="Times New Roman"/>
                <w:kern w:val="2"/>
                <w:sz w:val="21"/>
                <w:szCs w:val="21"/>
              </w:rPr>
            </w:pPr>
            <w:r>
              <w:rPr>
                <w:rFonts w:ascii="Times New Roman" w:eastAsia="宋体" w:hAnsi="Times New Roman" w:cs="Times New Roman"/>
                <w:kern w:val="2"/>
                <w:sz w:val="21"/>
                <w:szCs w:val="21"/>
              </w:rPr>
              <w:t>主要起草人</w:t>
            </w:r>
            <w:r>
              <w:rPr>
                <w:rFonts w:ascii="Times New Roman" w:eastAsia="宋体" w:hAnsi="Times New Roman" w:cs="Times New Roman" w:hint="eastAsia"/>
                <w:kern w:val="2"/>
                <w:sz w:val="21"/>
                <w:szCs w:val="21"/>
              </w:rPr>
              <w:t>员</w:t>
            </w:r>
            <w:r>
              <w:rPr>
                <w:rFonts w:ascii="Times New Roman" w:eastAsia="宋体" w:hAnsi="Times New Roman" w:cs="Times New Roman"/>
                <w:kern w:val="2"/>
                <w:sz w:val="21"/>
                <w:szCs w:val="21"/>
              </w:rPr>
              <w:t>：</w:t>
            </w: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（五人一行）</w:t>
            </w:r>
          </w:p>
        </w:tc>
      </w:tr>
      <w:tr w:rsidR="009846C2">
        <w:tc>
          <w:tcPr>
            <w:tcW w:w="1669" w:type="dxa"/>
            <w:vMerge w:val="restart"/>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（五人一行）</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（五人一行）</w:t>
            </w:r>
          </w:p>
        </w:tc>
      </w:tr>
      <w:tr w:rsidR="009846C2">
        <w:tc>
          <w:tcPr>
            <w:tcW w:w="1669" w:type="dxa"/>
            <w:vMerge/>
          </w:tcPr>
          <w:p w:rsidR="009846C2" w:rsidRDefault="009846C2">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（五人一行）</w:t>
            </w:r>
          </w:p>
        </w:tc>
      </w:tr>
      <w:tr w:rsidR="009846C2">
        <w:tc>
          <w:tcPr>
            <w:tcW w:w="1669" w:type="dxa"/>
          </w:tcPr>
          <w:p w:rsidR="009846C2" w:rsidRDefault="00A433A0">
            <w:pPr>
              <w:widowControl w:val="0"/>
              <w:tabs>
                <w:tab w:val="left" w:pos="0"/>
              </w:tabs>
              <w:topLinePunct/>
              <w:spacing w:line="360" w:lineRule="exact"/>
              <w:ind w:firstLineChars="200" w:firstLine="378"/>
              <w:rPr>
                <w:rFonts w:ascii="Times New Roman" w:eastAsia="宋体" w:hAnsi="Times New Roman" w:cs="Times New Roman"/>
                <w:kern w:val="2"/>
                <w:sz w:val="21"/>
                <w:szCs w:val="21"/>
              </w:rPr>
            </w:pPr>
            <w:r>
              <w:rPr>
                <w:rFonts w:ascii="Times New Roman" w:eastAsia="宋体" w:hAnsi="Times New Roman" w:cs="Times New Roman"/>
                <w:kern w:val="2"/>
                <w:sz w:val="21"/>
                <w:szCs w:val="21"/>
              </w:rPr>
              <w:t>审</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查</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人</w:t>
            </w:r>
            <w:r>
              <w:rPr>
                <w:rFonts w:ascii="Times New Roman" w:eastAsia="宋体" w:hAnsi="Times New Roman" w:cs="Times New Roman"/>
                <w:kern w:val="2"/>
                <w:sz w:val="21"/>
                <w:szCs w:val="21"/>
              </w:rPr>
              <w:t xml:space="preserve"> </w:t>
            </w:r>
            <w:r>
              <w:rPr>
                <w:rFonts w:ascii="Times New Roman" w:eastAsia="宋体" w:hAnsi="Times New Roman" w:cs="Times New Roman"/>
                <w:kern w:val="2"/>
                <w:sz w:val="21"/>
                <w:szCs w:val="21"/>
              </w:rPr>
              <w:t>员：</w:t>
            </w: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（五人一行）</w:t>
            </w:r>
          </w:p>
        </w:tc>
      </w:tr>
      <w:tr w:rsidR="009846C2">
        <w:tc>
          <w:tcPr>
            <w:tcW w:w="1669" w:type="dxa"/>
          </w:tcPr>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tc>
        <w:tc>
          <w:tcPr>
            <w:tcW w:w="4443" w:type="dxa"/>
          </w:tcPr>
          <w:p w:rsidR="009846C2" w:rsidRDefault="00A433A0">
            <w:pPr>
              <w:widowControl w:val="0"/>
              <w:tabs>
                <w:tab w:val="left" w:pos="0"/>
              </w:tabs>
              <w:topLinePunct/>
              <w:spacing w:line="360" w:lineRule="exact"/>
              <w:rPr>
                <w:rFonts w:ascii="Times New Roman" w:eastAsia="宋体" w:hAnsi="Times New Roman" w:cs="Times New Roman"/>
                <w:kern w:val="2"/>
                <w:sz w:val="21"/>
                <w:szCs w:val="21"/>
              </w:rPr>
            </w:pPr>
            <w:r>
              <w:rPr>
                <w:rFonts w:ascii="Times New Roman" w:eastAsia="宋体" w:hAnsi="Times New Roman" w:cs="Times New Roman"/>
                <w:kern w:val="2"/>
                <w:sz w:val="21"/>
                <w:szCs w:val="21"/>
              </w:rPr>
              <w:t>（五人一行）</w:t>
            </w:r>
          </w:p>
        </w:tc>
      </w:tr>
      <w:tr w:rsidR="009846C2">
        <w:tc>
          <w:tcPr>
            <w:tcW w:w="1669" w:type="dxa"/>
          </w:tcPr>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tc>
        <w:tc>
          <w:tcPr>
            <w:tcW w:w="4443" w:type="dxa"/>
          </w:tcPr>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tc>
      </w:tr>
    </w:tbl>
    <w:p w:rsidR="009846C2" w:rsidRDefault="009846C2">
      <w:pPr>
        <w:widowControl w:val="0"/>
        <w:tabs>
          <w:tab w:val="left" w:pos="0"/>
        </w:tabs>
        <w:topLinePunct/>
        <w:spacing w:line="360" w:lineRule="exact"/>
        <w:rPr>
          <w:rFonts w:ascii="Times New Roman" w:eastAsia="宋体" w:hAnsi="Times New Roman" w:cs="Times New Roman"/>
          <w:kern w:val="2"/>
          <w:sz w:val="21"/>
          <w:szCs w:val="21"/>
        </w:rPr>
      </w:pPr>
    </w:p>
    <w:p w:rsidR="009846C2" w:rsidRDefault="009846C2">
      <w:pPr>
        <w:widowControl w:val="0"/>
        <w:tabs>
          <w:tab w:val="left" w:pos="0"/>
        </w:tabs>
        <w:topLinePunct/>
        <w:spacing w:line="480" w:lineRule="auto"/>
        <w:rPr>
          <w:rFonts w:ascii="Times New Roman" w:eastAsia="仿宋" w:hAnsi="Times New Roman" w:cs="Times New Roman"/>
          <w:kern w:val="2"/>
          <w:sz w:val="28"/>
          <w:szCs w:val="28"/>
        </w:rPr>
        <w:sectPr w:rsidR="009846C2">
          <w:footerReference w:type="even" r:id="rId10"/>
          <w:footerReference w:type="default" r:id="rId11"/>
          <w:type w:val="continuous"/>
          <w:pgSz w:w="7938" w:h="11510"/>
          <w:pgMar w:top="1247" w:right="1021" w:bottom="907" w:left="1021" w:header="680" w:footer="680" w:gutter="0"/>
          <w:cols w:space="720"/>
          <w:docGrid w:type="linesAndChars" w:linePitch="322" w:charSpace="-4301"/>
        </w:sectPr>
      </w:pPr>
    </w:p>
    <w:p w:rsidR="009846C2" w:rsidRDefault="00A433A0" w:rsidP="007974B4">
      <w:pPr>
        <w:widowControl w:val="0"/>
        <w:tabs>
          <w:tab w:val="left" w:pos="0"/>
        </w:tabs>
        <w:topLinePunct/>
        <w:spacing w:beforeLines="100" w:after="100" w:afterAutospacing="1"/>
        <w:jc w:val="center"/>
        <w:rPr>
          <w:rFonts w:ascii="Times New Roman" w:eastAsia="宋体" w:hAnsi="Times New Roman" w:cs="Times New Roman"/>
          <w:kern w:val="2"/>
          <w:sz w:val="28"/>
          <w:szCs w:val="28"/>
          <w:lang w:val="zh-CN"/>
        </w:rPr>
      </w:pPr>
      <w:r>
        <w:rPr>
          <w:rFonts w:ascii="Times New Roman" w:eastAsia="宋体" w:hAnsi="Times New Roman" w:cs="Times New Roman"/>
          <w:b/>
          <w:bCs/>
          <w:kern w:val="2"/>
          <w:sz w:val="28"/>
          <w:szCs w:val="28"/>
          <w:lang w:val="zh-CN"/>
        </w:rPr>
        <w:lastRenderedPageBreak/>
        <w:t>目</w:t>
      </w:r>
      <w:r>
        <w:rPr>
          <w:rFonts w:ascii="Times New Roman" w:eastAsia="宋体" w:hAnsi="Times New Roman" w:cs="Times New Roman"/>
          <w:b/>
          <w:bCs/>
          <w:kern w:val="2"/>
          <w:sz w:val="28"/>
          <w:szCs w:val="28"/>
          <w:lang w:val="zh-CN"/>
        </w:rPr>
        <w:t xml:space="preserve">    </w:t>
      </w:r>
      <w:r>
        <w:rPr>
          <w:rFonts w:ascii="Times New Roman" w:eastAsia="宋体" w:hAnsi="Times New Roman" w:cs="Times New Roman"/>
          <w:b/>
          <w:bCs/>
          <w:kern w:val="2"/>
          <w:sz w:val="28"/>
          <w:szCs w:val="28"/>
          <w:lang w:val="zh-CN"/>
        </w:rPr>
        <w:t>次</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总则</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1</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术语</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2</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基本规定</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4</w:t>
      </w:r>
    </w:p>
    <w:p w:rsidR="009846C2" w:rsidRDefault="00A433A0" w:rsidP="005B1C19">
      <w:pPr>
        <w:widowControl w:val="0"/>
        <w:numPr>
          <w:ilvl w:val="0"/>
          <w:numId w:val="2"/>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一般规定</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4</w:t>
      </w:r>
    </w:p>
    <w:p w:rsidR="009846C2" w:rsidRDefault="00A433A0" w:rsidP="005B1C19">
      <w:pPr>
        <w:widowControl w:val="0"/>
        <w:numPr>
          <w:ilvl w:val="0"/>
          <w:numId w:val="2"/>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宋体" w:hAnsi="Times New Roman" w:cs="Times New Roman"/>
          <w:kern w:val="2"/>
          <w:sz w:val="21"/>
          <w:szCs w:val="21"/>
        </w:rPr>
      </w:pPr>
      <w:r>
        <w:rPr>
          <w:rFonts w:ascii="Times New Roman" w:eastAsia="宋体" w:hAnsi="Times New Roman" w:cs="Times New Roman"/>
          <w:kern w:val="2"/>
          <w:sz w:val="18"/>
          <w:szCs w:val="18"/>
        </w:rPr>
        <w:t>验收内容</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4</w:t>
      </w:r>
    </w:p>
    <w:p w:rsidR="009846C2" w:rsidRDefault="00A433A0" w:rsidP="005B1C19">
      <w:pPr>
        <w:widowControl w:val="0"/>
        <w:numPr>
          <w:ilvl w:val="0"/>
          <w:numId w:val="2"/>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宋体" w:hAnsi="Times New Roman" w:cs="Times New Roman"/>
          <w:kern w:val="2"/>
          <w:sz w:val="21"/>
          <w:szCs w:val="21"/>
        </w:rPr>
      </w:pPr>
      <w:r>
        <w:rPr>
          <w:rFonts w:ascii="Times New Roman" w:eastAsia="宋体" w:hAnsi="Times New Roman" w:cs="Times New Roman"/>
          <w:kern w:val="2"/>
          <w:sz w:val="18"/>
          <w:szCs w:val="18"/>
        </w:rPr>
        <w:t>验收结果评定</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6</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建筑防火</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一般规定</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总平面布局</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11</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平面布置</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13</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安全疏散</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14</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建筑构造</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18</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建筑内</w:t>
      </w:r>
      <w:r>
        <w:rPr>
          <w:rFonts w:ascii="Times New Roman" w:eastAsiaTheme="minorEastAsia" w:hAnsi="Times New Roman" w:cs="Times New Roman" w:hint="eastAsia"/>
          <w:kern w:val="2"/>
          <w:sz w:val="18"/>
          <w:szCs w:val="18"/>
        </w:rPr>
        <w:t>部</w:t>
      </w:r>
      <w:r>
        <w:rPr>
          <w:rFonts w:ascii="Times New Roman" w:eastAsiaTheme="minorEastAsia" w:hAnsi="Times New Roman" w:cs="Times New Roman"/>
          <w:kern w:val="2"/>
          <w:sz w:val="18"/>
          <w:szCs w:val="18"/>
        </w:rPr>
        <w:t>装修</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23</w:t>
      </w:r>
    </w:p>
    <w:p w:rsidR="009846C2" w:rsidRDefault="00A433A0" w:rsidP="005B1C19">
      <w:pPr>
        <w:widowControl w:val="0"/>
        <w:numPr>
          <w:ilvl w:val="0"/>
          <w:numId w:val="3"/>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变压器及其他带油</w:t>
      </w:r>
      <w:r>
        <w:rPr>
          <w:rFonts w:ascii="Times New Roman" w:eastAsiaTheme="minorEastAsia" w:hAnsi="Times New Roman" w:cs="Times New Roman" w:hint="eastAsia"/>
          <w:kern w:val="2"/>
          <w:sz w:val="18"/>
          <w:szCs w:val="18"/>
        </w:rPr>
        <w:t>电气</w:t>
      </w:r>
      <w:r>
        <w:rPr>
          <w:rFonts w:ascii="Times New Roman" w:eastAsiaTheme="minorEastAsia" w:hAnsi="Times New Roman" w:cs="Times New Roman"/>
          <w:kern w:val="2"/>
          <w:sz w:val="18"/>
          <w:szCs w:val="18"/>
        </w:rPr>
        <w:t>设备防火</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26</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消防给水及灭火设</w:t>
      </w:r>
      <w:r>
        <w:rPr>
          <w:rFonts w:ascii="Times New Roman" w:eastAsiaTheme="minorEastAsia" w:hAnsi="Times New Roman" w:cs="Times New Roman" w:hint="eastAsia"/>
          <w:kern w:val="2"/>
          <w:sz w:val="21"/>
          <w:szCs w:val="21"/>
        </w:rPr>
        <w:t>施</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28</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一般规定</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28</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消防给水及消火栓系统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29</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水喷雾、细水雾、自动喷水灭火系统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44</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泡沫灭火系统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48</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气体灭火系统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50</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lastRenderedPageBreak/>
        <w:t>排油注氮灭火系统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53</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超细干粉灭火系统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54</w:t>
      </w:r>
    </w:p>
    <w:p w:rsidR="009846C2" w:rsidRDefault="00A433A0" w:rsidP="005B1C19">
      <w:pPr>
        <w:widowControl w:val="0"/>
        <w:numPr>
          <w:ilvl w:val="0"/>
          <w:numId w:val="4"/>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建筑灭火器</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56</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通风、空气调节及防排烟系统</w:t>
      </w:r>
      <w:r>
        <w:rPr>
          <w:rFonts w:ascii="Times New Roman" w:eastAsia="宋体" w:hAnsi="Times New Roman" w:cs="Times New Roman"/>
          <w:kern w:val="2"/>
          <w:sz w:val="21"/>
          <w:szCs w:val="21"/>
        </w:rPr>
        <w:tab/>
      </w:r>
      <w:r w:rsidR="005B1C19">
        <w:rPr>
          <w:rFonts w:ascii="Times New Roman" w:eastAsiaTheme="minorEastAsia" w:hAnsi="Times New Roman" w:cs="Times New Roman" w:hint="eastAsia"/>
          <w:kern w:val="2"/>
          <w:sz w:val="21"/>
          <w:szCs w:val="21"/>
        </w:rPr>
        <w:t>59</w:t>
      </w:r>
    </w:p>
    <w:p w:rsidR="009846C2" w:rsidRDefault="00A433A0" w:rsidP="005B1C19">
      <w:pPr>
        <w:widowControl w:val="0"/>
        <w:numPr>
          <w:ilvl w:val="0"/>
          <w:numId w:val="5"/>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一般规定</w:t>
      </w:r>
      <w:r>
        <w:rPr>
          <w:rFonts w:ascii="Times New Roman" w:eastAsia="宋体" w:hAnsi="Times New Roman" w:cs="Times New Roman"/>
          <w:kern w:val="2"/>
          <w:sz w:val="21"/>
          <w:szCs w:val="21"/>
        </w:rPr>
        <w:tab/>
      </w:r>
      <w:r w:rsidR="005B1C19">
        <w:rPr>
          <w:rFonts w:ascii="Times New Roman" w:eastAsiaTheme="minorEastAsia" w:hAnsi="Times New Roman" w:cs="Times New Roman" w:hint="eastAsia"/>
          <w:kern w:val="2"/>
          <w:sz w:val="21"/>
          <w:szCs w:val="21"/>
        </w:rPr>
        <w:t>59</w:t>
      </w:r>
    </w:p>
    <w:p w:rsidR="009846C2" w:rsidRDefault="00A433A0" w:rsidP="005B1C19">
      <w:pPr>
        <w:widowControl w:val="0"/>
        <w:numPr>
          <w:ilvl w:val="0"/>
          <w:numId w:val="5"/>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通风、空气调节系统</w:t>
      </w:r>
      <w:r>
        <w:rPr>
          <w:rFonts w:ascii="Times New Roman" w:eastAsia="宋体" w:hAnsi="Times New Roman" w:cs="Times New Roman"/>
          <w:kern w:val="2"/>
          <w:sz w:val="21"/>
          <w:szCs w:val="21"/>
        </w:rPr>
        <w:tab/>
      </w:r>
      <w:r w:rsidR="005B1C19">
        <w:rPr>
          <w:rFonts w:ascii="Times New Roman" w:eastAsiaTheme="minorEastAsia" w:hAnsi="Times New Roman" w:cs="Times New Roman" w:hint="eastAsia"/>
          <w:kern w:val="2"/>
          <w:sz w:val="21"/>
          <w:szCs w:val="21"/>
        </w:rPr>
        <w:t>59</w:t>
      </w:r>
    </w:p>
    <w:p w:rsidR="009846C2" w:rsidRDefault="00A433A0" w:rsidP="005B1C19">
      <w:pPr>
        <w:widowControl w:val="0"/>
        <w:numPr>
          <w:ilvl w:val="0"/>
          <w:numId w:val="5"/>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防排烟系统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6</w:t>
      </w:r>
      <w:r w:rsidR="005B1C19">
        <w:rPr>
          <w:rFonts w:ascii="Times New Roman" w:eastAsiaTheme="minorEastAsia" w:hAnsi="Times New Roman" w:cs="Times New Roman" w:hint="eastAsia"/>
          <w:kern w:val="2"/>
          <w:sz w:val="21"/>
          <w:szCs w:val="21"/>
        </w:rPr>
        <w:t>3</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电气</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7</w:t>
      </w:r>
      <w:r w:rsidR="005B1C19">
        <w:rPr>
          <w:rFonts w:ascii="Times New Roman" w:eastAsiaTheme="minorEastAsia" w:hAnsi="Times New Roman" w:cs="Times New Roman" w:hint="eastAsia"/>
          <w:kern w:val="2"/>
          <w:sz w:val="21"/>
          <w:szCs w:val="21"/>
        </w:rPr>
        <w:t>3</w:t>
      </w:r>
    </w:p>
    <w:p w:rsidR="009846C2" w:rsidRDefault="00A433A0" w:rsidP="005B1C19">
      <w:pPr>
        <w:widowControl w:val="0"/>
        <w:numPr>
          <w:ilvl w:val="0"/>
          <w:numId w:val="6"/>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一般规定</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7</w:t>
      </w:r>
      <w:r w:rsidR="005B1C19">
        <w:rPr>
          <w:rFonts w:ascii="Times New Roman" w:eastAsiaTheme="minorEastAsia" w:hAnsi="Times New Roman" w:cs="Times New Roman" w:hint="eastAsia"/>
          <w:kern w:val="2"/>
          <w:sz w:val="21"/>
          <w:szCs w:val="21"/>
        </w:rPr>
        <w:t>3</w:t>
      </w:r>
    </w:p>
    <w:p w:rsidR="009846C2" w:rsidRDefault="00A433A0" w:rsidP="005B1C19">
      <w:pPr>
        <w:widowControl w:val="0"/>
        <w:numPr>
          <w:ilvl w:val="0"/>
          <w:numId w:val="6"/>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消防电源及其配电</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7</w:t>
      </w:r>
      <w:r w:rsidR="005B1C19">
        <w:rPr>
          <w:rFonts w:ascii="Times New Roman" w:eastAsiaTheme="minorEastAsia" w:hAnsi="Times New Roman" w:cs="Times New Roman" w:hint="eastAsia"/>
          <w:kern w:val="2"/>
          <w:sz w:val="21"/>
          <w:szCs w:val="21"/>
        </w:rPr>
        <w:t>3</w:t>
      </w:r>
    </w:p>
    <w:p w:rsidR="009846C2" w:rsidRDefault="00A433A0" w:rsidP="005B1C19">
      <w:pPr>
        <w:widowControl w:val="0"/>
        <w:numPr>
          <w:ilvl w:val="0"/>
          <w:numId w:val="6"/>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消防应急照明和疏散指示系统</w:t>
      </w:r>
      <w:r>
        <w:rPr>
          <w:rFonts w:ascii="Times New Roman" w:eastAsia="宋体" w:hAnsi="Times New Roman" w:cs="Times New Roman"/>
          <w:kern w:val="2"/>
          <w:sz w:val="21"/>
          <w:szCs w:val="21"/>
        </w:rPr>
        <w:tab/>
      </w:r>
      <w:r w:rsidR="005B1C19">
        <w:rPr>
          <w:rFonts w:ascii="Times New Roman" w:eastAsiaTheme="minorEastAsia" w:hAnsi="Times New Roman" w:cs="Times New Roman" w:hint="eastAsia"/>
          <w:kern w:val="2"/>
          <w:sz w:val="21"/>
          <w:szCs w:val="21"/>
        </w:rPr>
        <w:t>78</w:t>
      </w:r>
    </w:p>
    <w:p w:rsidR="009846C2" w:rsidRDefault="00A433A0" w:rsidP="005B1C19">
      <w:pPr>
        <w:widowControl w:val="0"/>
        <w:numPr>
          <w:ilvl w:val="0"/>
          <w:numId w:val="6"/>
        </w:numPr>
        <w:tabs>
          <w:tab w:val="left" w:pos="0"/>
          <w:tab w:val="left" w:leader="middleDot" w:pos="5684"/>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火灾自动报警系统</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8</w:t>
      </w:r>
      <w:r w:rsidR="005B1C19">
        <w:rPr>
          <w:rFonts w:ascii="Times New Roman" w:eastAsiaTheme="minorEastAsia" w:hAnsi="Times New Roman" w:cs="Times New Roman" w:hint="eastAsia"/>
          <w:kern w:val="2"/>
          <w:sz w:val="21"/>
          <w:szCs w:val="21"/>
        </w:rPr>
        <w:t>3</w:t>
      </w:r>
    </w:p>
    <w:p w:rsidR="009846C2" w:rsidRDefault="00A433A0" w:rsidP="005B1C19">
      <w:pPr>
        <w:widowControl w:val="0"/>
        <w:numPr>
          <w:ilvl w:val="0"/>
          <w:numId w:val="1"/>
        </w:numPr>
        <w:tabs>
          <w:tab w:val="left" w:pos="0"/>
          <w:tab w:val="left" w:leader="middleDot" w:pos="5684"/>
          <w:tab w:val="left" w:pos="6380"/>
          <w:tab w:val="right" w:leader="middleDot" w:pos="8222"/>
        </w:tabs>
        <w:topLinePunct/>
        <w:adjustRightInd w:val="0"/>
        <w:snapToGrid w:val="0"/>
        <w:ind w:leftChars="-98" w:left="188" w:hangingChars="200" w:hanging="387"/>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电力线路</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9</w:t>
      </w:r>
      <w:r w:rsidR="005B1C19">
        <w:rPr>
          <w:rFonts w:ascii="Times New Roman" w:eastAsiaTheme="minorEastAsia" w:hAnsi="Times New Roman" w:cs="Times New Roman" w:hint="eastAsia"/>
          <w:kern w:val="2"/>
          <w:sz w:val="21"/>
          <w:szCs w:val="21"/>
        </w:rPr>
        <w:t>5</w:t>
      </w:r>
    </w:p>
    <w:p w:rsidR="009846C2" w:rsidRDefault="00A433A0" w:rsidP="005B1C19">
      <w:pPr>
        <w:widowControl w:val="0"/>
        <w:numPr>
          <w:ilvl w:val="0"/>
          <w:numId w:val="7"/>
        </w:numPr>
        <w:tabs>
          <w:tab w:val="left" w:pos="0"/>
          <w:tab w:val="left" w:leader="middleDot" w:pos="5670"/>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18"/>
          <w:szCs w:val="18"/>
        </w:rPr>
        <w:t>一般规定</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r w:rsidR="005B1C19">
        <w:rPr>
          <w:rFonts w:ascii="Times New Roman" w:eastAsiaTheme="minorEastAsia" w:hAnsi="Times New Roman" w:cs="Times New Roman" w:hint="eastAsia"/>
          <w:kern w:val="2"/>
          <w:sz w:val="21"/>
          <w:szCs w:val="21"/>
        </w:rPr>
        <w:t>5</w:t>
      </w:r>
    </w:p>
    <w:p w:rsidR="005B1C19" w:rsidRDefault="005B1C19" w:rsidP="005B1C19">
      <w:pPr>
        <w:widowControl w:val="0"/>
        <w:numPr>
          <w:ilvl w:val="0"/>
          <w:numId w:val="7"/>
        </w:numPr>
        <w:tabs>
          <w:tab w:val="left" w:pos="0"/>
          <w:tab w:val="left" w:leader="middleDot" w:pos="5670"/>
          <w:tab w:val="left" w:pos="6380"/>
          <w:tab w:val="right" w:leader="middleDot" w:pos="8222"/>
        </w:tabs>
        <w:topLinePunct/>
        <w:adjustRightInd w:val="0"/>
        <w:snapToGrid w:val="0"/>
        <w:ind w:leftChars="2" w:left="331" w:hangingChars="200" w:hanging="327"/>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18"/>
          <w:szCs w:val="18"/>
        </w:rPr>
        <w:t>电力线路敷设</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95</w:t>
      </w:r>
    </w:p>
    <w:p w:rsidR="009846C2" w:rsidRDefault="00A433A0">
      <w:pPr>
        <w:widowControl w:val="0"/>
        <w:tabs>
          <w:tab w:val="left" w:pos="0"/>
          <w:tab w:val="left" w:leader="middleDot" w:pos="5529"/>
          <w:tab w:val="left" w:pos="6380"/>
          <w:tab w:val="right" w:leader="middleDot" w:pos="8222"/>
        </w:tabs>
        <w:topLinePunct/>
        <w:adjustRightInd w:val="0"/>
        <w:snapToGrid w:val="0"/>
        <w:ind w:leftChars="-98" w:left="-199"/>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附录</w:t>
      </w:r>
      <w:r>
        <w:rPr>
          <w:rFonts w:ascii="Times New Roman" w:eastAsiaTheme="minorEastAsia" w:hAnsi="Times New Roman" w:cs="Times New Roman"/>
          <w:kern w:val="2"/>
          <w:sz w:val="21"/>
          <w:szCs w:val="21"/>
        </w:rPr>
        <w:t>A</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10</w:t>
      </w:r>
      <w:r w:rsidR="005B1C19">
        <w:rPr>
          <w:rFonts w:ascii="Times New Roman" w:eastAsiaTheme="minorEastAsia" w:hAnsi="Times New Roman" w:cs="Times New Roman" w:hint="eastAsia"/>
          <w:kern w:val="2"/>
          <w:sz w:val="21"/>
          <w:szCs w:val="21"/>
        </w:rPr>
        <w:t>4</w:t>
      </w:r>
    </w:p>
    <w:p w:rsidR="009846C2" w:rsidRDefault="00A433A0">
      <w:pPr>
        <w:widowControl w:val="0"/>
        <w:tabs>
          <w:tab w:val="left" w:pos="0"/>
          <w:tab w:val="left" w:leader="middleDot" w:pos="5529"/>
          <w:tab w:val="left" w:pos="6380"/>
          <w:tab w:val="right" w:leader="middleDot" w:pos="8222"/>
        </w:tabs>
        <w:topLinePunct/>
        <w:adjustRightInd w:val="0"/>
        <w:snapToGrid w:val="0"/>
        <w:ind w:leftChars="-98" w:left="-199"/>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本标准用词说明</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10</w:t>
      </w:r>
      <w:r w:rsidR="005B1C19">
        <w:rPr>
          <w:rFonts w:ascii="Times New Roman" w:eastAsiaTheme="minorEastAsia" w:hAnsi="Times New Roman" w:cs="Times New Roman" w:hint="eastAsia"/>
          <w:kern w:val="2"/>
          <w:sz w:val="21"/>
          <w:szCs w:val="21"/>
        </w:rPr>
        <w:t>6</w:t>
      </w:r>
    </w:p>
    <w:p w:rsidR="009846C2" w:rsidRDefault="00A433A0">
      <w:pPr>
        <w:widowControl w:val="0"/>
        <w:tabs>
          <w:tab w:val="left" w:pos="0"/>
          <w:tab w:val="left" w:leader="middleDot" w:pos="5529"/>
          <w:tab w:val="left" w:pos="6380"/>
          <w:tab w:val="right" w:leader="middleDot" w:pos="8222"/>
        </w:tabs>
        <w:topLinePunct/>
        <w:adjustRightInd w:val="0"/>
        <w:snapToGrid w:val="0"/>
        <w:ind w:leftChars="-98" w:left="-199"/>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引用标准名录</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10</w:t>
      </w:r>
      <w:r w:rsidR="005B1C19">
        <w:rPr>
          <w:rFonts w:ascii="Times New Roman" w:eastAsiaTheme="minorEastAsia" w:hAnsi="Times New Roman" w:cs="Times New Roman" w:hint="eastAsia"/>
          <w:kern w:val="2"/>
          <w:sz w:val="21"/>
          <w:szCs w:val="21"/>
        </w:rPr>
        <w:t>7</w:t>
      </w:r>
    </w:p>
    <w:p w:rsidR="009846C2" w:rsidRDefault="009846C2" w:rsidP="005B1C19">
      <w:pPr>
        <w:tabs>
          <w:tab w:val="left" w:pos="0"/>
          <w:tab w:val="left" w:pos="6380"/>
        </w:tabs>
        <w:topLinePunct/>
        <w:adjustRightInd w:val="0"/>
        <w:snapToGrid w:val="0"/>
        <w:spacing w:line="240" w:lineRule="auto"/>
        <w:ind w:leftChars="200" w:left="407"/>
        <w:rPr>
          <w:rFonts w:ascii="Times New Roman" w:eastAsiaTheme="minorEastAsia" w:hAnsi="Times New Roman" w:cs="Times New Roman"/>
          <w:kern w:val="2"/>
          <w:sz w:val="21"/>
          <w:szCs w:val="21"/>
        </w:rPr>
      </w:pPr>
    </w:p>
    <w:p w:rsidR="009846C2" w:rsidRDefault="009846C2">
      <w:pPr>
        <w:tabs>
          <w:tab w:val="left" w:pos="0"/>
        </w:tabs>
        <w:topLinePunct/>
        <w:rPr>
          <w:rFonts w:ascii="Times New Roman" w:hAnsi="Times New Roman" w:cs="Times New Roman"/>
          <w:kern w:val="2"/>
        </w:rPr>
      </w:pPr>
    </w:p>
    <w:p w:rsidR="009846C2" w:rsidRDefault="009846C2">
      <w:pPr>
        <w:tabs>
          <w:tab w:val="left" w:pos="0"/>
        </w:tabs>
        <w:topLinePunct/>
        <w:rPr>
          <w:rFonts w:ascii="Times New Roman" w:hAnsi="Times New Roman" w:cs="Times New Roman"/>
          <w:kern w:val="2"/>
        </w:rPr>
      </w:pPr>
    </w:p>
    <w:p w:rsidR="009846C2" w:rsidRDefault="009846C2" w:rsidP="007974B4">
      <w:pPr>
        <w:tabs>
          <w:tab w:val="left" w:pos="0"/>
          <w:tab w:val="left" w:pos="5887"/>
        </w:tabs>
        <w:topLinePunct/>
        <w:spacing w:beforeLines="100" w:after="100" w:afterAutospacing="1"/>
        <w:rPr>
          <w:rFonts w:ascii="Times New Roman" w:eastAsiaTheme="minorEastAsia" w:hAnsi="Times New Roman" w:cs="Times New Roman"/>
          <w:kern w:val="2"/>
          <w:sz w:val="21"/>
          <w:szCs w:val="21"/>
        </w:rPr>
        <w:sectPr w:rsidR="009846C2">
          <w:footerReference w:type="even" r:id="rId12"/>
          <w:footerReference w:type="default" r:id="rId13"/>
          <w:pgSz w:w="7938" w:h="11510"/>
          <w:pgMar w:top="1247" w:right="1021" w:bottom="907" w:left="1021" w:header="851" w:footer="936" w:gutter="0"/>
          <w:pgNumType w:start="1"/>
          <w:cols w:space="720"/>
          <w:docGrid w:type="linesAndChars" w:linePitch="312" w:charSpace="-3419"/>
        </w:sectPr>
      </w:pPr>
    </w:p>
    <w:p w:rsidR="009846C2" w:rsidRDefault="00A433A0" w:rsidP="007974B4">
      <w:pPr>
        <w:widowControl w:val="0"/>
        <w:tabs>
          <w:tab w:val="left" w:pos="0"/>
        </w:tabs>
        <w:topLinePunct/>
        <w:spacing w:beforeLines="100" w:after="100" w:afterAutospacing="1"/>
        <w:jc w:val="center"/>
        <w:rPr>
          <w:rFonts w:ascii="Times New Roman" w:eastAsia="宋体" w:hAnsi="Times New Roman" w:cs="Times New Roman"/>
          <w:kern w:val="2"/>
          <w:sz w:val="28"/>
          <w:szCs w:val="28"/>
          <w:lang w:val="zh-CN"/>
        </w:rPr>
      </w:pPr>
      <w:r>
        <w:rPr>
          <w:rFonts w:ascii="Times New Roman" w:eastAsia="宋体" w:hAnsi="Times New Roman" w:cs="Times New Roman" w:hint="eastAsia"/>
          <w:b/>
          <w:bCs/>
          <w:kern w:val="2"/>
          <w:sz w:val="28"/>
          <w:szCs w:val="28"/>
          <w:lang w:val="zh-CN"/>
        </w:rPr>
        <w:lastRenderedPageBreak/>
        <w:t>Contents</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General Provisions</w:t>
      </w:r>
      <w:r>
        <w:rPr>
          <w:rFonts w:ascii="Times New Roman" w:eastAsiaTheme="minorEastAsia" w:hAnsi="Times New Roman" w:cs="Times New Roman"/>
          <w:kern w:val="2"/>
          <w:sz w:val="21"/>
          <w:szCs w:val="21"/>
        </w:rPr>
        <w:tab/>
        <w:t>1</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宋体" w:hAnsi="Times New Roman" w:cs="Times New Roman"/>
          <w:kern w:val="2"/>
          <w:sz w:val="21"/>
          <w:szCs w:val="21"/>
        </w:rPr>
      </w:pPr>
      <w:r>
        <w:rPr>
          <w:rFonts w:ascii="Times New Roman" w:eastAsiaTheme="minorEastAsia" w:hAnsi="Times New Roman" w:cs="Times New Roman" w:hint="eastAsia"/>
          <w:kern w:val="2"/>
          <w:sz w:val="21"/>
          <w:szCs w:val="21"/>
        </w:rPr>
        <w:t>Terms</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2</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宋体" w:hAnsi="Times New Roman" w:cs="Times New Roman"/>
          <w:kern w:val="2"/>
          <w:sz w:val="21"/>
          <w:szCs w:val="21"/>
        </w:rPr>
      </w:pPr>
      <w:r>
        <w:rPr>
          <w:rFonts w:ascii="Times New Roman" w:eastAsiaTheme="minorEastAsia" w:hAnsi="Times New Roman" w:cs="Times New Roman" w:hint="eastAsia"/>
          <w:kern w:val="2"/>
          <w:sz w:val="21"/>
          <w:szCs w:val="21"/>
        </w:rPr>
        <w:t>Basic Requirements</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4</w:t>
      </w:r>
    </w:p>
    <w:p w:rsidR="009846C2" w:rsidRDefault="00A433A0">
      <w:pPr>
        <w:widowControl w:val="0"/>
        <w:numPr>
          <w:ilvl w:val="0"/>
          <w:numId w:val="9"/>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General Requirements</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4</w:t>
      </w:r>
    </w:p>
    <w:p w:rsidR="009846C2" w:rsidRDefault="00A433A0">
      <w:pPr>
        <w:widowControl w:val="0"/>
        <w:numPr>
          <w:ilvl w:val="0"/>
          <w:numId w:val="9"/>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宋体" w:hAnsi="Times New Roman" w:cs="Times New Roman"/>
          <w:kern w:val="2"/>
          <w:sz w:val="21"/>
          <w:szCs w:val="21"/>
        </w:rPr>
      </w:pPr>
      <w:r>
        <w:rPr>
          <w:rFonts w:ascii="Times New Roman" w:eastAsia="宋体" w:hAnsi="Times New Roman" w:cs="Times New Roman"/>
          <w:kern w:val="2"/>
          <w:sz w:val="18"/>
          <w:szCs w:val="18"/>
        </w:rPr>
        <w:t>Acceptance Content</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4</w:t>
      </w:r>
    </w:p>
    <w:p w:rsidR="009846C2" w:rsidRDefault="00A433A0">
      <w:pPr>
        <w:widowControl w:val="0"/>
        <w:numPr>
          <w:ilvl w:val="0"/>
          <w:numId w:val="9"/>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宋体" w:hAnsi="Times New Roman" w:cs="Times New Roman"/>
          <w:kern w:val="2"/>
          <w:sz w:val="21"/>
          <w:szCs w:val="21"/>
        </w:rPr>
      </w:pPr>
      <w:r>
        <w:rPr>
          <w:rFonts w:ascii="Times New Roman" w:eastAsia="宋体" w:hAnsi="Times New Roman" w:cs="Times New Roman"/>
          <w:kern w:val="2"/>
          <w:sz w:val="18"/>
          <w:szCs w:val="18"/>
        </w:rPr>
        <w:t>Acceptance Evaluation</w:t>
      </w:r>
      <w:r>
        <w:rPr>
          <w:rFonts w:ascii="Times New Roman" w:eastAsia="宋体" w:hAnsi="Times New Roman" w:cs="Times New Roman"/>
          <w:kern w:val="2"/>
          <w:sz w:val="21"/>
          <w:szCs w:val="21"/>
        </w:rPr>
        <w:tab/>
      </w:r>
      <w:r>
        <w:rPr>
          <w:rFonts w:ascii="Times New Roman" w:eastAsiaTheme="minorEastAsia" w:hAnsi="Times New Roman" w:cs="Times New Roman"/>
          <w:kern w:val="2"/>
          <w:sz w:val="21"/>
          <w:szCs w:val="21"/>
        </w:rPr>
        <w:t>6</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Building fire protection</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General Requirements</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General layout</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11</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Plan</w:t>
      </w:r>
      <w:r>
        <w:rPr>
          <w:rFonts w:ascii="Times New Roman" w:eastAsia="宋体" w:hAnsi="Times New Roman" w:cs="Times New Roman" w:hint="eastAsia"/>
          <w:kern w:val="2"/>
          <w:sz w:val="18"/>
          <w:szCs w:val="18"/>
        </w:rPr>
        <w:t>e</w:t>
      </w:r>
      <w:r>
        <w:rPr>
          <w:rFonts w:ascii="Times New Roman" w:eastAsia="宋体" w:hAnsi="Times New Roman" w:cs="Times New Roman"/>
          <w:kern w:val="2"/>
          <w:sz w:val="18"/>
          <w:szCs w:val="18"/>
        </w:rPr>
        <w:t xml:space="preserve"> </w:t>
      </w:r>
      <w:r>
        <w:rPr>
          <w:rFonts w:ascii="Times New Roman" w:eastAsia="宋体" w:hAnsi="Times New Roman" w:cs="Times New Roman" w:hint="eastAsia"/>
          <w:kern w:val="2"/>
          <w:sz w:val="18"/>
          <w:szCs w:val="18"/>
        </w:rPr>
        <w:t>arrangement</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13</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Safe evacuation</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14</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Building</w:t>
      </w:r>
      <w:r>
        <w:rPr>
          <w:rFonts w:ascii="Times New Roman" w:eastAsia="宋体" w:hAnsi="Times New Roman" w:cs="Times New Roman"/>
          <w:kern w:val="2"/>
          <w:sz w:val="18"/>
          <w:szCs w:val="18"/>
        </w:rPr>
        <w:t xml:space="preserve"> construction</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18</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I</w:t>
      </w:r>
      <w:r>
        <w:rPr>
          <w:rFonts w:ascii="Times New Roman" w:eastAsia="宋体" w:hAnsi="Times New Roman" w:cs="Times New Roman"/>
          <w:kern w:val="2"/>
          <w:sz w:val="18"/>
          <w:szCs w:val="18"/>
        </w:rPr>
        <w:t>nterior decoration of buildings</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23</w:t>
      </w:r>
    </w:p>
    <w:p w:rsidR="009846C2" w:rsidRDefault="00A433A0">
      <w:pPr>
        <w:widowControl w:val="0"/>
        <w:numPr>
          <w:ilvl w:val="0"/>
          <w:numId w:val="10"/>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 xml:space="preserve">Fire Protection of </w:t>
      </w:r>
      <w:r>
        <w:rPr>
          <w:rFonts w:ascii="Times New Roman" w:eastAsia="宋体" w:hAnsi="Times New Roman" w:cs="Times New Roman" w:hint="eastAsia"/>
          <w:kern w:val="2"/>
          <w:sz w:val="18"/>
          <w:szCs w:val="18"/>
        </w:rPr>
        <w:t>t</w:t>
      </w:r>
      <w:r>
        <w:rPr>
          <w:rFonts w:ascii="Times New Roman" w:eastAsia="宋体" w:hAnsi="Times New Roman" w:cs="Times New Roman"/>
          <w:kern w:val="2"/>
          <w:sz w:val="18"/>
          <w:szCs w:val="18"/>
        </w:rPr>
        <w:t xml:space="preserve">ransformer and other </w:t>
      </w:r>
      <w:r>
        <w:rPr>
          <w:rFonts w:ascii="Times New Roman" w:eastAsia="宋体" w:hAnsi="Times New Roman" w:cs="Times New Roman" w:hint="eastAsia"/>
          <w:kern w:val="2"/>
          <w:sz w:val="18"/>
          <w:szCs w:val="18"/>
        </w:rPr>
        <w:t xml:space="preserve">electrical </w:t>
      </w:r>
      <w:r>
        <w:rPr>
          <w:rFonts w:ascii="Times New Roman" w:eastAsia="宋体" w:hAnsi="Times New Roman" w:cs="Times New Roman"/>
          <w:kern w:val="2"/>
          <w:sz w:val="18"/>
          <w:szCs w:val="18"/>
        </w:rPr>
        <w:t>equipment</w:t>
      </w:r>
      <w:r>
        <w:rPr>
          <w:rFonts w:ascii="Times New Roman" w:eastAsia="宋体" w:hAnsi="Times New Roman" w:cs="Times New Roman" w:hint="eastAsia"/>
          <w:kern w:val="2"/>
          <w:sz w:val="18"/>
          <w:szCs w:val="18"/>
        </w:rPr>
        <w:t xml:space="preserve"> with oil</w:t>
      </w:r>
      <w:r>
        <w:rPr>
          <w:rFonts w:ascii="Times New Roman" w:eastAsia="宋体" w:hAnsi="Times New Roman" w:cs="Times New Roman"/>
          <w:kern w:val="2"/>
          <w:sz w:val="18"/>
          <w:szCs w:val="18"/>
        </w:rPr>
        <w:tab/>
      </w:r>
      <w:r>
        <w:rPr>
          <w:rFonts w:ascii="Times New Roman" w:eastAsiaTheme="minorEastAsia" w:hAnsi="Times New Roman" w:cs="Times New Roman" w:hint="eastAsia"/>
          <w:kern w:val="2"/>
          <w:sz w:val="21"/>
          <w:szCs w:val="21"/>
        </w:rPr>
        <w:t>26</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Fire water supply and fire fighting facilities</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28</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General Requirements</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28</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 xml:space="preserve">Fire </w:t>
      </w:r>
      <w:r>
        <w:rPr>
          <w:rFonts w:ascii="Times New Roman" w:eastAsia="宋体" w:hAnsi="Times New Roman" w:cs="Times New Roman" w:hint="eastAsia"/>
          <w:kern w:val="2"/>
          <w:sz w:val="18"/>
          <w:szCs w:val="18"/>
        </w:rPr>
        <w:t xml:space="preserve">protection </w:t>
      </w:r>
      <w:r>
        <w:rPr>
          <w:rFonts w:ascii="Times New Roman" w:eastAsia="宋体" w:hAnsi="Times New Roman" w:cs="Times New Roman"/>
          <w:kern w:val="2"/>
          <w:sz w:val="18"/>
          <w:szCs w:val="18"/>
        </w:rPr>
        <w:t>water supply and hydrant 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29</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Water Spray, water mist, automatic sprinkler 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44</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Foam extinguishing 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48</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 xml:space="preserve">Gas </w:t>
      </w:r>
      <w:r>
        <w:rPr>
          <w:rFonts w:ascii="Times New Roman" w:eastAsia="宋体" w:hAnsi="Times New Roman" w:cs="Times New Roman" w:hint="eastAsia"/>
          <w:kern w:val="2"/>
          <w:sz w:val="18"/>
          <w:szCs w:val="18"/>
        </w:rPr>
        <w:t xml:space="preserve">fire </w:t>
      </w:r>
      <w:r>
        <w:rPr>
          <w:rFonts w:ascii="Times New Roman" w:eastAsia="宋体" w:hAnsi="Times New Roman" w:cs="Times New Roman"/>
          <w:kern w:val="2"/>
          <w:sz w:val="18"/>
          <w:szCs w:val="18"/>
        </w:rPr>
        <w:t>extinguishing 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50</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Oil Drainage nitrogen injection fire extinguishing 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53</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lastRenderedPageBreak/>
        <w:t>Superfine dry powder fire extinguishing system</w:t>
      </w:r>
      <w:r>
        <w:rPr>
          <w:rFonts w:ascii="Times New Roman" w:eastAsia="宋体" w:hAnsi="Times New Roman" w:cs="Times New Roman"/>
          <w:kern w:val="2"/>
          <w:sz w:val="18"/>
          <w:szCs w:val="18"/>
        </w:rPr>
        <w:tab/>
      </w:r>
      <w:r>
        <w:rPr>
          <w:rFonts w:ascii="Times New Roman" w:eastAsiaTheme="minorEastAsia" w:hAnsi="Times New Roman" w:cs="Times New Roman" w:hint="eastAsia"/>
          <w:kern w:val="2"/>
          <w:sz w:val="21"/>
          <w:szCs w:val="21"/>
        </w:rPr>
        <w:t>54</w:t>
      </w:r>
    </w:p>
    <w:p w:rsidR="009846C2" w:rsidRDefault="00A433A0">
      <w:pPr>
        <w:widowControl w:val="0"/>
        <w:numPr>
          <w:ilvl w:val="0"/>
          <w:numId w:val="11"/>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Building Fire Extinguisher</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56</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宋体" w:hAnsi="Times New Roman" w:cs="Times New Roman"/>
          <w:kern w:val="2"/>
          <w:sz w:val="21"/>
          <w:szCs w:val="21"/>
        </w:rPr>
      </w:pPr>
      <w:r>
        <w:rPr>
          <w:rFonts w:ascii="Times New Roman" w:eastAsiaTheme="minorEastAsia" w:hAnsi="Times New Roman" w:cs="Times New Roman"/>
          <w:kern w:val="2"/>
          <w:sz w:val="21"/>
          <w:szCs w:val="21"/>
        </w:rPr>
        <w:t>Ventilation, air conditioning and smoke control and extraction systems</w:t>
      </w:r>
      <w:r>
        <w:rPr>
          <w:rFonts w:ascii="Times New Roman" w:eastAsia="宋体" w:hAnsi="Times New Roman" w:cs="Times New Roman"/>
          <w:kern w:val="2"/>
          <w:sz w:val="21"/>
          <w:szCs w:val="21"/>
        </w:rPr>
        <w:tab/>
      </w:r>
      <w:r w:rsidR="00F90871">
        <w:rPr>
          <w:rFonts w:ascii="Times New Roman" w:eastAsiaTheme="minorEastAsia" w:hAnsi="Times New Roman" w:cs="Times New Roman" w:hint="eastAsia"/>
          <w:kern w:val="2"/>
          <w:sz w:val="21"/>
          <w:szCs w:val="21"/>
        </w:rPr>
        <w:t>59</w:t>
      </w:r>
    </w:p>
    <w:p w:rsidR="009846C2" w:rsidRDefault="00A433A0">
      <w:pPr>
        <w:widowControl w:val="0"/>
        <w:numPr>
          <w:ilvl w:val="0"/>
          <w:numId w:val="12"/>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General Requirements</w:t>
      </w:r>
      <w:r>
        <w:rPr>
          <w:rFonts w:ascii="Times New Roman" w:eastAsia="宋体" w:hAnsi="Times New Roman" w:cs="Times New Roman"/>
          <w:kern w:val="2"/>
          <w:sz w:val="21"/>
          <w:szCs w:val="21"/>
        </w:rPr>
        <w:tab/>
      </w:r>
      <w:r w:rsidR="00F90871">
        <w:rPr>
          <w:rFonts w:ascii="Times New Roman" w:eastAsiaTheme="minorEastAsia" w:hAnsi="Times New Roman" w:cs="Times New Roman" w:hint="eastAsia"/>
          <w:kern w:val="2"/>
          <w:sz w:val="21"/>
          <w:szCs w:val="21"/>
        </w:rPr>
        <w:t>59</w:t>
      </w:r>
    </w:p>
    <w:p w:rsidR="009846C2" w:rsidRDefault="00A433A0">
      <w:pPr>
        <w:widowControl w:val="0"/>
        <w:numPr>
          <w:ilvl w:val="0"/>
          <w:numId w:val="12"/>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 xml:space="preserve">Ventilation </w:t>
      </w:r>
      <w:r>
        <w:rPr>
          <w:rFonts w:ascii="Times New Roman" w:eastAsia="宋体" w:hAnsi="Times New Roman" w:cs="Times New Roman" w:hint="eastAsia"/>
          <w:kern w:val="2"/>
          <w:sz w:val="18"/>
          <w:szCs w:val="18"/>
        </w:rPr>
        <w:t xml:space="preserve">and </w:t>
      </w:r>
      <w:r>
        <w:rPr>
          <w:rFonts w:ascii="Times New Roman" w:eastAsia="宋体" w:hAnsi="Times New Roman" w:cs="Times New Roman"/>
          <w:kern w:val="2"/>
          <w:sz w:val="18"/>
          <w:szCs w:val="18"/>
        </w:rPr>
        <w:t>air conditioning</w:t>
      </w:r>
      <w:r>
        <w:rPr>
          <w:rFonts w:ascii="Times New Roman" w:eastAsia="宋体" w:hAnsi="Times New Roman" w:cs="Times New Roman"/>
          <w:kern w:val="2"/>
          <w:sz w:val="21"/>
          <w:szCs w:val="21"/>
        </w:rPr>
        <w:tab/>
      </w:r>
      <w:r w:rsidR="00F90871">
        <w:rPr>
          <w:rFonts w:ascii="Times New Roman" w:eastAsiaTheme="minorEastAsia" w:hAnsi="Times New Roman" w:cs="Times New Roman" w:hint="eastAsia"/>
          <w:kern w:val="2"/>
          <w:sz w:val="21"/>
          <w:szCs w:val="21"/>
        </w:rPr>
        <w:t>59</w:t>
      </w:r>
    </w:p>
    <w:p w:rsidR="009846C2" w:rsidRDefault="00A433A0">
      <w:pPr>
        <w:widowControl w:val="0"/>
        <w:numPr>
          <w:ilvl w:val="0"/>
          <w:numId w:val="12"/>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 xml:space="preserve">Smoke </w:t>
      </w:r>
      <w:r>
        <w:rPr>
          <w:rFonts w:ascii="Times New Roman" w:eastAsia="宋体" w:hAnsi="Times New Roman" w:cs="Times New Roman" w:hint="eastAsia"/>
          <w:kern w:val="2"/>
          <w:sz w:val="18"/>
          <w:szCs w:val="18"/>
        </w:rPr>
        <w:t xml:space="preserve">management </w:t>
      </w:r>
      <w:r>
        <w:rPr>
          <w:rFonts w:ascii="Times New Roman" w:eastAsia="宋体" w:hAnsi="Times New Roman" w:cs="Times New Roman"/>
          <w:kern w:val="2"/>
          <w:sz w:val="18"/>
          <w:szCs w:val="18"/>
        </w:rPr>
        <w:t>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6</w:t>
      </w:r>
      <w:r w:rsidR="00F90871">
        <w:rPr>
          <w:rFonts w:ascii="Times New Roman" w:eastAsiaTheme="minorEastAsia" w:hAnsi="Times New Roman" w:cs="Times New Roman" w:hint="eastAsia"/>
          <w:kern w:val="2"/>
          <w:sz w:val="21"/>
          <w:szCs w:val="21"/>
        </w:rPr>
        <w:t>3</w:t>
      </w:r>
    </w:p>
    <w:p w:rsidR="009846C2" w:rsidRDefault="00330AD5">
      <w:pPr>
        <w:widowControl w:val="0"/>
        <w:numPr>
          <w:ilvl w:val="0"/>
          <w:numId w:val="8"/>
        </w:numPr>
        <w:tabs>
          <w:tab w:val="left" w:pos="0"/>
          <w:tab w:val="left" w:leader="middleDot" w:pos="5684"/>
          <w:tab w:val="left" w:pos="6380"/>
          <w:tab w:val="right" w:leader="middleDot" w:pos="8222"/>
        </w:tabs>
        <w:topLinePunct/>
        <w:adjustRightInd w:val="0"/>
        <w:snapToGrid w:val="0"/>
        <w:ind w:leftChars="-98" w:left="224" w:hangingChars="200" w:hanging="440"/>
        <w:rPr>
          <w:rFonts w:ascii="Times New Roman" w:eastAsia="宋体" w:hAnsi="Times New Roman" w:cs="Times New Roman"/>
          <w:kern w:val="2"/>
          <w:sz w:val="21"/>
          <w:szCs w:val="21"/>
        </w:rPr>
      </w:pPr>
      <w:hyperlink r:id="rId14" w:anchor="electric" w:tgtFrame="_blank" w:history="1">
        <w:r w:rsidR="00A433A0">
          <w:rPr>
            <w:rFonts w:ascii="Times New Roman" w:eastAsiaTheme="minorEastAsia" w:hAnsi="Times New Roman" w:cs="Times New Roman" w:hint="eastAsia"/>
            <w:kern w:val="2"/>
            <w:sz w:val="21"/>
            <w:szCs w:val="21"/>
          </w:rPr>
          <w:t>E</w:t>
        </w:r>
        <w:r w:rsidR="00A433A0">
          <w:rPr>
            <w:rFonts w:ascii="Times New Roman" w:eastAsiaTheme="minorEastAsia" w:hAnsi="Times New Roman" w:cs="Times New Roman"/>
            <w:kern w:val="2"/>
            <w:sz w:val="21"/>
            <w:szCs w:val="21"/>
          </w:rPr>
          <w:t>lectric</w:t>
        </w:r>
      </w:hyperlink>
      <w:r w:rsidR="00A433A0">
        <w:rPr>
          <w:rFonts w:ascii="Times New Roman" w:eastAsia="宋体" w:hAnsi="Times New Roman" w:cs="Times New Roman"/>
          <w:kern w:val="2"/>
          <w:sz w:val="21"/>
          <w:szCs w:val="21"/>
        </w:rPr>
        <w:tab/>
      </w:r>
      <w:r w:rsidR="00A433A0">
        <w:rPr>
          <w:rFonts w:ascii="Times New Roman" w:eastAsiaTheme="minorEastAsia" w:hAnsi="Times New Roman" w:cs="Times New Roman" w:hint="eastAsia"/>
          <w:kern w:val="2"/>
          <w:sz w:val="21"/>
          <w:szCs w:val="21"/>
        </w:rPr>
        <w:t>7</w:t>
      </w:r>
      <w:r w:rsidR="00F90871">
        <w:rPr>
          <w:rFonts w:ascii="Times New Roman" w:eastAsiaTheme="minorEastAsia" w:hAnsi="Times New Roman" w:cs="Times New Roman" w:hint="eastAsia"/>
          <w:kern w:val="2"/>
          <w:sz w:val="21"/>
          <w:szCs w:val="21"/>
        </w:rPr>
        <w:t>3</w:t>
      </w:r>
    </w:p>
    <w:p w:rsidR="009846C2" w:rsidRDefault="00A433A0">
      <w:pPr>
        <w:widowControl w:val="0"/>
        <w:numPr>
          <w:ilvl w:val="0"/>
          <w:numId w:val="13"/>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General Requirements</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7</w:t>
      </w:r>
      <w:r w:rsidR="00F90871">
        <w:rPr>
          <w:rFonts w:ascii="Times New Roman" w:eastAsiaTheme="minorEastAsia" w:hAnsi="Times New Roman" w:cs="Times New Roman" w:hint="eastAsia"/>
          <w:kern w:val="2"/>
          <w:sz w:val="21"/>
          <w:szCs w:val="21"/>
        </w:rPr>
        <w:t>3</w:t>
      </w:r>
    </w:p>
    <w:p w:rsidR="009846C2" w:rsidRDefault="00A433A0">
      <w:pPr>
        <w:widowControl w:val="0"/>
        <w:numPr>
          <w:ilvl w:val="0"/>
          <w:numId w:val="13"/>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Fire power supply and  distribution</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7</w:t>
      </w:r>
      <w:r w:rsidR="00F90871">
        <w:rPr>
          <w:rFonts w:ascii="Times New Roman" w:eastAsiaTheme="minorEastAsia" w:hAnsi="Times New Roman" w:cs="Times New Roman" w:hint="eastAsia"/>
          <w:kern w:val="2"/>
          <w:sz w:val="21"/>
          <w:szCs w:val="21"/>
        </w:rPr>
        <w:t>3</w:t>
      </w:r>
    </w:p>
    <w:p w:rsidR="009846C2" w:rsidRDefault="00A433A0">
      <w:pPr>
        <w:widowControl w:val="0"/>
        <w:numPr>
          <w:ilvl w:val="0"/>
          <w:numId w:val="13"/>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Fire emergency lighting and evacuat</w:t>
      </w:r>
      <w:r>
        <w:rPr>
          <w:rFonts w:ascii="Times New Roman" w:eastAsia="宋体" w:hAnsi="Times New Roman" w:cs="Times New Roman" w:hint="eastAsia"/>
          <w:kern w:val="2"/>
          <w:sz w:val="18"/>
          <w:szCs w:val="18"/>
        </w:rPr>
        <w:t>e</w:t>
      </w:r>
      <w:r>
        <w:rPr>
          <w:rFonts w:ascii="Times New Roman" w:eastAsia="宋体" w:hAnsi="Times New Roman" w:cs="Times New Roman"/>
          <w:kern w:val="2"/>
          <w:sz w:val="18"/>
          <w:szCs w:val="18"/>
        </w:rPr>
        <w:t xml:space="preserve"> indicat</w:t>
      </w:r>
      <w:r>
        <w:rPr>
          <w:rFonts w:ascii="Times New Roman" w:eastAsia="宋体" w:hAnsi="Times New Roman" w:cs="Times New Roman" w:hint="eastAsia"/>
          <w:kern w:val="2"/>
          <w:sz w:val="18"/>
          <w:szCs w:val="18"/>
        </w:rPr>
        <w:t>ing</w:t>
      </w:r>
      <w:r>
        <w:rPr>
          <w:rFonts w:ascii="Times New Roman" w:eastAsia="宋体" w:hAnsi="Times New Roman" w:cs="Times New Roman"/>
          <w:kern w:val="2"/>
          <w:sz w:val="18"/>
          <w:szCs w:val="18"/>
        </w:rPr>
        <w:t xml:space="preserve"> system</w:t>
      </w:r>
      <w:r>
        <w:rPr>
          <w:rFonts w:ascii="Times New Roman" w:eastAsia="宋体" w:hAnsi="Times New Roman" w:cs="Times New Roman"/>
          <w:kern w:val="2"/>
          <w:sz w:val="21"/>
          <w:szCs w:val="21"/>
        </w:rPr>
        <w:tab/>
      </w:r>
      <w:r w:rsidR="00F90871">
        <w:rPr>
          <w:rFonts w:ascii="Times New Roman" w:eastAsiaTheme="minorEastAsia" w:hAnsi="Times New Roman" w:cs="Times New Roman" w:hint="eastAsia"/>
          <w:kern w:val="2"/>
          <w:sz w:val="21"/>
          <w:szCs w:val="21"/>
        </w:rPr>
        <w:t>78</w:t>
      </w:r>
    </w:p>
    <w:p w:rsidR="009846C2" w:rsidRDefault="00A433A0">
      <w:pPr>
        <w:widowControl w:val="0"/>
        <w:numPr>
          <w:ilvl w:val="0"/>
          <w:numId w:val="13"/>
        </w:numPr>
        <w:tabs>
          <w:tab w:val="left" w:pos="0"/>
          <w:tab w:val="left" w:leader="middleDot" w:pos="5684"/>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Automatic fire alarm system</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8</w:t>
      </w:r>
      <w:r w:rsidR="00F90871">
        <w:rPr>
          <w:rFonts w:ascii="Times New Roman" w:eastAsiaTheme="minorEastAsia" w:hAnsi="Times New Roman" w:cs="Times New Roman" w:hint="eastAsia"/>
          <w:kern w:val="2"/>
          <w:sz w:val="21"/>
          <w:szCs w:val="21"/>
        </w:rPr>
        <w:t>3</w:t>
      </w:r>
    </w:p>
    <w:p w:rsidR="009846C2" w:rsidRDefault="00A433A0">
      <w:pPr>
        <w:widowControl w:val="0"/>
        <w:numPr>
          <w:ilvl w:val="0"/>
          <w:numId w:val="8"/>
        </w:numPr>
        <w:tabs>
          <w:tab w:val="left" w:pos="0"/>
          <w:tab w:val="left" w:leader="middleDot" w:pos="5684"/>
          <w:tab w:val="left" w:pos="6380"/>
          <w:tab w:val="right" w:leader="middleDot" w:pos="8222"/>
        </w:tabs>
        <w:topLinePunct/>
        <w:adjustRightInd w:val="0"/>
        <w:snapToGrid w:val="0"/>
        <w:ind w:leftChars="-98" w:left="204" w:hangingChars="200"/>
        <w:rPr>
          <w:rFonts w:ascii="Times New Roman" w:eastAsiaTheme="minorEastAsia" w:hAnsi="Times New Roman" w:cs="Times New Roman"/>
          <w:kern w:val="2"/>
          <w:sz w:val="21"/>
          <w:szCs w:val="21"/>
        </w:rPr>
      </w:pPr>
      <w:r>
        <w:rPr>
          <w:rFonts w:ascii="Times New Roman" w:hAnsi="Times New Roman" w:cs="Times New Roman"/>
          <w:color w:val="333333"/>
          <w:sz w:val="21"/>
          <w:szCs w:val="21"/>
          <w:shd w:val="clear" w:color="auto" w:fill="FFFFFF"/>
        </w:rPr>
        <w:t>P</w:t>
      </w:r>
      <w:r>
        <w:rPr>
          <w:rFonts w:ascii="Times New Roman" w:eastAsiaTheme="minorEastAsia" w:hAnsi="Times New Roman" w:cs="Times New Roman"/>
          <w:kern w:val="2"/>
          <w:sz w:val="21"/>
          <w:szCs w:val="21"/>
        </w:rPr>
        <w:t>ower Line</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9</w:t>
      </w:r>
      <w:r w:rsidR="00F90871">
        <w:rPr>
          <w:rFonts w:ascii="Times New Roman" w:eastAsiaTheme="minorEastAsia" w:hAnsi="Times New Roman" w:cs="Times New Roman" w:hint="eastAsia"/>
          <w:kern w:val="2"/>
          <w:sz w:val="21"/>
          <w:szCs w:val="21"/>
        </w:rPr>
        <w:t>5</w:t>
      </w:r>
    </w:p>
    <w:p w:rsidR="009846C2" w:rsidRDefault="00A433A0">
      <w:pPr>
        <w:widowControl w:val="0"/>
        <w:numPr>
          <w:ilvl w:val="0"/>
          <w:numId w:val="14"/>
        </w:numPr>
        <w:tabs>
          <w:tab w:val="left" w:pos="0"/>
          <w:tab w:val="left" w:leader="middleDot" w:pos="5670"/>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hint="eastAsia"/>
          <w:kern w:val="2"/>
          <w:sz w:val="18"/>
          <w:szCs w:val="18"/>
        </w:rPr>
        <w:t>General Requirements</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r w:rsidR="00F90871">
        <w:rPr>
          <w:rFonts w:ascii="Times New Roman" w:eastAsiaTheme="minorEastAsia" w:hAnsi="Times New Roman" w:cs="Times New Roman" w:hint="eastAsia"/>
          <w:kern w:val="2"/>
          <w:sz w:val="21"/>
          <w:szCs w:val="21"/>
        </w:rPr>
        <w:t>5</w:t>
      </w:r>
    </w:p>
    <w:p w:rsidR="009846C2" w:rsidRDefault="00A433A0">
      <w:pPr>
        <w:widowControl w:val="0"/>
        <w:numPr>
          <w:ilvl w:val="0"/>
          <w:numId w:val="14"/>
        </w:numPr>
        <w:tabs>
          <w:tab w:val="left" w:pos="0"/>
          <w:tab w:val="left" w:leader="middleDot" w:pos="5670"/>
          <w:tab w:val="left" w:pos="6380"/>
          <w:tab w:val="right" w:leader="middleDot" w:pos="8222"/>
        </w:tabs>
        <w:topLinePunct/>
        <w:adjustRightInd w:val="0"/>
        <w:snapToGrid w:val="0"/>
        <w:ind w:leftChars="2" w:left="364" w:hangingChars="200" w:hanging="36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18"/>
          <w:szCs w:val="18"/>
        </w:rPr>
        <w:t>Power Line laying</w:t>
      </w:r>
      <w:r>
        <w:rPr>
          <w:rFonts w:ascii="Times New Roman" w:eastAsia="宋体" w:hAnsi="Times New Roman" w:cs="Times New Roman"/>
          <w:kern w:val="2"/>
          <w:sz w:val="21"/>
          <w:szCs w:val="21"/>
        </w:rPr>
        <w:tab/>
      </w:r>
      <w:r>
        <w:rPr>
          <w:rFonts w:ascii="Times New Roman" w:eastAsiaTheme="minorEastAsia" w:hAnsi="Times New Roman" w:cs="Times New Roman" w:hint="eastAsia"/>
          <w:kern w:val="2"/>
          <w:sz w:val="21"/>
          <w:szCs w:val="21"/>
        </w:rPr>
        <w:t>9</w:t>
      </w:r>
      <w:r w:rsidR="00F90871">
        <w:rPr>
          <w:rFonts w:ascii="Times New Roman" w:eastAsiaTheme="minorEastAsia" w:hAnsi="Times New Roman" w:cs="Times New Roman" w:hint="eastAsia"/>
          <w:kern w:val="2"/>
          <w:sz w:val="21"/>
          <w:szCs w:val="21"/>
        </w:rPr>
        <w:t>5</w:t>
      </w:r>
    </w:p>
    <w:p w:rsidR="009846C2" w:rsidRDefault="00A433A0">
      <w:pPr>
        <w:widowControl w:val="0"/>
        <w:tabs>
          <w:tab w:val="left" w:pos="0"/>
          <w:tab w:val="left" w:leader="middleDot" w:pos="5529"/>
          <w:tab w:val="left" w:pos="6380"/>
          <w:tab w:val="right" w:leader="middleDot" w:pos="8222"/>
        </w:tabs>
        <w:topLinePunct/>
        <w:adjustRightInd w:val="0"/>
        <w:snapToGrid w:val="0"/>
        <w:ind w:leftChars="-98" w:left="-216"/>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 xml:space="preserve">Appendix </w:t>
      </w:r>
      <w:r>
        <w:rPr>
          <w:rFonts w:ascii="Times New Roman" w:eastAsiaTheme="minorEastAsia" w:hAnsi="Times New Roman" w:cs="Times New Roman"/>
          <w:kern w:val="2"/>
          <w:sz w:val="21"/>
          <w:szCs w:val="21"/>
        </w:rPr>
        <w:t>A</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10</w:t>
      </w:r>
      <w:r w:rsidR="00F90871">
        <w:rPr>
          <w:rFonts w:ascii="Times New Roman" w:eastAsiaTheme="minorEastAsia" w:hAnsi="Times New Roman" w:cs="Times New Roman" w:hint="eastAsia"/>
          <w:kern w:val="2"/>
          <w:sz w:val="21"/>
          <w:szCs w:val="21"/>
        </w:rPr>
        <w:t>4</w:t>
      </w:r>
    </w:p>
    <w:p w:rsidR="009846C2" w:rsidRDefault="00A433A0">
      <w:pPr>
        <w:widowControl w:val="0"/>
        <w:tabs>
          <w:tab w:val="left" w:pos="0"/>
          <w:tab w:val="left" w:leader="middleDot" w:pos="5529"/>
          <w:tab w:val="left" w:pos="6380"/>
          <w:tab w:val="right" w:leader="middleDot" w:pos="8222"/>
        </w:tabs>
        <w:topLinePunct/>
        <w:adjustRightInd w:val="0"/>
        <w:snapToGrid w:val="0"/>
        <w:ind w:leftChars="-98" w:left="-216"/>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Explanation of Wording in this Standard</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10</w:t>
      </w:r>
      <w:r w:rsidR="00F90871">
        <w:rPr>
          <w:rFonts w:ascii="Times New Roman" w:eastAsiaTheme="minorEastAsia" w:hAnsi="Times New Roman" w:cs="Times New Roman" w:hint="eastAsia"/>
          <w:kern w:val="2"/>
          <w:sz w:val="21"/>
          <w:szCs w:val="21"/>
        </w:rPr>
        <w:t>6</w:t>
      </w:r>
    </w:p>
    <w:p w:rsidR="009846C2" w:rsidRDefault="00A433A0">
      <w:pPr>
        <w:widowControl w:val="0"/>
        <w:tabs>
          <w:tab w:val="left" w:pos="0"/>
          <w:tab w:val="left" w:leader="middleDot" w:pos="5529"/>
          <w:tab w:val="left" w:pos="6380"/>
          <w:tab w:val="right" w:leader="middleDot" w:pos="8222"/>
        </w:tabs>
        <w:topLinePunct/>
        <w:adjustRightInd w:val="0"/>
        <w:snapToGrid w:val="0"/>
        <w:ind w:leftChars="-98" w:left="-216"/>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List of Quoted Standards</w:t>
      </w:r>
      <w:r>
        <w:rPr>
          <w:rFonts w:ascii="Times New Roman" w:eastAsiaTheme="minorEastAsia" w:hAnsi="Times New Roman" w:cs="Times New Roman"/>
          <w:kern w:val="2"/>
          <w:sz w:val="21"/>
          <w:szCs w:val="21"/>
        </w:rPr>
        <w:tab/>
      </w:r>
      <w:r>
        <w:rPr>
          <w:rFonts w:ascii="Times New Roman" w:eastAsiaTheme="minorEastAsia" w:hAnsi="Times New Roman" w:cs="Times New Roman" w:hint="eastAsia"/>
          <w:kern w:val="2"/>
          <w:sz w:val="21"/>
          <w:szCs w:val="21"/>
        </w:rPr>
        <w:t>10</w:t>
      </w:r>
      <w:r w:rsidR="00F90871">
        <w:rPr>
          <w:rFonts w:ascii="Times New Roman" w:eastAsiaTheme="minorEastAsia" w:hAnsi="Times New Roman" w:cs="Times New Roman" w:hint="eastAsia"/>
          <w:kern w:val="2"/>
          <w:sz w:val="21"/>
          <w:szCs w:val="21"/>
        </w:rPr>
        <w:t>7</w:t>
      </w:r>
    </w:p>
    <w:p w:rsidR="009846C2" w:rsidRDefault="009846C2">
      <w:pPr>
        <w:tabs>
          <w:tab w:val="left" w:pos="0"/>
          <w:tab w:val="left" w:pos="6380"/>
        </w:tabs>
        <w:topLinePunct/>
        <w:adjustRightInd w:val="0"/>
        <w:snapToGrid w:val="0"/>
        <w:spacing w:line="240" w:lineRule="auto"/>
        <w:ind w:leftChars="200" w:left="440"/>
        <w:rPr>
          <w:rFonts w:ascii="Times New Roman" w:eastAsiaTheme="minorEastAsia" w:hAnsi="Times New Roman" w:cs="Times New Roman"/>
          <w:kern w:val="2"/>
          <w:sz w:val="21"/>
          <w:szCs w:val="21"/>
        </w:rPr>
      </w:pPr>
    </w:p>
    <w:p w:rsidR="009846C2" w:rsidRDefault="009846C2">
      <w:pPr>
        <w:pStyle w:val="a8"/>
        <w:numPr>
          <w:ilvl w:val="0"/>
          <w:numId w:val="15"/>
        </w:numPr>
        <w:tabs>
          <w:tab w:val="left" w:pos="220"/>
        </w:tabs>
        <w:topLinePunct/>
        <w:spacing w:beforeLines="100" w:after="100" w:afterAutospacing="1"/>
        <w:ind w:left="0" w:firstLine="0"/>
        <w:rPr>
          <w:rFonts w:ascii="Times New Roman" w:eastAsiaTheme="minorEastAsia" w:hAnsi="Times New Roman"/>
          <w:sz w:val="28"/>
          <w:szCs w:val="28"/>
        </w:rPr>
        <w:sectPr w:rsidR="009846C2">
          <w:pgSz w:w="7938" w:h="11510"/>
          <w:pgMar w:top="1247" w:right="1021" w:bottom="907" w:left="1021" w:header="851" w:footer="935" w:gutter="0"/>
          <w:pgNumType w:start="1"/>
          <w:cols w:space="720"/>
          <w:docGrid w:linePitch="312"/>
        </w:sectPr>
      </w:pPr>
    </w:p>
    <w:p w:rsidR="009846C2" w:rsidRDefault="00A433A0">
      <w:pPr>
        <w:pStyle w:val="a8"/>
        <w:numPr>
          <w:ilvl w:val="0"/>
          <w:numId w:val="15"/>
        </w:numPr>
        <w:tabs>
          <w:tab w:val="left" w:pos="220"/>
        </w:tabs>
        <w:topLinePunct/>
        <w:spacing w:beforeLines="100" w:after="100" w:afterAutospacing="1"/>
        <w:ind w:left="0" w:firstLine="0"/>
        <w:rPr>
          <w:rFonts w:ascii="Times New Roman" w:eastAsiaTheme="minorEastAsia" w:hAnsi="Times New Roman"/>
          <w:sz w:val="28"/>
          <w:szCs w:val="28"/>
        </w:rPr>
      </w:pPr>
      <w:r>
        <w:rPr>
          <w:rFonts w:ascii="Times New Roman" w:eastAsiaTheme="minorEastAsia" w:hAnsi="Times New Roman"/>
          <w:sz w:val="28"/>
          <w:szCs w:val="28"/>
        </w:rPr>
        <w:lastRenderedPageBreak/>
        <w:t>总则</w:t>
      </w:r>
      <w:bookmarkEnd w:id="0"/>
      <w:bookmarkEnd w:id="1"/>
      <w:bookmarkEnd w:id="2"/>
    </w:p>
    <w:p w:rsidR="009846C2" w:rsidRDefault="00A433A0">
      <w:pPr>
        <w:widowControl w:val="0"/>
        <w:numPr>
          <w:ilvl w:val="0"/>
          <w:numId w:val="16"/>
        </w:numPr>
        <w:topLinePunct/>
        <w:spacing w:line="360" w:lineRule="exact"/>
        <w:ind w:left="0" w:firstLine="0"/>
        <w:jc w:val="both"/>
        <w:rPr>
          <w:rFonts w:ascii="Times New Roman" w:eastAsiaTheme="minorEastAsia" w:hAnsi="Times New Roman" w:cs="Times New Roman"/>
          <w:bCs/>
          <w:kern w:val="2"/>
          <w:sz w:val="21"/>
          <w:szCs w:val="21"/>
        </w:rPr>
      </w:pPr>
      <w:r>
        <w:rPr>
          <w:rFonts w:ascii="Times New Roman" w:eastAsiaTheme="minorEastAsia" w:hAnsi="Times New Roman" w:cs="Times New Roman"/>
          <w:bCs/>
          <w:kern w:val="2"/>
          <w:sz w:val="21"/>
          <w:szCs w:val="21"/>
        </w:rPr>
        <w:t>为规范输变电工程消防验收工作，结合输变电工程建设的实际情况，制定本标准。</w:t>
      </w:r>
    </w:p>
    <w:p w:rsidR="009846C2" w:rsidRDefault="00A433A0">
      <w:pPr>
        <w:widowControl w:val="0"/>
        <w:numPr>
          <w:ilvl w:val="0"/>
          <w:numId w:val="16"/>
        </w:numPr>
        <w:topLinePunct/>
        <w:spacing w:line="360" w:lineRule="exact"/>
        <w:ind w:left="0" w:firstLine="0"/>
        <w:jc w:val="both"/>
        <w:rPr>
          <w:rFonts w:ascii="Times New Roman" w:eastAsiaTheme="minorEastAsia" w:hAnsi="Times New Roman" w:cs="Times New Roman"/>
          <w:bCs/>
          <w:kern w:val="2"/>
          <w:sz w:val="21"/>
          <w:szCs w:val="21"/>
        </w:rPr>
      </w:pPr>
      <w:r>
        <w:rPr>
          <w:rFonts w:ascii="Times New Roman" w:eastAsiaTheme="minorEastAsia" w:hAnsi="Times New Roman" w:cs="Times New Roman"/>
          <w:bCs/>
          <w:kern w:val="2"/>
          <w:sz w:val="21"/>
          <w:szCs w:val="21"/>
        </w:rPr>
        <w:t>本标准适用于新建、扩建、改建电压等级</w:t>
      </w:r>
      <w:r>
        <w:rPr>
          <w:rFonts w:ascii="Times New Roman" w:eastAsiaTheme="minorEastAsia" w:hAnsi="Times New Roman" w:cs="Times New Roman"/>
          <w:bCs/>
          <w:kern w:val="2"/>
          <w:sz w:val="21"/>
          <w:szCs w:val="21"/>
        </w:rPr>
        <w:t>35kV</w:t>
      </w:r>
      <w:r>
        <w:rPr>
          <w:rFonts w:ascii="Times New Roman" w:eastAsiaTheme="minorEastAsia" w:hAnsi="Times New Roman" w:cs="Times New Roman"/>
          <w:bCs/>
          <w:kern w:val="2"/>
          <w:sz w:val="21"/>
          <w:szCs w:val="21"/>
        </w:rPr>
        <w:t>及以上输变电工程的消防验收。</w:t>
      </w:r>
    </w:p>
    <w:p w:rsidR="009846C2" w:rsidRDefault="00A433A0">
      <w:pPr>
        <w:widowControl w:val="0"/>
        <w:numPr>
          <w:ilvl w:val="0"/>
          <w:numId w:val="16"/>
        </w:numPr>
        <w:topLinePunct/>
        <w:spacing w:line="360" w:lineRule="exact"/>
        <w:ind w:left="0" w:firstLine="0"/>
        <w:jc w:val="both"/>
        <w:rPr>
          <w:rFonts w:ascii="Times New Roman" w:eastAsiaTheme="minorEastAsia" w:hAnsi="Times New Roman" w:cs="Times New Roman"/>
          <w:bCs/>
          <w:kern w:val="2"/>
          <w:sz w:val="21"/>
          <w:szCs w:val="21"/>
        </w:rPr>
      </w:pPr>
      <w:r>
        <w:rPr>
          <w:rFonts w:ascii="Times New Roman" w:eastAsiaTheme="minorEastAsia" w:hAnsi="Times New Roman" w:cs="Times New Roman"/>
          <w:bCs/>
          <w:kern w:val="2"/>
          <w:sz w:val="21"/>
          <w:szCs w:val="21"/>
        </w:rPr>
        <w:t>输变电工程消防验收除符合本标准外，尚应符合国家和河北省现行有关标准的规定。</w:t>
      </w:r>
    </w:p>
    <w:p w:rsidR="009846C2" w:rsidRDefault="009846C2">
      <w:pPr>
        <w:widowControl w:val="0"/>
        <w:tabs>
          <w:tab w:val="left" w:pos="0"/>
        </w:tabs>
        <w:topLinePunct/>
        <w:spacing w:line="360" w:lineRule="auto"/>
        <w:jc w:val="both"/>
        <w:rPr>
          <w:rFonts w:ascii="Times New Roman" w:hAnsi="Times New Roman" w:cs="Times New Roman"/>
          <w:b/>
          <w:bCs/>
          <w:kern w:val="2"/>
          <w:szCs w:val="21"/>
        </w:rPr>
      </w:pPr>
    </w:p>
    <w:p w:rsidR="009846C2" w:rsidRDefault="009846C2">
      <w:pPr>
        <w:widowControl w:val="0"/>
        <w:tabs>
          <w:tab w:val="left" w:pos="0"/>
        </w:tabs>
        <w:topLinePunct/>
        <w:spacing w:line="360" w:lineRule="auto"/>
        <w:jc w:val="both"/>
        <w:rPr>
          <w:rFonts w:ascii="Times New Roman" w:hAnsi="Times New Roman" w:cs="Times New Roman"/>
          <w:b/>
          <w:bCs/>
          <w:kern w:val="2"/>
          <w:szCs w:val="21"/>
        </w:rPr>
      </w:pPr>
    </w:p>
    <w:p w:rsidR="009846C2" w:rsidRDefault="009846C2">
      <w:pPr>
        <w:widowControl w:val="0"/>
        <w:tabs>
          <w:tab w:val="left" w:pos="0"/>
        </w:tabs>
        <w:topLinePunct/>
        <w:spacing w:line="360" w:lineRule="auto"/>
        <w:jc w:val="both"/>
        <w:rPr>
          <w:rFonts w:ascii="Times New Roman" w:hAnsi="Times New Roman" w:cs="Times New Roman"/>
          <w:b/>
          <w:bCs/>
          <w:kern w:val="2"/>
          <w:szCs w:val="21"/>
        </w:rPr>
        <w:sectPr w:rsidR="009846C2">
          <w:footerReference w:type="even" r:id="rId15"/>
          <w:footerReference w:type="default" r:id="rId16"/>
          <w:pgSz w:w="7938" w:h="11510"/>
          <w:pgMar w:top="1247" w:right="1021" w:bottom="907" w:left="1021" w:header="851" w:footer="935" w:gutter="0"/>
          <w:pgNumType w:start="1"/>
          <w:cols w:space="720"/>
          <w:docGrid w:linePitch="312"/>
        </w:sectPr>
      </w:pPr>
      <w:bookmarkStart w:id="5" w:name="_GoBack"/>
      <w:bookmarkEnd w:id="5"/>
    </w:p>
    <w:p w:rsidR="009846C2" w:rsidRDefault="00A433A0">
      <w:pPr>
        <w:pStyle w:val="a8"/>
        <w:numPr>
          <w:ilvl w:val="0"/>
          <w:numId w:val="15"/>
        </w:numPr>
        <w:tabs>
          <w:tab w:val="left" w:pos="220"/>
        </w:tabs>
        <w:topLinePunct/>
        <w:spacing w:beforeLines="100" w:after="100" w:afterAutospacing="1"/>
        <w:ind w:left="0" w:firstLine="0"/>
        <w:rPr>
          <w:rFonts w:ascii="Times New Roman" w:eastAsiaTheme="minorEastAsia" w:hAnsi="Times New Roman"/>
          <w:sz w:val="28"/>
          <w:szCs w:val="28"/>
        </w:rPr>
      </w:pPr>
      <w:bookmarkStart w:id="6" w:name="_Toc15245077"/>
      <w:bookmarkStart w:id="7" w:name="_Toc532755635"/>
      <w:bookmarkStart w:id="8" w:name="_Toc525982029"/>
      <w:r>
        <w:rPr>
          <w:rFonts w:ascii="Times New Roman" w:eastAsiaTheme="minorEastAsia" w:hAnsi="Times New Roman"/>
          <w:sz w:val="28"/>
          <w:szCs w:val="28"/>
        </w:rPr>
        <w:lastRenderedPageBreak/>
        <w:t>术语</w:t>
      </w:r>
      <w:bookmarkEnd w:id="6"/>
      <w:bookmarkEnd w:id="7"/>
      <w:bookmarkEnd w:id="8"/>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输变电工程</w:t>
      </w:r>
      <w:r w:rsidR="00F73ADA">
        <w:rPr>
          <w:rFonts w:ascii="Times New Roman" w:hAnsi="Times New Roman" w:cs="Times New Roman" w:hint="eastAsia"/>
          <w:color w:val="333333"/>
          <w:sz w:val="21"/>
          <w:szCs w:val="21"/>
          <w:shd w:val="clear" w:color="auto" w:fill="FFFFFF"/>
        </w:rPr>
        <w:t>p</w:t>
      </w:r>
      <w:r w:rsidRPr="00D67FAF">
        <w:rPr>
          <w:rFonts w:ascii="Times New Roman" w:hAnsi="Times New Roman" w:cs="Times New Roman"/>
          <w:color w:val="333333"/>
          <w:sz w:val="21"/>
          <w:szCs w:val="21"/>
          <w:shd w:val="clear" w:color="auto" w:fill="FFFFFF"/>
        </w:rPr>
        <w:t xml:space="preserve">ower </w:t>
      </w:r>
      <w:r w:rsidRPr="00D67FAF">
        <w:rPr>
          <w:rFonts w:ascii="Times New Roman" w:hAnsi="Times New Roman" w:cs="Times New Roman" w:hint="eastAsia"/>
          <w:color w:val="333333"/>
          <w:sz w:val="21"/>
          <w:szCs w:val="21"/>
          <w:shd w:val="clear" w:color="auto" w:fill="FFFFFF"/>
        </w:rPr>
        <w:t>t</w:t>
      </w:r>
      <w:r w:rsidRPr="00D67FAF">
        <w:rPr>
          <w:rFonts w:ascii="Times New Roman" w:hAnsi="Times New Roman" w:cs="Times New Roman"/>
          <w:color w:val="333333"/>
          <w:sz w:val="21"/>
          <w:szCs w:val="21"/>
          <w:shd w:val="clear" w:color="auto" w:fill="FFFFFF"/>
        </w:rPr>
        <w:t xml:space="preserve">ransmission and </w:t>
      </w:r>
      <w:r w:rsidR="00D67FAF" w:rsidRPr="00D67FAF">
        <w:rPr>
          <w:rFonts w:ascii="Times New Roman" w:eastAsiaTheme="minorEastAsia" w:hAnsi="Times New Roman" w:cs="Times New Roman"/>
          <w:kern w:val="2"/>
          <w:sz w:val="21"/>
          <w:szCs w:val="21"/>
        </w:rPr>
        <w:t>substation</w:t>
      </w:r>
      <w:r w:rsidRPr="00D67FAF">
        <w:rPr>
          <w:rFonts w:ascii="Times New Roman" w:hAnsi="Times New Roman" w:cs="Times New Roman"/>
          <w:color w:val="333333"/>
          <w:sz w:val="21"/>
          <w:szCs w:val="21"/>
          <w:shd w:val="clear" w:color="auto" w:fill="FFFFFF"/>
        </w:rPr>
        <w:t xml:space="preserve"> </w:t>
      </w:r>
      <w:r w:rsidR="00F73ADA">
        <w:rPr>
          <w:rFonts w:ascii="Times New Roman" w:hAnsi="Times New Roman" w:cs="Times New Roman" w:hint="eastAsia"/>
          <w:color w:val="333333"/>
          <w:sz w:val="21"/>
          <w:szCs w:val="21"/>
          <w:shd w:val="clear" w:color="auto" w:fill="FFFFFF"/>
        </w:rPr>
        <w:t>p</w:t>
      </w:r>
      <w:r w:rsidRPr="00D67FAF">
        <w:rPr>
          <w:rFonts w:ascii="Times New Roman" w:hAnsi="Times New Roman" w:cs="Times New Roman"/>
          <w:color w:val="333333"/>
          <w:sz w:val="21"/>
          <w:szCs w:val="21"/>
          <w:shd w:val="clear" w:color="auto" w:fill="FFFFFF"/>
        </w:rPr>
        <w:t>roject</w:t>
      </w:r>
    </w:p>
    <w:p w:rsidR="009846C2" w:rsidRDefault="00A433A0">
      <w:pPr>
        <w:widowControl w:val="0"/>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输变电工程是输电线路建设和变</w:t>
      </w:r>
      <w:r w:rsidR="007974B4">
        <w:rPr>
          <w:rFonts w:ascii="Times New Roman" w:eastAsiaTheme="minorEastAsia" w:hAnsi="Times New Roman" w:cs="Times New Roman" w:hint="eastAsia"/>
          <w:kern w:val="2"/>
          <w:sz w:val="21"/>
          <w:szCs w:val="21"/>
        </w:rPr>
        <w:t>电站</w:t>
      </w:r>
      <w:r>
        <w:rPr>
          <w:rFonts w:ascii="Times New Roman" w:eastAsiaTheme="minorEastAsia" w:hAnsi="Times New Roman" w:cs="Times New Roman"/>
          <w:kern w:val="2"/>
          <w:sz w:val="21"/>
          <w:szCs w:val="21"/>
        </w:rPr>
        <w:t>安装工程的统称。</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变电站</w:t>
      </w:r>
      <w:r>
        <w:rPr>
          <w:rFonts w:ascii="Times New Roman" w:eastAsiaTheme="minorEastAsia" w:hAnsi="Times New Roman" w:cs="Times New Roman"/>
          <w:kern w:val="2"/>
          <w:sz w:val="21"/>
          <w:szCs w:val="21"/>
        </w:rPr>
        <w:t xml:space="preserve"> substation</w:t>
      </w:r>
    </w:p>
    <w:p w:rsidR="009846C2" w:rsidRDefault="00A433A0">
      <w:pPr>
        <w:widowControl w:val="0"/>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电力系统的一部分，它集中在一个</w:t>
      </w:r>
      <w:r w:rsidR="007974B4">
        <w:rPr>
          <w:rFonts w:ascii="Times New Roman" w:eastAsiaTheme="minorEastAsia" w:hAnsi="Times New Roman" w:cs="Times New Roman" w:hint="eastAsia"/>
          <w:kern w:val="2"/>
          <w:sz w:val="21"/>
          <w:szCs w:val="21"/>
        </w:rPr>
        <w:t>制</w:t>
      </w:r>
      <w:r>
        <w:rPr>
          <w:rFonts w:ascii="Times New Roman" w:eastAsiaTheme="minorEastAsia" w:hAnsi="Times New Roman" w:cs="Times New Roman"/>
          <w:kern w:val="2"/>
          <w:sz w:val="21"/>
          <w:szCs w:val="21"/>
        </w:rPr>
        <w:t>定的地方，主要包括输电或配电的终端、开关及控制设备、建筑物和变压器。通常包括电力系统安全和控制所需的设施（如保护装置）</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资料审查</w:t>
      </w:r>
      <w:r>
        <w:rPr>
          <w:rFonts w:ascii="Times New Roman" w:eastAsiaTheme="minorEastAsia" w:hAnsi="Times New Roman" w:cs="Times New Roman"/>
          <w:kern w:val="2"/>
          <w:sz w:val="21"/>
          <w:szCs w:val="21"/>
        </w:rPr>
        <w:t xml:space="preserve"> examination of document</w:t>
      </w:r>
    </w:p>
    <w:p w:rsidR="009846C2" w:rsidRDefault="00A433A0">
      <w:pPr>
        <w:widowControl w:val="0"/>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依据消防法律法规，对建设单位的申报材料是否齐全并符合法定形式的检查。</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消防产品</w:t>
      </w:r>
      <w:r>
        <w:rPr>
          <w:rFonts w:ascii="Times New Roman" w:eastAsiaTheme="minorEastAsia" w:hAnsi="Times New Roman" w:cs="Times New Roman"/>
          <w:kern w:val="2"/>
          <w:sz w:val="21"/>
          <w:szCs w:val="21"/>
        </w:rPr>
        <w:t xml:space="preserve"> fire products</w:t>
      </w:r>
    </w:p>
    <w:p w:rsidR="009846C2" w:rsidRDefault="00A433A0">
      <w:pPr>
        <w:widowControl w:val="0"/>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按照消防设计文件，建筑工程中选用的用于火灾预防、灭火救援和火灾防护、避难、逃生等的产品。</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质量证明文件检查</w:t>
      </w:r>
      <w:r>
        <w:rPr>
          <w:rFonts w:ascii="Times New Roman" w:eastAsiaTheme="minorEastAsia" w:hAnsi="Times New Roman" w:cs="Times New Roman"/>
          <w:kern w:val="2"/>
          <w:sz w:val="21"/>
          <w:szCs w:val="21"/>
        </w:rPr>
        <w:t xml:space="preserve"> quality certificate documents checking</w:t>
      </w:r>
    </w:p>
    <w:p w:rsidR="009846C2" w:rsidRDefault="00A433A0">
      <w:pPr>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建筑材料、设备和消防产品的强制性产品认证证书、技术鉴定报告、型式检验报告以及出厂合格证（或质保书）、质量合格证等质量证明文件资料，是否符合相关法律法规、技术标准和产业政策的规定而进行的活动。</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建筑消防设施检测</w:t>
      </w:r>
      <w:r>
        <w:rPr>
          <w:rFonts w:ascii="Times New Roman" w:eastAsiaTheme="minorEastAsia" w:hAnsi="Times New Roman" w:cs="Times New Roman"/>
          <w:kern w:val="2"/>
          <w:sz w:val="21"/>
          <w:szCs w:val="21"/>
        </w:rPr>
        <w:t xml:space="preserve"> testing for fire protection systems of building</w:t>
      </w:r>
    </w:p>
    <w:p w:rsidR="009846C2" w:rsidRDefault="00A433A0">
      <w:pPr>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由专业从事并获得相应资质的技术服务机构，对建筑工程中技术性能较高的建筑消防设施的安装、调试质量进行检验、测试，并出具检测报告所进行的活动。</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子项</w:t>
      </w:r>
      <w:r>
        <w:rPr>
          <w:rFonts w:ascii="Times New Roman" w:eastAsiaTheme="minorEastAsia" w:hAnsi="Times New Roman" w:cs="Times New Roman"/>
          <w:kern w:val="2"/>
          <w:sz w:val="21"/>
          <w:szCs w:val="21"/>
        </w:rPr>
        <w:t xml:space="preserve"> subassembly of fire protection system</w:t>
      </w:r>
    </w:p>
    <w:p w:rsidR="009846C2" w:rsidRDefault="00A433A0">
      <w:pPr>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组成防火设施、灭火系统或使用性能、功能单一并涉及消防安全的项目。</w:t>
      </w:r>
    </w:p>
    <w:p w:rsidR="009846C2" w:rsidRDefault="00A433A0">
      <w:pPr>
        <w:tabs>
          <w:tab w:val="left" w:pos="0"/>
        </w:tabs>
        <w:topLinePunct/>
        <w:spacing w:line="360" w:lineRule="exact"/>
        <w:ind w:firstLineChars="200" w:firstLine="360"/>
        <w:jc w:val="both"/>
        <w:rPr>
          <w:rFonts w:ascii="Times New Roman" w:eastAsiaTheme="minorEastAsia" w:hAnsi="Times New Roman" w:cs="Times New Roman"/>
          <w:kern w:val="2"/>
          <w:sz w:val="18"/>
          <w:szCs w:val="18"/>
        </w:rPr>
      </w:pPr>
      <w:r>
        <w:rPr>
          <w:rFonts w:ascii="Times New Roman" w:eastAsiaTheme="minorEastAsia" w:hAnsi="Times New Roman" w:cs="Times New Roman"/>
          <w:kern w:val="2"/>
          <w:sz w:val="18"/>
          <w:szCs w:val="18"/>
        </w:rPr>
        <w:t>注：如火灾探测器、安全出口、防火门等。</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单项</w:t>
      </w:r>
      <w:r>
        <w:rPr>
          <w:rFonts w:ascii="Times New Roman" w:eastAsiaTheme="minorEastAsia" w:hAnsi="Times New Roman" w:cs="Times New Roman"/>
          <w:kern w:val="2"/>
          <w:sz w:val="21"/>
          <w:szCs w:val="21"/>
        </w:rPr>
        <w:t xml:space="preserve"> individual fire protection system</w:t>
      </w:r>
    </w:p>
    <w:p w:rsidR="009846C2" w:rsidRDefault="00A433A0">
      <w:pPr>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由若干使用性质或功能相近的子项组成并涉及消防安全的项目。</w:t>
      </w:r>
    </w:p>
    <w:p w:rsidR="009846C2" w:rsidRDefault="00A433A0">
      <w:pPr>
        <w:tabs>
          <w:tab w:val="left" w:pos="0"/>
        </w:tabs>
        <w:topLinePunct/>
        <w:spacing w:line="360" w:lineRule="exact"/>
        <w:ind w:firstLineChars="200" w:firstLine="360"/>
        <w:jc w:val="both"/>
        <w:rPr>
          <w:rFonts w:ascii="Times New Roman" w:eastAsiaTheme="minorEastAsia" w:hAnsi="Times New Roman" w:cs="Times New Roman"/>
          <w:kern w:val="2"/>
          <w:sz w:val="18"/>
          <w:szCs w:val="18"/>
        </w:rPr>
      </w:pPr>
      <w:r>
        <w:rPr>
          <w:rFonts w:ascii="Times New Roman" w:eastAsiaTheme="minorEastAsia" w:hAnsi="Times New Roman" w:cs="Times New Roman"/>
          <w:kern w:val="2"/>
          <w:sz w:val="18"/>
          <w:szCs w:val="18"/>
        </w:rPr>
        <w:t>注：如建筑内部装修防火、防火分隔、防烟分隔、消火栓系统、自动喷水灭火系统、火灾自动报警系统等。</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综合评定</w:t>
      </w:r>
      <w:r>
        <w:rPr>
          <w:rFonts w:ascii="Times New Roman" w:eastAsiaTheme="minorEastAsia" w:hAnsi="Times New Roman" w:cs="Times New Roman"/>
          <w:kern w:val="2"/>
          <w:sz w:val="21"/>
          <w:szCs w:val="21"/>
        </w:rPr>
        <w:t xml:space="preserve"> comprehensive assessment</w:t>
      </w:r>
    </w:p>
    <w:p w:rsidR="009846C2" w:rsidRDefault="00A433A0">
      <w:pPr>
        <w:tabs>
          <w:tab w:val="left" w:pos="0"/>
        </w:tabs>
        <w:topLinePunct/>
        <w:spacing w:line="360" w:lineRule="exact"/>
        <w:ind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依据资料审查和各单项检查结果做出的消防验收结论。</w:t>
      </w:r>
    </w:p>
    <w:p w:rsidR="009846C2" w:rsidRDefault="00A433A0">
      <w:pPr>
        <w:widowControl w:val="0"/>
        <w:numPr>
          <w:ilvl w:val="0"/>
          <w:numId w:val="17"/>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现场</w:t>
      </w:r>
      <w:r>
        <w:rPr>
          <w:rFonts w:ascii="Times New Roman" w:eastAsiaTheme="minorEastAsia" w:hAnsi="Times New Roman" w:cs="Times New Roman"/>
          <w:kern w:val="2"/>
          <w:sz w:val="21"/>
          <w:szCs w:val="21"/>
        </w:rPr>
        <w:t>评定</w:t>
      </w:r>
      <w:r w:rsidR="00F73ADA">
        <w:rPr>
          <w:rFonts w:ascii="Times New Roman" w:eastAsiaTheme="minorEastAsia" w:hAnsi="Times New Roman" w:cs="Times New Roman" w:hint="eastAsia"/>
          <w:kern w:val="2"/>
          <w:sz w:val="21"/>
          <w:szCs w:val="21"/>
        </w:rPr>
        <w:t>o</w:t>
      </w:r>
      <w:r>
        <w:rPr>
          <w:rFonts w:ascii="Times New Roman" w:eastAsiaTheme="minorEastAsia" w:hAnsi="Times New Roman" w:cs="Times New Roman"/>
          <w:kern w:val="2"/>
          <w:sz w:val="21"/>
          <w:szCs w:val="21"/>
        </w:rPr>
        <w:t>n-site assessment</w:t>
      </w:r>
    </w:p>
    <w:p w:rsidR="009846C2" w:rsidRDefault="00A433A0">
      <w:pPr>
        <w:widowControl w:val="0"/>
        <w:tabs>
          <w:tab w:val="left" w:pos="0"/>
        </w:tabs>
        <w:topLinePunct/>
        <w:spacing w:line="360" w:lineRule="exact"/>
        <w:ind w:firstLineChars="200" w:firstLine="420"/>
        <w:jc w:val="both"/>
        <w:rPr>
          <w:rFonts w:ascii="Times New Roman" w:hAnsi="Times New Roman" w:cs="Times New Roman"/>
          <w:kern w:val="2"/>
          <w:szCs w:val="21"/>
        </w:rPr>
      </w:pPr>
      <w:r>
        <w:rPr>
          <w:rFonts w:ascii="Times New Roman" w:eastAsiaTheme="minorEastAsia" w:hAnsi="Times New Roman" w:cs="Times New Roman"/>
          <w:kern w:val="2"/>
          <w:sz w:val="21"/>
          <w:szCs w:val="21"/>
        </w:rPr>
        <w:t>现场评定应当依据消防法律法规、国家工程建设消防技术标准和涉及消防的建设工程竣工图纸、消防设计审查意见，对防（灭）火设施的外观进行现场抽样查看；通过专业仪器设备对涉及距离、高度、宽度、长度、面积、厚度等可测量的指标进行现场抽样测量；对消防设施的功能进行抽样测试、联调联试消防设施的系统功能等。</w:t>
      </w:r>
    </w:p>
    <w:p w:rsidR="009846C2" w:rsidRDefault="009846C2">
      <w:pPr>
        <w:tabs>
          <w:tab w:val="left" w:pos="0"/>
        </w:tabs>
        <w:topLinePunct/>
        <w:spacing w:line="360" w:lineRule="exact"/>
        <w:ind w:firstLineChars="200" w:firstLine="440"/>
        <w:rPr>
          <w:rFonts w:ascii="Times New Roman" w:hAnsi="Times New Roman" w:cs="Times New Roman"/>
          <w:kern w:val="2"/>
          <w:szCs w:val="21"/>
        </w:rPr>
      </w:pPr>
    </w:p>
    <w:p w:rsidR="009846C2" w:rsidRDefault="009846C2">
      <w:pPr>
        <w:tabs>
          <w:tab w:val="left" w:pos="0"/>
        </w:tabs>
        <w:topLinePunct/>
        <w:spacing w:line="360" w:lineRule="auto"/>
        <w:ind w:firstLineChars="200" w:firstLine="440"/>
        <w:rPr>
          <w:rFonts w:ascii="Times New Roman" w:hAnsi="Times New Roman" w:cs="Times New Roman"/>
          <w:kern w:val="2"/>
          <w:szCs w:val="21"/>
        </w:rPr>
      </w:pPr>
    </w:p>
    <w:p w:rsidR="009846C2" w:rsidRDefault="009846C2">
      <w:pPr>
        <w:tabs>
          <w:tab w:val="left" w:pos="0"/>
        </w:tabs>
        <w:topLinePunct/>
        <w:spacing w:line="360" w:lineRule="auto"/>
        <w:ind w:firstLineChars="200" w:firstLine="440"/>
        <w:rPr>
          <w:rFonts w:ascii="Times New Roman" w:hAnsi="Times New Roman" w:cs="Times New Roman"/>
          <w:kern w:val="2"/>
          <w:szCs w:val="21"/>
        </w:rPr>
        <w:sectPr w:rsidR="009846C2">
          <w:pgSz w:w="7938" w:h="11510"/>
          <w:pgMar w:top="1247" w:right="1021" w:bottom="907" w:left="1021" w:header="851" w:footer="935" w:gutter="0"/>
          <w:cols w:space="720"/>
          <w:docGrid w:linePitch="312"/>
        </w:sectPr>
      </w:pPr>
      <w:bookmarkStart w:id="9" w:name="_Toc532755637"/>
      <w:bookmarkStart w:id="10" w:name="_Toc525982031"/>
    </w:p>
    <w:bookmarkEnd w:id="9"/>
    <w:bookmarkEnd w:id="10"/>
    <w:p w:rsidR="009846C2" w:rsidRDefault="00A433A0">
      <w:pPr>
        <w:pStyle w:val="a8"/>
        <w:numPr>
          <w:ilvl w:val="0"/>
          <w:numId w:val="15"/>
        </w:numPr>
        <w:tabs>
          <w:tab w:val="left" w:pos="220"/>
        </w:tabs>
        <w:topLinePunct/>
        <w:spacing w:beforeLines="100" w:after="100" w:afterAutospacing="1"/>
        <w:ind w:left="0" w:firstLine="0"/>
        <w:rPr>
          <w:rFonts w:ascii="Times New Roman" w:hAnsi="Times New Roman"/>
          <w:bCs w:val="0"/>
          <w:sz w:val="28"/>
          <w:szCs w:val="28"/>
        </w:rPr>
      </w:pPr>
      <w:r>
        <w:rPr>
          <w:rFonts w:ascii="Times New Roman" w:eastAsiaTheme="minorEastAsia" w:hAnsi="Times New Roman"/>
          <w:sz w:val="28"/>
          <w:szCs w:val="28"/>
        </w:rPr>
        <w:lastRenderedPageBreak/>
        <w:t>基本规定</w:t>
      </w:r>
    </w:p>
    <w:p w:rsidR="009846C2" w:rsidRDefault="00A433A0">
      <w:pPr>
        <w:pStyle w:val="31"/>
        <w:numPr>
          <w:ilvl w:val="1"/>
          <w:numId w:val="18"/>
        </w:numPr>
        <w:topLinePunct/>
        <w:spacing w:before="100" w:beforeAutospacing="1" w:after="100" w:afterAutospacing="1" w:line="360" w:lineRule="exact"/>
        <w:ind w:left="0" w:firstLineChars="0" w:firstLine="0"/>
        <w:jc w:val="center"/>
        <w:outlineLvl w:val="1"/>
        <w:rPr>
          <w:rFonts w:eastAsiaTheme="minorEastAsia"/>
          <w:b/>
          <w:bCs/>
          <w:sz w:val="32"/>
          <w:szCs w:val="20"/>
        </w:rPr>
      </w:pPr>
      <w:r>
        <w:rPr>
          <w:rFonts w:eastAsiaTheme="minorEastAsia"/>
          <w:b/>
          <w:szCs w:val="21"/>
        </w:rPr>
        <w:t>一般规定</w:t>
      </w:r>
    </w:p>
    <w:p w:rsidR="009846C2" w:rsidRDefault="00A433A0">
      <w:pPr>
        <w:widowControl w:val="0"/>
        <w:numPr>
          <w:ilvl w:val="0"/>
          <w:numId w:val="19"/>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bCs/>
          <w:kern w:val="2"/>
          <w:sz w:val="21"/>
          <w:szCs w:val="21"/>
        </w:rPr>
        <w:t>输变电工程消防验收应在工程消防设施全部施工完毕并检测、竣工验收合格后，建设单位再到</w:t>
      </w:r>
      <w:r>
        <w:rPr>
          <w:rFonts w:ascii="Times New Roman" w:eastAsiaTheme="minorEastAsia" w:hAnsi="Times New Roman" w:cs="Times New Roman" w:hint="eastAsia"/>
          <w:bCs/>
          <w:kern w:val="2"/>
          <w:sz w:val="21"/>
          <w:szCs w:val="21"/>
        </w:rPr>
        <w:t>该建设工程所在行政区域消防设计审查验收主管部门</w:t>
      </w:r>
      <w:r>
        <w:rPr>
          <w:rFonts w:ascii="Times New Roman" w:eastAsiaTheme="minorEastAsia" w:hAnsi="Times New Roman" w:cs="Times New Roman"/>
          <w:bCs/>
          <w:kern w:val="2"/>
          <w:sz w:val="21"/>
          <w:szCs w:val="21"/>
        </w:rPr>
        <w:t>申请消防验收。</w:t>
      </w:r>
    </w:p>
    <w:p w:rsidR="009846C2" w:rsidRDefault="00A433A0">
      <w:pPr>
        <w:widowControl w:val="0"/>
        <w:numPr>
          <w:ilvl w:val="0"/>
          <w:numId w:val="19"/>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现场评定时，建设、设计、施工、工程监理、技术服务机构等相关单位应当到现场予以配合。</w:t>
      </w:r>
    </w:p>
    <w:p w:rsidR="009846C2" w:rsidRDefault="00A433A0">
      <w:pPr>
        <w:widowControl w:val="0"/>
        <w:numPr>
          <w:ilvl w:val="0"/>
          <w:numId w:val="19"/>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现场评定验收后，应按照《输变电工程消防验收情况记录表》（见附录</w:t>
      </w:r>
      <w:r>
        <w:rPr>
          <w:rFonts w:ascii="Times New Roman" w:eastAsiaTheme="minorEastAsia" w:hAnsi="Times New Roman" w:cs="Times New Roman"/>
          <w:kern w:val="2"/>
          <w:sz w:val="21"/>
          <w:szCs w:val="21"/>
        </w:rPr>
        <w:t>A</w:t>
      </w:r>
      <w:r>
        <w:rPr>
          <w:rFonts w:ascii="Times New Roman" w:eastAsiaTheme="minorEastAsia" w:hAnsi="Times New Roman" w:cs="Times New Roman"/>
          <w:kern w:val="2"/>
          <w:sz w:val="21"/>
          <w:szCs w:val="21"/>
        </w:rPr>
        <w:t>）的内容如实记录验收结果。</w:t>
      </w:r>
    </w:p>
    <w:p w:rsidR="009846C2" w:rsidRDefault="00A433A0">
      <w:pPr>
        <w:pStyle w:val="31"/>
        <w:numPr>
          <w:ilvl w:val="1"/>
          <w:numId w:val="18"/>
        </w:numPr>
        <w:topLinePunct/>
        <w:spacing w:before="100" w:beforeAutospacing="1" w:after="100" w:afterAutospacing="1" w:line="360" w:lineRule="exact"/>
        <w:ind w:left="0" w:firstLineChars="0" w:firstLine="0"/>
        <w:jc w:val="center"/>
        <w:outlineLvl w:val="1"/>
        <w:rPr>
          <w:rFonts w:eastAsia="黑体"/>
          <w:szCs w:val="21"/>
        </w:rPr>
      </w:pPr>
      <w:r>
        <w:rPr>
          <w:rFonts w:eastAsia="黑体"/>
          <w:szCs w:val="21"/>
        </w:rPr>
        <w:t>验收内容</w:t>
      </w:r>
    </w:p>
    <w:p w:rsidR="009846C2" w:rsidRDefault="00A433A0">
      <w:pPr>
        <w:widowControl w:val="0"/>
        <w:numPr>
          <w:ilvl w:val="0"/>
          <w:numId w:val="20"/>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资料审查包括：</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建设工程消防验收申报表；</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工程竣工验收报告和涉及消防的建设工程竣工图纸以及相关隐蔽工程施工和验收资料；</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消防产品市场准入证明文件；</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具有防火性能要求的装修材料符合国家标准或行业标准的证明文件；</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消防设施检测合格证明文件；</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建设单位的工商营业执照等合法身份证明文件；</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施工、工程监理、消防技术服务机构的合法身份证明和资质等级证明文件；</w:t>
      </w:r>
    </w:p>
    <w:p w:rsidR="009846C2" w:rsidRDefault="00A433A0">
      <w:pPr>
        <w:widowControl w:val="0"/>
        <w:numPr>
          <w:ilvl w:val="0"/>
          <w:numId w:val="2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建设工程消防设计审查合格文件，特殊消防设计文件专家评审意见，消防设计技术审查意见和消防设计变更情况。</w:t>
      </w:r>
    </w:p>
    <w:p w:rsidR="009846C2" w:rsidRDefault="00A433A0">
      <w:pPr>
        <w:widowControl w:val="0"/>
        <w:numPr>
          <w:ilvl w:val="0"/>
          <w:numId w:val="20"/>
        </w:numPr>
        <w:topLinePunct/>
        <w:spacing w:line="360" w:lineRule="exact"/>
        <w:ind w:left="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现场评定内容包括：</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建筑类别与耐火等级；</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总平面布局，应当包括防火间距、消防车道等项目；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平面布置；应当包括消防控制室、消防水泵房等建设工程消防用房的布置；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建筑外墙、屋面保温和建筑外墙装饰；</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内部装修防火，应当包括装修情况，纺织织物、木质材料、高分子合成材料、复合材料及其他材料的防火性能，用电装置发热情况和周围材料的燃烧性能和防火隔热、散热措施，对消防设施的影响，对疏散设施的影响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防火分隔；应当包括防火分区，防火墙，防火门、窗，竖向管道井、其他有防火分隔要求的部位等项目；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防爆，应当包括泄压设施，以及防静电、防积聚、防流散等措施；</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安全疏散，应当包括安全出口、疏散门、疏散走道、消防应急照明和疏散指示标志等项目；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消防电梯；</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消火栓系统，应当包括供水水源、消防水池、消防水泵、管网、室内外消火栓、系统功能等项目；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自动喷水灭火系统，应当包括供水水源、消防水池、消防水泵、报警阀组、喷头、系统功能等项目；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泡沫灭火系统，应当包括泡沫灭火系统防护区、以及泡沫比例混合、泡沫发生装置等项目；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气体灭火系统的系统功能；</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火灾自动报警系统，应当包括系统形式、火灾探测器的报警功能、系统功能、以及火灾报警控制器、联动设备和消防控制室图形显示装置等项目；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防排烟系统及通风、空调系统防火，包括系统设置、排烟风机、管道、系统功能等项目；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消防电气，应当包括消防电源、变配电房、消防配电、用电设施等项目；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建筑灭火器，应当包括种类、数量、配置、布置等项目；</w:t>
      </w:r>
    </w:p>
    <w:p w:rsidR="009846C2" w:rsidRDefault="00A433A0">
      <w:pPr>
        <w:widowControl w:val="0"/>
        <w:numPr>
          <w:ilvl w:val="0"/>
          <w:numId w:val="22"/>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其他国家工程建设消防技术标准强制性条文规定的项目，以及带有</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严禁</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必须</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应</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不应</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不得</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要求的非强制性条文规定的项目。</w:t>
      </w:r>
    </w:p>
    <w:p w:rsidR="009846C2" w:rsidRDefault="00A433A0">
      <w:pPr>
        <w:pStyle w:val="31"/>
        <w:numPr>
          <w:ilvl w:val="1"/>
          <w:numId w:val="18"/>
        </w:numPr>
        <w:topLinePunct/>
        <w:spacing w:before="100" w:beforeAutospacing="1" w:after="100" w:afterAutospacing="1" w:line="360" w:lineRule="exact"/>
        <w:ind w:left="0" w:firstLineChars="0" w:firstLine="0"/>
        <w:jc w:val="center"/>
        <w:outlineLvl w:val="1"/>
        <w:rPr>
          <w:rFonts w:eastAsia="黑体"/>
          <w:szCs w:val="21"/>
        </w:rPr>
      </w:pPr>
      <w:r>
        <w:rPr>
          <w:rFonts w:eastAsia="黑体"/>
          <w:szCs w:val="21"/>
        </w:rPr>
        <w:t>验收结果评定</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现场评定应按照先子项评定，后单项评定的程序进行，最后进行综合评定。</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子项按其影响输变电工程消防安全的重要程度分为</w:t>
      </w:r>
      <w:r>
        <w:rPr>
          <w:rFonts w:ascii="Times New Roman" w:eastAsiaTheme="minorEastAsia" w:hAnsi="Times New Roman" w:cs="Times New Roman"/>
          <w:kern w:val="2"/>
          <w:sz w:val="21"/>
          <w:szCs w:val="21"/>
        </w:rPr>
        <w:t>A</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B</w:t>
      </w:r>
      <w:r>
        <w:rPr>
          <w:rFonts w:ascii="Times New Roman" w:eastAsiaTheme="minorEastAsia" w:hAnsi="Times New Roman" w:cs="Times New Roman"/>
          <w:kern w:val="2"/>
          <w:sz w:val="21"/>
          <w:szCs w:val="21"/>
        </w:rPr>
        <w:t>两类，分类标准如下：</w:t>
      </w:r>
    </w:p>
    <w:p w:rsidR="009846C2" w:rsidRDefault="00A433A0">
      <w:pPr>
        <w:widowControl w:val="0"/>
        <w:numPr>
          <w:ilvl w:val="0"/>
          <w:numId w:val="24"/>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A</w:t>
      </w:r>
      <w:r>
        <w:rPr>
          <w:rFonts w:ascii="Times New Roman" w:eastAsiaTheme="minorEastAsia" w:hAnsi="Times New Roman" w:cs="Times New Roman"/>
          <w:kern w:val="2"/>
          <w:sz w:val="21"/>
          <w:szCs w:val="21"/>
        </w:rPr>
        <w:t>类是指国家工程建设消防技术标准强制性条文规定的内容；</w:t>
      </w:r>
    </w:p>
    <w:p w:rsidR="009846C2" w:rsidRDefault="00A433A0">
      <w:pPr>
        <w:widowControl w:val="0"/>
        <w:numPr>
          <w:ilvl w:val="0"/>
          <w:numId w:val="24"/>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B</w:t>
      </w:r>
      <w:r>
        <w:rPr>
          <w:rFonts w:ascii="Times New Roman" w:eastAsiaTheme="minorEastAsia" w:hAnsi="Times New Roman" w:cs="Times New Roman"/>
          <w:kern w:val="2"/>
          <w:sz w:val="21"/>
          <w:szCs w:val="21"/>
        </w:rPr>
        <w:t>类是指国家工程建设消防技术标准中带有</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严禁</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必须</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应</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不应</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不得</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要求的非强制性条文规定的内容。</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子项的现场评定，应符合以下要求：</w:t>
      </w:r>
    </w:p>
    <w:p w:rsidR="009846C2" w:rsidRDefault="00A433A0">
      <w:pPr>
        <w:widowControl w:val="0"/>
        <w:numPr>
          <w:ilvl w:val="0"/>
          <w:numId w:val="25"/>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每一项的抽样数量不少于</w:t>
      </w:r>
      <w:r>
        <w:rPr>
          <w:rFonts w:ascii="Times New Roman" w:eastAsiaTheme="minorEastAsia" w:hAnsi="Times New Roman" w:cs="Times New Roman"/>
          <w:kern w:val="2"/>
          <w:sz w:val="21"/>
          <w:szCs w:val="21"/>
        </w:rPr>
        <w:t>2</w:t>
      </w:r>
      <w:r>
        <w:rPr>
          <w:rFonts w:ascii="Times New Roman" w:eastAsiaTheme="minorEastAsia" w:hAnsi="Times New Roman" w:cs="Times New Roman"/>
          <w:kern w:val="2"/>
          <w:sz w:val="21"/>
          <w:szCs w:val="21"/>
        </w:rPr>
        <w:t>处，当总数不大于</w:t>
      </w:r>
      <w:r>
        <w:rPr>
          <w:rFonts w:ascii="Times New Roman" w:eastAsiaTheme="minorEastAsia" w:hAnsi="Times New Roman" w:cs="Times New Roman"/>
          <w:kern w:val="2"/>
          <w:sz w:val="21"/>
          <w:szCs w:val="21"/>
        </w:rPr>
        <w:t>2</w:t>
      </w:r>
      <w:r>
        <w:rPr>
          <w:rFonts w:ascii="Times New Roman" w:eastAsiaTheme="minorEastAsia" w:hAnsi="Times New Roman" w:cs="Times New Roman"/>
          <w:kern w:val="2"/>
          <w:sz w:val="21"/>
          <w:szCs w:val="21"/>
        </w:rPr>
        <w:t>处时，</w:t>
      </w:r>
      <w:r>
        <w:rPr>
          <w:rFonts w:ascii="Times New Roman" w:eastAsiaTheme="minorEastAsia" w:hAnsi="Times New Roman" w:cs="Times New Roman"/>
          <w:kern w:val="2"/>
          <w:sz w:val="21"/>
          <w:szCs w:val="21"/>
        </w:rPr>
        <w:lastRenderedPageBreak/>
        <w:t>全部检查；</w:t>
      </w:r>
    </w:p>
    <w:p w:rsidR="009846C2" w:rsidRDefault="00A433A0">
      <w:pPr>
        <w:widowControl w:val="0"/>
        <w:numPr>
          <w:ilvl w:val="0"/>
          <w:numId w:val="25"/>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防火间距、消防车道的设置及安全出口的形式和数量应全部检查。</w:t>
      </w:r>
    </w:p>
    <w:p w:rsidR="009846C2" w:rsidRDefault="00A433A0">
      <w:pPr>
        <w:widowControl w:val="0"/>
        <w:numPr>
          <w:ilvl w:val="0"/>
          <w:numId w:val="25"/>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子项的检查内容涉及抽查消防产品的，应对检查内容中至少一个品种的消防产品进行抽查，核对其市场准入证明文件。</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子项评定时，下列情况评定为合格：</w:t>
      </w:r>
    </w:p>
    <w:p w:rsidR="009846C2" w:rsidRDefault="00A433A0">
      <w:pPr>
        <w:widowControl w:val="0"/>
        <w:numPr>
          <w:ilvl w:val="0"/>
          <w:numId w:val="26"/>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子项内容符合消防技术标准和消防设计文件要求；</w:t>
      </w:r>
    </w:p>
    <w:p w:rsidR="009846C2" w:rsidRDefault="00A433A0">
      <w:pPr>
        <w:widowControl w:val="0"/>
        <w:numPr>
          <w:ilvl w:val="0"/>
          <w:numId w:val="26"/>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有距离、宽度、长度、面积等数值要求的子项，其测量数值与设计图纸标示数值误差不超过</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，且不影响正常使用；</w:t>
      </w:r>
    </w:p>
    <w:p w:rsidR="009846C2" w:rsidRDefault="00A433A0">
      <w:pPr>
        <w:widowControl w:val="0"/>
        <w:numPr>
          <w:ilvl w:val="0"/>
          <w:numId w:val="26"/>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子项名称为系统功能的，系统主要功能满足设计文件要求并能正常实现。</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子项评定时，下列情况评定为不合格：</w:t>
      </w:r>
    </w:p>
    <w:p w:rsidR="009846C2" w:rsidRDefault="00A433A0">
      <w:pPr>
        <w:widowControl w:val="0"/>
        <w:numPr>
          <w:ilvl w:val="0"/>
          <w:numId w:val="27"/>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子项抽查中，</w:t>
      </w:r>
      <w:r>
        <w:rPr>
          <w:rFonts w:ascii="Times New Roman" w:eastAsiaTheme="minorEastAsia" w:hAnsi="Times New Roman" w:cs="Times New Roman"/>
          <w:kern w:val="2"/>
          <w:sz w:val="21"/>
          <w:szCs w:val="21"/>
        </w:rPr>
        <w:t>A</w:t>
      </w:r>
      <w:r>
        <w:rPr>
          <w:rFonts w:ascii="Times New Roman" w:eastAsiaTheme="minorEastAsia" w:hAnsi="Times New Roman" w:cs="Times New Roman"/>
          <w:kern w:val="2"/>
          <w:sz w:val="21"/>
          <w:szCs w:val="21"/>
        </w:rPr>
        <w:t>类或</w:t>
      </w:r>
      <w:r>
        <w:rPr>
          <w:rFonts w:ascii="Times New Roman" w:eastAsiaTheme="minorEastAsia" w:hAnsi="Times New Roman" w:cs="Times New Roman"/>
          <w:kern w:val="2"/>
          <w:sz w:val="21"/>
          <w:szCs w:val="21"/>
        </w:rPr>
        <w:t>B</w:t>
      </w:r>
      <w:r>
        <w:rPr>
          <w:rFonts w:ascii="Times New Roman" w:eastAsiaTheme="minorEastAsia" w:hAnsi="Times New Roman" w:cs="Times New Roman"/>
          <w:kern w:val="2"/>
          <w:sz w:val="21"/>
          <w:szCs w:val="21"/>
        </w:rPr>
        <w:t>类项抽查到</w:t>
      </w:r>
      <w:r>
        <w:rPr>
          <w:rFonts w:ascii="Times New Roman" w:eastAsiaTheme="minorEastAsia" w:hAnsi="Times New Roman" w:cs="Times New Roman"/>
          <w:kern w:val="2"/>
          <w:sz w:val="21"/>
          <w:szCs w:val="21"/>
        </w:rPr>
        <w:t>1</w:t>
      </w:r>
      <w:r>
        <w:rPr>
          <w:rFonts w:ascii="Times New Roman" w:eastAsiaTheme="minorEastAsia" w:hAnsi="Times New Roman" w:cs="Times New Roman"/>
          <w:kern w:val="2"/>
          <w:sz w:val="21"/>
          <w:szCs w:val="21"/>
        </w:rPr>
        <w:t>处不合格的，该项评定为不合格；</w:t>
      </w:r>
    </w:p>
    <w:p w:rsidR="009846C2" w:rsidRDefault="00A433A0">
      <w:pPr>
        <w:widowControl w:val="0"/>
        <w:numPr>
          <w:ilvl w:val="0"/>
          <w:numId w:val="27"/>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消防材料未提供燃烧性能等级合格资料或经核对与资料审查不符；</w:t>
      </w:r>
    </w:p>
    <w:p w:rsidR="009846C2" w:rsidRDefault="00A433A0">
      <w:pPr>
        <w:widowControl w:val="0"/>
        <w:numPr>
          <w:ilvl w:val="0"/>
          <w:numId w:val="27"/>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未按照消防设计文件施工，造成子项内容缺少或与设计文件严重不符；</w:t>
      </w:r>
    </w:p>
    <w:p w:rsidR="009846C2" w:rsidRDefault="00A433A0">
      <w:pPr>
        <w:widowControl w:val="0"/>
        <w:numPr>
          <w:ilvl w:val="0"/>
          <w:numId w:val="27"/>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抽查的消防产品与其市场准入证明文件不一致。</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单项评定的检查内容包括：</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建筑类别与耐火等级；</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总平面布局；</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平面布置；</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安全疏散；</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建筑构造；</w:t>
      </w:r>
    </w:p>
    <w:p w:rsidR="009846C2" w:rsidRDefault="001A28A3">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建筑内部装修</w:t>
      </w:r>
      <w:r w:rsidR="00A433A0">
        <w:rPr>
          <w:rFonts w:ascii="Times New Roman" w:eastAsiaTheme="minorEastAsia" w:hAnsi="Times New Roman" w:cs="Times New Roman"/>
          <w:kern w:val="2"/>
          <w:sz w:val="21"/>
          <w:szCs w:val="21"/>
        </w:rPr>
        <w:t>；</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变压器及其他带油设备防火；</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消防给水及消火栓系统；</w:t>
      </w:r>
      <w:r>
        <w:rPr>
          <w:rFonts w:ascii="Times New Roman" w:eastAsiaTheme="minorEastAsia" w:hAnsi="Times New Roman" w:cs="Times New Roman"/>
          <w:kern w:val="2"/>
          <w:sz w:val="21"/>
          <w:szCs w:val="21"/>
        </w:rPr>
        <w:t xml:space="preserve"> </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水喷雾、细水雾、自动喷水灭火系统；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泡沫灭火系统；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气体灭火系统；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排油注氮灭火系统；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超细干粉灭火系统；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建筑灭火器；</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通风、空气调节及防排烟系统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消防电源及其配电；</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消防应急照明和疏散指示系统；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火灾自动报警系统；</w:t>
      </w:r>
    </w:p>
    <w:p w:rsidR="009846C2" w:rsidRDefault="00A433A0">
      <w:pPr>
        <w:widowControl w:val="0"/>
        <w:numPr>
          <w:ilvl w:val="0"/>
          <w:numId w:val="28"/>
        </w:numPr>
        <w:tabs>
          <w:tab w:val="left" w:pos="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电力线路。</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单项评定分为合格与不合格。该单项所含子项评定结果均合格的，评定该单项为合格，否则为不合格。</w:t>
      </w:r>
    </w:p>
    <w:p w:rsidR="009846C2" w:rsidRDefault="00A433A0">
      <w:pPr>
        <w:pStyle w:val="af1"/>
        <w:numPr>
          <w:ilvl w:val="0"/>
          <w:numId w:val="23"/>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综合评定：所有单项评定结果均合格且资料审查合格的，综合评定输变电工程消防验收评定合格，否则为不合格。</w:t>
      </w:r>
    </w:p>
    <w:p w:rsidR="009846C2" w:rsidRDefault="009846C2">
      <w:pPr>
        <w:tabs>
          <w:tab w:val="left" w:pos="0"/>
        </w:tabs>
        <w:topLinePunct/>
        <w:spacing w:line="360" w:lineRule="exact"/>
        <w:jc w:val="both"/>
        <w:rPr>
          <w:rFonts w:ascii="Times New Roman" w:eastAsiaTheme="minorEastAsia" w:hAnsi="Times New Roman" w:cs="Times New Roman"/>
          <w:kern w:val="2"/>
          <w:sz w:val="21"/>
          <w:szCs w:val="21"/>
        </w:rPr>
      </w:pPr>
    </w:p>
    <w:p w:rsidR="009846C2" w:rsidRDefault="009846C2">
      <w:pPr>
        <w:tabs>
          <w:tab w:val="left" w:pos="0"/>
        </w:tabs>
        <w:topLinePunct/>
        <w:spacing w:line="360" w:lineRule="exact"/>
        <w:jc w:val="both"/>
        <w:rPr>
          <w:rFonts w:ascii="Times New Roman" w:eastAsiaTheme="minorEastAsia" w:hAnsi="Times New Roman" w:cs="Times New Roman"/>
          <w:kern w:val="2"/>
          <w:sz w:val="21"/>
          <w:szCs w:val="21"/>
        </w:rPr>
      </w:pPr>
    </w:p>
    <w:p w:rsidR="009846C2" w:rsidRDefault="009846C2">
      <w:pPr>
        <w:tabs>
          <w:tab w:val="left" w:pos="0"/>
        </w:tabs>
        <w:topLinePunct/>
        <w:spacing w:line="360" w:lineRule="exact"/>
        <w:jc w:val="both"/>
        <w:rPr>
          <w:rFonts w:ascii="Times New Roman" w:eastAsiaTheme="minorEastAsia" w:hAnsi="Times New Roman" w:cs="Times New Roman"/>
          <w:kern w:val="2"/>
          <w:sz w:val="21"/>
          <w:szCs w:val="21"/>
        </w:rPr>
        <w:sectPr w:rsidR="009846C2">
          <w:pgSz w:w="7938" w:h="11510"/>
          <w:pgMar w:top="1247" w:right="1021" w:bottom="907" w:left="1021" w:header="708" w:footer="708" w:gutter="0"/>
          <w:cols w:space="708"/>
          <w:docGrid w:linePitch="360"/>
        </w:sectPr>
      </w:pPr>
    </w:p>
    <w:p w:rsidR="009846C2" w:rsidRDefault="00A433A0">
      <w:pPr>
        <w:pStyle w:val="a8"/>
        <w:numPr>
          <w:ilvl w:val="0"/>
          <w:numId w:val="15"/>
        </w:numPr>
        <w:tabs>
          <w:tab w:val="left" w:pos="220"/>
        </w:tabs>
        <w:topLinePunct/>
        <w:spacing w:beforeLines="100" w:after="100" w:afterAutospacing="1"/>
        <w:ind w:left="0" w:firstLine="0"/>
        <w:rPr>
          <w:rFonts w:ascii="Times New Roman" w:hAnsi="Times New Roman"/>
          <w:sz w:val="28"/>
          <w:szCs w:val="28"/>
        </w:rPr>
      </w:pPr>
      <w:bookmarkStart w:id="11" w:name="_Toc8745864"/>
      <w:bookmarkStart w:id="12" w:name="_Hlk45896783"/>
      <w:r>
        <w:rPr>
          <w:rFonts w:ascii="Times New Roman" w:hAnsi="Times New Roman"/>
          <w:bCs w:val="0"/>
          <w:sz w:val="28"/>
          <w:szCs w:val="28"/>
        </w:rPr>
        <w:lastRenderedPageBreak/>
        <w:t>建筑防火</w:t>
      </w:r>
    </w:p>
    <w:bookmarkEnd w:id="11"/>
    <w:bookmarkEnd w:id="12"/>
    <w:p w:rsidR="009846C2" w:rsidRDefault="00A433A0">
      <w:pPr>
        <w:pStyle w:val="31"/>
        <w:numPr>
          <w:ilvl w:val="0"/>
          <w:numId w:val="29"/>
        </w:numPr>
        <w:tabs>
          <w:tab w:val="left" w:pos="0"/>
        </w:tabs>
        <w:topLinePunct/>
        <w:spacing w:before="100" w:beforeAutospacing="1" w:after="100" w:afterAutospacing="1" w:line="360" w:lineRule="exact"/>
        <w:ind w:left="0" w:firstLineChars="0" w:firstLine="0"/>
        <w:jc w:val="center"/>
        <w:outlineLvl w:val="1"/>
        <w:rPr>
          <w:rFonts w:eastAsia="黑体"/>
          <w:szCs w:val="21"/>
        </w:rPr>
      </w:pPr>
      <w:r>
        <w:rPr>
          <w:rFonts w:eastAsia="黑体"/>
          <w:szCs w:val="21"/>
        </w:rPr>
        <w:t>一般规定</w:t>
      </w:r>
    </w:p>
    <w:p w:rsidR="009846C2" w:rsidRDefault="00A433A0">
      <w:pPr>
        <w:pStyle w:val="af1"/>
        <w:widowControl w:val="0"/>
        <w:numPr>
          <w:ilvl w:val="0"/>
          <w:numId w:val="30"/>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本章适用于建筑总平面布局、平面布置、安全疏散、建筑构造、</w:t>
      </w:r>
      <w:r w:rsidR="001A28A3">
        <w:rPr>
          <w:rFonts w:ascii="Times New Roman" w:eastAsiaTheme="minorEastAsia" w:hAnsi="Times New Roman" w:cs="Times New Roman"/>
          <w:kern w:val="2"/>
          <w:sz w:val="21"/>
          <w:szCs w:val="21"/>
        </w:rPr>
        <w:t>建筑内部装修</w:t>
      </w:r>
      <w:r>
        <w:rPr>
          <w:rFonts w:ascii="Times New Roman" w:eastAsiaTheme="minorEastAsia" w:hAnsi="Times New Roman" w:cs="Times New Roman"/>
          <w:kern w:val="2"/>
          <w:sz w:val="21"/>
          <w:szCs w:val="21"/>
        </w:rPr>
        <w:t>、变压器及其他带油电气设备防火消防工程施工质量验收。</w:t>
      </w:r>
    </w:p>
    <w:p w:rsidR="009846C2" w:rsidRDefault="00A433A0">
      <w:pPr>
        <w:pStyle w:val="af1"/>
        <w:widowControl w:val="0"/>
        <w:numPr>
          <w:ilvl w:val="0"/>
          <w:numId w:val="30"/>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建（构）筑物的火灾危险性应根据生产中使用或产生的物质性质及其数量等因素分类，应符合表</w:t>
      </w:r>
      <w:r>
        <w:rPr>
          <w:rFonts w:ascii="Times New Roman" w:eastAsiaTheme="minorEastAsia" w:hAnsi="Times New Roman" w:cs="Times New Roman"/>
          <w:kern w:val="2"/>
          <w:sz w:val="21"/>
          <w:szCs w:val="21"/>
        </w:rPr>
        <w:t>4.1.2</w:t>
      </w:r>
      <w:r>
        <w:rPr>
          <w:rFonts w:ascii="Times New Roman" w:eastAsiaTheme="minorEastAsia" w:hAnsi="Times New Roman" w:cs="Times New Roman"/>
          <w:kern w:val="2"/>
          <w:sz w:val="21"/>
          <w:szCs w:val="21"/>
        </w:rPr>
        <w:t>的规定</w:t>
      </w:r>
      <w:r>
        <w:rPr>
          <w:rStyle w:val="af0"/>
          <w:rFonts w:ascii="Times New Roman" w:eastAsiaTheme="minorEastAsia" w:hAnsi="Times New Roman" w:cs="Times New Roman"/>
          <w:kern w:val="2"/>
        </w:rPr>
        <w:t>，</w:t>
      </w:r>
      <w:r>
        <w:rPr>
          <w:rFonts w:ascii="Times New Roman" w:eastAsiaTheme="minorEastAsia" w:hAnsi="Times New Roman" w:cs="Times New Roman"/>
          <w:kern w:val="2"/>
          <w:sz w:val="21"/>
          <w:szCs w:val="21"/>
        </w:rPr>
        <w:t>检查验收方法为资料核查、现场检查。</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黑体" w:cs="Times New Roman"/>
          <w:kern w:val="2"/>
          <w:sz w:val="18"/>
          <w:szCs w:val="18"/>
        </w:rPr>
        <w:t>表</w:t>
      </w:r>
      <w:r>
        <w:rPr>
          <w:rFonts w:ascii="Times New Roman" w:eastAsia="黑体" w:hAnsi="Times New Roman" w:cs="Times New Roman"/>
          <w:b/>
          <w:kern w:val="2"/>
          <w:sz w:val="18"/>
          <w:szCs w:val="18"/>
        </w:rPr>
        <w:t>4.1.2</w:t>
      </w:r>
      <w:r>
        <w:rPr>
          <w:rFonts w:ascii="Times New Roman" w:eastAsia="黑体" w:hAnsi="Times New Roman" w:cs="Times New Roman"/>
          <w:kern w:val="2"/>
          <w:sz w:val="18"/>
          <w:szCs w:val="18"/>
        </w:rPr>
        <w:t xml:space="preserve">  </w:t>
      </w:r>
      <w:r>
        <w:rPr>
          <w:rFonts w:ascii="Times New Roman" w:eastAsia="黑体" w:hAnsi="黑体" w:cs="Times New Roman"/>
          <w:kern w:val="2"/>
          <w:sz w:val="18"/>
          <w:szCs w:val="18"/>
        </w:rPr>
        <w:t>建（构）筑物的火灾危险性分类及其耐火等级</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39"/>
        <w:gridCol w:w="1950"/>
        <w:gridCol w:w="1745"/>
        <w:gridCol w:w="1518"/>
      </w:tblGrid>
      <w:tr w:rsidR="009846C2">
        <w:trPr>
          <w:trHeight w:val="369"/>
          <w:tblHeader/>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建（构）筑物名称</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火灾危险性分类</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耐火等级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主控制楼</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继电器室</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阀厅</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电缆夹层</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739" w:type="dxa"/>
            <w:vMerge w:val="restart"/>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配电装置楼（室）</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户内直流开关场</w:t>
            </w:r>
          </w:p>
        </w:tc>
        <w:tc>
          <w:tcPr>
            <w:tcW w:w="1950"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单台设备油量</w:t>
            </w:r>
            <w:r>
              <w:rPr>
                <w:rFonts w:ascii="Times New Roman" w:eastAsiaTheme="minorEastAsia" w:hAnsi="Times New Roman" w:cs="Times New Roman"/>
                <w:kern w:val="2"/>
                <w:sz w:val="15"/>
                <w:szCs w:val="15"/>
              </w:rPr>
              <w:t>60kg</w:t>
            </w:r>
            <w:r>
              <w:rPr>
                <w:rFonts w:ascii="Times New Roman" w:eastAsiaTheme="minorEastAsia" w:hAnsiTheme="minorEastAsia" w:cs="Times New Roman"/>
                <w:kern w:val="2"/>
                <w:sz w:val="15"/>
                <w:szCs w:val="15"/>
              </w:rPr>
              <w:t>以上</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739"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1950"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单台设备油量</w:t>
            </w:r>
            <w:r>
              <w:rPr>
                <w:rFonts w:ascii="Times New Roman" w:eastAsiaTheme="minorEastAsia" w:hAnsi="Times New Roman" w:cs="Times New Roman"/>
                <w:kern w:val="2"/>
                <w:sz w:val="15"/>
                <w:szCs w:val="15"/>
              </w:rPr>
              <w:t>60kg</w:t>
            </w:r>
            <w:r>
              <w:rPr>
                <w:rFonts w:ascii="Times New Roman" w:eastAsiaTheme="minorEastAsia" w:hAnsiTheme="minorEastAsia" w:cs="Times New Roman"/>
                <w:kern w:val="2"/>
                <w:sz w:val="15"/>
                <w:szCs w:val="15"/>
              </w:rPr>
              <w:t>以及以下</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739"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1950"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无含油电气设备</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739"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室外配电装置</w:t>
            </w:r>
          </w:p>
        </w:tc>
        <w:tc>
          <w:tcPr>
            <w:tcW w:w="1950"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单台设备油量</w:t>
            </w:r>
            <w:r>
              <w:rPr>
                <w:rFonts w:ascii="Times New Roman" w:eastAsiaTheme="minorEastAsia" w:hAnsi="Times New Roman" w:cs="Times New Roman"/>
                <w:kern w:val="2"/>
                <w:sz w:val="15"/>
                <w:szCs w:val="15"/>
              </w:rPr>
              <w:t>60kg</w:t>
            </w:r>
            <w:r>
              <w:rPr>
                <w:rFonts w:ascii="Times New Roman" w:eastAsiaTheme="minorEastAsia" w:hAnsiTheme="minorEastAsia" w:cs="Times New Roman"/>
                <w:kern w:val="2"/>
                <w:sz w:val="15"/>
                <w:szCs w:val="15"/>
              </w:rPr>
              <w:t>以上</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739"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1950"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单台设备油量</w:t>
            </w:r>
            <w:r>
              <w:rPr>
                <w:rFonts w:ascii="Times New Roman" w:eastAsiaTheme="minorEastAsia" w:hAnsi="Times New Roman" w:cs="Times New Roman"/>
                <w:kern w:val="2"/>
                <w:sz w:val="15"/>
                <w:szCs w:val="15"/>
              </w:rPr>
              <w:t>60kg</w:t>
            </w:r>
            <w:r>
              <w:rPr>
                <w:rFonts w:ascii="Times New Roman" w:eastAsiaTheme="minorEastAsia" w:hAnsiTheme="minorEastAsia" w:cs="Times New Roman"/>
                <w:kern w:val="2"/>
                <w:sz w:val="15"/>
                <w:szCs w:val="15"/>
              </w:rPr>
              <w:t>以及以下</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739"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1950"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无含油电气设备</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油浸变压器室</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一级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气体或干式变压器室</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lastRenderedPageBreak/>
              <w:t>电容器室（有可燃介质）</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干式电容器室</w:t>
            </w:r>
          </w:p>
        </w:tc>
        <w:tc>
          <w:tcPr>
            <w:tcW w:w="1745"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油浸电抗器室</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干式电抗器室</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739"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检修备品仓库</w:t>
            </w:r>
          </w:p>
        </w:tc>
        <w:tc>
          <w:tcPr>
            <w:tcW w:w="1950"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有含油设备</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丁</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739"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950"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无含油设备</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事故贮油池</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一级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生活、工业、消防水泵房</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雨淋阀间、泡沫设备室</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污水、雨水泵房</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柴油发电机室</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丙</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r w:rsidR="009846C2">
        <w:trPr>
          <w:trHeight w:val="369"/>
        </w:trPr>
        <w:tc>
          <w:tcPr>
            <w:tcW w:w="2689" w:type="dxa"/>
            <w:gridSpan w:val="2"/>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其他辅助建筑（不含生活用房）</w:t>
            </w:r>
          </w:p>
        </w:tc>
        <w:tc>
          <w:tcPr>
            <w:tcW w:w="1745"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戊</w:t>
            </w:r>
          </w:p>
        </w:tc>
        <w:tc>
          <w:tcPr>
            <w:tcW w:w="1518"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二级</w:t>
            </w:r>
          </w:p>
        </w:tc>
      </w:tr>
    </w:tbl>
    <w:p w:rsidR="009846C2" w:rsidRDefault="00A433A0">
      <w:pPr>
        <w:pStyle w:val="af1"/>
        <w:widowControl w:val="0"/>
        <w:numPr>
          <w:ilvl w:val="0"/>
          <w:numId w:val="30"/>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建（构）筑构件的燃烧性能和耐火极限不应低于表</w:t>
      </w:r>
      <w:r>
        <w:rPr>
          <w:rFonts w:ascii="Times New Roman" w:eastAsiaTheme="minorEastAsia" w:hAnsi="Times New Roman" w:cs="Times New Roman"/>
          <w:kern w:val="2"/>
          <w:sz w:val="21"/>
          <w:szCs w:val="21"/>
        </w:rPr>
        <w:t>4.1.3</w:t>
      </w:r>
      <w:r>
        <w:rPr>
          <w:rFonts w:ascii="Times New Roman" w:eastAsiaTheme="minorEastAsia" w:hAnsi="Times New Roman" w:cs="Times New Roman"/>
          <w:kern w:val="2"/>
          <w:sz w:val="21"/>
          <w:szCs w:val="21"/>
        </w:rPr>
        <w:t>的规定，检查验收方法为资料核查、现场检查。</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4.1.3</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建（构）筑物构件的燃烧性能及耐火极限（</w:t>
      </w:r>
      <w:r>
        <w:rPr>
          <w:rFonts w:ascii="Times New Roman" w:eastAsia="黑体" w:hAnsi="Times New Roman" w:cs="Times New Roman"/>
          <w:kern w:val="2"/>
          <w:sz w:val="18"/>
          <w:szCs w:val="18"/>
        </w:rPr>
        <w:t>h</w:t>
      </w:r>
      <w:r>
        <w:rPr>
          <w:rFonts w:ascii="Times New Roman" w:eastAsia="黑体" w:hAnsi="Times New Roman" w:cs="Times New Roman"/>
          <w:kern w:val="2"/>
          <w:sz w:val="18"/>
          <w:szCs w:val="18"/>
        </w:rPr>
        <w:t>）</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637"/>
        <w:gridCol w:w="2052"/>
        <w:gridCol w:w="1642"/>
        <w:gridCol w:w="1621"/>
      </w:tblGrid>
      <w:tr w:rsidR="009846C2">
        <w:trPr>
          <w:cantSplit/>
          <w:trHeight w:hRule="exact" w:val="340"/>
          <w:tblHeader/>
        </w:trPr>
        <w:tc>
          <w:tcPr>
            <w:tcW w:w="2689" w:type="dxa"/>
            <w:gridSpan w:val="2"/>
            <w:vMerge w:val="restart"/>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构件名称</w:t>
            </w:r>
          </w:p>
        </w:tc>
        <w:tc>
          <w:tcPr>
            <w:tcW w:w="3263" w:type="dxa"/>
            <w:gridSpan w:val="2"/>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耐火等级</w:t>
            </w:r>
          </w:p>
        </w:tc>
      </w:tr>
      <w:tr w:rsidR="009846C2">
        <w:trPr>
          <w:cantSplit/>
          <w:trHeight w:hRule="exact" w:val="340"/>
          <w:tblHeader/>
        </w:trPr>
        <w:tc>
          <w:tcPr>
            <w:tcW w:w="2689" w:type="dxa"/>
            <w:gridSpan w:val="2"/>
            <w:vMerge/>
            <w:tcBorders>
              <w:bottom w:val="single" w:sz="4" w:space="0" w:color="auto"/>
            </w:tcBorders>
            <w:vAlign w:val="center"/>
          </w:tcPr>
          <w:p w:rsidR="009846C2" w:rsidRDefault="009846C2">
            <w:pPr>
              <w:tabs>
                <w:tab w:val="left" w:pos="0"/>
              </w:tabs>
              <w:topLinePunct/>
              <w:spacing w:line="240" w:lineRule="exact"/>
              <w:contextualSpacing/>
              <w:jc w:val="center"/>
              <w:rPr>
                <w:rFonts w:ascii="Times New Roman" w:eastAsiaTheme="minorEastAsia" w:hAnsi="Times New Roman" w:cs="Times New Roman"/>
                <w:kern w:val="2"/>
                <w:sz w:val="15"/>
                <w:szCs w:val="15"/>
              </w:rPr>
            </w:pPr>
          </w:p>
        </w:tc>
        <w:tc>
          <w:tcPr>
            <w:tcW w:w="1642" w:type="dxa"/>
            <w:tcBorders>
              <w:bottom w:val="single" w:sz="4" w:space="0" w:color="auto"/>
            </w:tcBorders>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一级</w:t>
            </w:r>
          </w:p>
        </w:tc>
        <w:tc>
          <w:tcPr>
            <w:tcW w:w="1621" w:type="dxa"/>
            <w:tcBorders>
              <w:bottom w:val="single" w:sz="4" w:space="0" w:color="auto"/>
            </w:tcBorders>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二级</w:t>
            </w:r>
          </w:p>
        </w:tc>
      </w:tr>
      <w:tr w:rsidR="009846C2">
        <w:tc>
          <w:tcPr>
            <w:tcW w:w="637" w:type="dxa"/>
            <w:vMerge w:val="restart"/>
            <w:tcBorders>
              <w:top w:val="single" w:sz="4" w:space="0" w:color="auto"/>
            </w:tcBorders>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墙</w:t>
            </w:r>
          </w:p>
        </w:tc>
        <w:tc>
          <w:tcPr>
            <w:tcW w:w="2052" w:type="dxa"/>
            <w:tcBorders>
              <w:top w:val="single" w:sz="4" w:space="0" w:color="auto"/>
            </w:tcBorders>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防火墙</w:t>
            </w:r>
          </w:p>
        </w:tc>
        <w:tc>
          <w:tcPr>
            <w:tcW w:w="1642" w:type="dxa"/>
            <w:tcBorders>
              <w:top w:val="single" w:sz="4" w:space="0" w:color="auto"/>
            </w:tcBorders>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3.00</w:t>
            </w:r>
          </w:p>
        </w:tc>
        <w:tc>
          <w:tcPr>
            <w:tcW w:w="1621" w:type="dxa"/>
            <w:tcBorders>
              <w:top w:val="single" w:sz="4" w:space="0" w:color="auto"/>
            </w:tcBorders>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3.00</w:t>
            </w:r>
          </w:p>
        </w:tc>
      </w:tr>
      <w:tr w:rsidR="009846C2">
        <w:tc>
          <w:tcPr>
            <w:tcW w:w="637" w:type="dxa"/>
            <w:vMerge/>
            <w:vAlign w:val="center"/>
          </w:tcPr>
          <w:p w:rsidR="009846C2" w:rsidRDefault="009846C2">
            <w:pPr>
              <w:tabs>
                <w:tab w:val="left" w:pos="0"/>
              </w:tabs>
              <w:topLinePunct/>
              <w:spacing w:line="240" w:lineRule="exact"/>
              <w:jc w:val="center"/>
              <w:rPr>
                <w:rFonts w:ascii="Times New Roman" w:eastAsia="宋体" w:hAnsi="Times New Roman" w:cs="Times New Roman"/>
                <w:kern w:val="2"/>
                <w:sz w:val="15"/>
                <w:szCs w:val="15"/>
              </w:rPr>
            </w:pPr>
          </w:p>
        </w:tc>
        <w:tc>
          <w:tcPr>
            <w:tcW w:w="205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承重墙</w:t>
            </w:r>
          </w:p>
        </w:tc>
        <w:tc>
          <w:tcPr>
            <w:tcW w:w="164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3.00</w:t>
            </w:r>
          </w:p>
        </w:tc>
        <w:tc>
          <w:tcPr>
            <w:tcW w:w="1621"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2.50</w:t>
            </w:r>
          </w:p>
        </w:tc>
      </w:tr>
      <w:tr w:rsidR="009846C2">
        <w:tc>
          <w:tcPr>
            <w:tcW w:w="637" w:type="dxa"/>
            <w:vMerge/>
            <w:vAlign w:val="center"/>
          </w:tcPr>
          <w:p w:rsidR="009846C2" w:rsidRDefault="009846C2">
            <w:pPr>
              <w:tabs>
                <w:tab w:val="left" w:pos="0"/>
              </w:tabs>
              <w:topLinePunct/>
              <w:spacing w:line="240" w:lineRule="exact"/>
              <w:jc w:val="center"/>
              <w:rPr>
                <w:rFonts w:ascii="Times New Roman" w:eastAsia="宋体" w:hAnsi="Times New Roman" w:cs="Times New Roman"/>
                <w:kern w:val="2"/>
                <w:sz w:val="15"/>
                <w:szCs w:val="15"/>
              </w:rPr>
            </w:pPr>
          </w:p>
        </w:tc>
        <w:tc>
          <w:tcPr>
            <w:tcW w:w="205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楼梯间墙</w:t>
            </w:r>
          </w:p>
        </w:tc>
        <w:tc>
          <w:tcPr>
            <w:tcW w:w="164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2.00</w:t>
            </w:r>
          </w:p>
        </w:tc>
        <w:tc>
          <w:tcPr>
            <w:tcW w:w="1621"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2.00</w:t>
            </w:r>
          </w:p>
        </w:tc>
      </w:tr>
      <w:tr w:rsidR="009846C2">
        <w:tc>
          <w:tcPr>
            <w:tcW w:w="637" w:type="dxa"/>
            <w:vMerge/>
            <w:vAlign w:val="center"/>
          </w:tcPr>
          <w:p w:rsidR="009846C2" w:rsidRDefault="009846C2">
            <w:pPr>
              <w:tabs>
                <w:tab w:val="left" w:pos="0"/>
              </w:tabs>
              <w:topLinePunct/>
              <w:spacing w:line="240" w:lineRule="exact"/>
              <w:jc w:val="center"/>
              <w:rPr>
                <w:rFonts w:ascii="Times New Roman" w:eastAsia="宋体" w:hAnsi="Times New Roman" w:cs="Times New Roman"/>
                <w:kern w:val="2"/>
                <w:sz w:val="15"/>
                <w:szCs w:val="15"/>
              </w:rPr>
            </w:pPr>
          </w:p>
        </w:tc>
        <w:tc>
          <w:tcPr>
            <w:tcW w:w="205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疏散走道两侧隔墙</w:t>
            </w:r>
          </w:p>
        </w:tc>
        <w:tc>
          <w:tcPr>
            <w:tcW w:w="164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1.00</w:t>
            </w:r>
          </w:p>
        </w:tc>
        <w:tc>
          <w:tcPr>
            <w:tcW w:w="1621"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1.00</w:t>
            </w:r>
          </w:p>
        </w:tc>
      </w:tr>
      <w:tr w:rsidR="009846C2">
        <w:tc>
          <w:tcPr>
            <w:tcW w:w="637" w:type="dxa"/>
            <w:vMerge/>
            <w:vAlign w:val="center"/>
          </w:tcPr>
          <w:p w:rsidR="009846C2" w:rsidRDefault="009846C2">
            <w:pPr>
              <w:tabs>
                <w:tab w:val="left" w:pos="0"/>
              </w:tabs>
              <w:topLinePunct/>
              <w:spacing w:line="240" w:lineRule="exact"/>
              <w:jc w:val="center"/>
              <w:rPr>
                <w:rFonts w:ascii="Times New Roman" w:eastAsia="宋体" w:hAnsi="Times New Roman" w:cs="Times New Roman"/>
                <w:kern w:val="2"/>
                <w:sz w:val="15"/>
                <w:szCs w:val="15"/>
              </w:rPr>
            </w:pPr>
          </w:p>
        </w:tc>
        <w:tc>
          <w:tcPr>
            <w:tcW w:w="205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非承重墙</w:t>
            </w:r>
          </w:p>
        </w:tc>
        <w:tc>
          <w:tcPr>
            <w:tcW w:w="164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0.75</w:t>
            </w:r>
          </w:p>
        </w:tc>
        <w:tc>
          <w:tcPr>
            <w:tcW w:w="1621"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0.50</w:t>
            </w:r>
          </w:p>
        </w:tc>
      </w:tr>
      <w:tr w:rsidR="009846C2">
        <w:tc>
          <w:tcPr>
            <w:tcW w:w="637" w:type="dxa"/>
            <w:vMerge/>
            <w:vAlign w:val="center"/>
          </w:tcPr>
          <w:p w:rsidR="009846C2" w:rsidRDefault="009846C2">
            <w:pPr>
              <w:tabs>
                <w:tab w:val="left" w:pos="0"/>
              </w:tabs>
              <w:topLinePunct/>
              <w:spacing w:line="240" w:lineRule="exact"/>
              <w:jc w:val="center"/>
              <w:rPr>
                <w:rFonts w:ascii="Times New Roman" w:eastAsia="宋体" w:hAnsi="Times New Roman" w:cs="Times New Roman"/>
                <w:kern w:val="2"/>
                <w:sz w:val="15"/>
                <w:szCs w:val="15"/>
              </w:rPr>
            </w:pPr>
          </w:p>
        </w:tc>
        <w:tc>
          <w:tcPr>
            <w:tcW w:w="205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房间隔墙</w:t>
            </w:r>
          </w:p>
        </w:tc>
        <w:tc>
          <w:tcPr>
            <w:tcW w:w="1642"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0.75</w:t>
            </w:r>
          </w:p>
        </w:tc>
        <w:tc>
          <w:tcPr>
            <w:tcW w:w="1621"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heme="minorEastAsia"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0.50</w:t>
            </w:r>
          </w:p>
        </w:tc>
      </w:tr>
      <w:tr w:rsidR="009846C2">
        <w:tc>
          <w:tcPr>
            <w:tcW w:w="2689" w:type="dxa"/>
            <w:gridSpan w:val="2"/>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柱</w:t>
            </w:r>
          </w:p>
        </w:tc>
        <w:tc>
          <w:tcPr>
            <w:tcW w:w="1642"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3.00</w:t>
            </w:r>
          </w:p>
        </w:tc>
        <w:tc>
          <w:tcPr>
            <w:tcW w:w="1621"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2.50</w:t>
            </w:r>
          </w:p>
        </w:tc>
      </w:tr>
      <w:tr w:rsidR="009846C2">
        <w:trPr>
          <w:trHeight w:hRule="exact" w:val="397"/>
        </w:trPr>
        <w:tc>
          <w:tcPr>
            <w:tcW w:w="2689" w:type="dxa"/>
            <w:gridSpan w:val="2"/>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梁</w:t>
            </w:r>
          </w:p>
        </w:tc>
        <w:tc>
          <w:tcPr>
            <w:tcW w:w="1642"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2.00</w:t>
            </w:r>
          </w:p>
        </w:tc>
        <w:tc>
          <w:tcPr>
            <w:tcW w:w="1621"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1.50</w:t>
            </w:r>
          </w:p>
        </w:tc>
      </w:tr>
      <w:tr w:rsidR="009846C2">
        <w:tc>
          <w:tcPr>
            <w:tcW w:w="2689" w:type="dxa"/>
            <w:gridSpan w:val="2"/>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楼板</w:t>
            </w:r>
          </w:p>
        </w:tc>
        <w:tc>
          <w:tcPr>
            <w:tcW w:w="1642"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1.50</w:t>
            </w:r>
          </w:p>
        </w:tc>
        <w:tc>
          <w:tcPr>
            <w:tcW w:w="1621"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1.00</w:t>
            </w:r>
          </w:p>
        </w:tc>
      </w:tr>
      <w:tr w:rsidR="009846C2">
        <w:tc>
          <w:tcPr>
            <w:tcW w:w="2689" w:type="dxa"/>
            <w:gridSpan w:val="2"/>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屋顶承重构件</w:t>
            </w:r>
          </w:p>
        </w:tc>
        <w:tc>
          <w:tcPr>
            <w:tcW w:w="1642"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1.50</w:t>
            </w:r>
          </w:p>
        </w:tc>
        <w:tc>
          <w:tcPr>
            <w:tcW w:w="1621"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1.00</w:t>
            </w:r>
          </w:p>
        </w:tc>
      </w:tr>
      <w:tr w:rsidR="009846C2">
        <w:tc>
          <w:tcPr>
            <w:tcW w:w="2689" w:type="dxa"/>
            <w:gridSpan w:val="2"/>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疏散楼梯</w:t>
            </w:r>
          </w:p>
        </w:tc>
        <w:tc>
          <w:tcPr>
            <w:tcW w:w="1642"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1.50</w:t>
            </w:r>
          </w:p>
        </w:tc>
        <w:tc>
          <w:tcPr>
            <w:tcW w:w="1621"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1.00</w:t>
            </w:r>
          </w:p>
        </w:tc>
      </w:tr>
      <w:tr w:rsidR="009846C2">
        <w:tc>
          <w:tcPr>
            <w:tcW w:w="2689" w:type="dxa"/>
            <w:gridSpan w:val="2"/>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吊顶</w:t>
            </w:r>
          </w:p>
        </w:tc>
        <w:tc>
          <w:tcPr>
            <w:tcW w:w="1642"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0.25</w:t>
            </w:r>
          </w:p>
        </w:tc>
        <w:tc>
          <w:tcPr>
            <w:tcW w:w="1621"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不燃烧体</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0.25</w:t>
            </w:r>
          </w:p>
        </w:tc>
      </w:tr>
    </w:tbl>
    <w:p w:rsidR="009846C2" w:rsidRDefault="00A433A0">
      <w:pPr>
        <w:pStyle w:val="31"/>
        <w:numPr>
          <w:ilvl w:val="0"/>
          <w:numId w:val="29"/>
        </w:numPr>
        <w:tabs>
          <w:tab w:val="left" w:pos="0"/>
        </w:tabs>
        <w:topLinePunct/>
        <w:spacing w:before="100" w:beforeAutospacing="1" w:after="100" w:afterAutospacing="1" w:line="360" w:lineRule="exact"/>
        <w:ind w:firstLineChars="0"/>
        <w:jc w:val="center"/>
        <w:outlineLvl w:val="1"/>
        <w:rPr>
          <w:rFonts w:eastAsia="黑体"/>
          <w:bCs/>
          <w:szCs w:val="21"/>
        </w:rPr>
      </w:pPr>
      <w:r>
        <w:rPr>
          <w:rFonts w:eastAsia="黑体"/>
          <w:bCs/>
          <w:szCs w:val="21"/>
        </w:rPr>
        <w:t>总平面布局</w:t>
      </w:r>
    </w:p>
    <w:p w:rsidR="009846C2" w:rsidRDefault="00A433A0">
      <w:pPr>
        <w:pStyle w:val="af1"/>
        <w:widowControl w:val="0"/>
        <w:numPr>
          <w:ilvl w:val="2"/>
          <w:numId w:val="31"/>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建（构）筑物及设备的防火间距</w:t>
      </w:r>
    </w:p>
    <w:p w:rsidR="009846C2" w:rsidRDefault="00A433A0">
      <w:pPr>
        <w:widowControl w:val="0"/>
        <w:numPr>
          <w:ilvl w:val="0"/>
          <w:numId w:val="32"/>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检查数量：全数检查。</w:t>
      </w:r>
    </w:p>
    <w:p w:rsidR="009846C2" w:rsidRDefault="00A433A0">
      <w:pPr>
        <w:widowControl w:val="0"/>
        <w:numPr>
          <w:ilvl w:val="0"/>
          <w:numId w:val="32"/>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4.2.1</w:t>
      </w:r>
      <w:r>
        <w:rPr>
          <w:rFonts w:ascii="Times New Roman" w:eastAsiaTheme="minorEastAsia" w:hAnsi="Times New Roman" w:cs="Times New Roman"/>
          <w:kern w:val="2"/>
          <w:sz w:val="21"/>
          <w:szCs w:val="21"/>
        </w:rPr>
        <w:t>。</w:t>
      </w:r>
    </w:p>
    <w:p w:rsidR="009846C2" w:rsidRDefault="00A433A0">
      <w:pPr>
        <w:numPr>
          <w:ilvl w:val="255"/>
          <w:numId w:val="0"/>
        </w:numPr>
        <w:tabs>
          <w:tab w:val="left" w:pos="0"/>
        </w:tabs>
        <w:topLinePunct/>
        <w:spacing w:line="360" w:lineRule="exact"/>
        <w:jc w:val="center"/>
        <w:rPr>
          <w:rFonts w:ascii="Times New Roman" w:eastAsia="黑体" w:hAnsi="Times New Roman" w:cs="Times New Roman"/>
          <w:b/>
          <w:kern w:val="2"/>
          <w:sz w:val="18"/>
          <w:szCs w:val="18"/>
        </w:rPr>
      </w:pPr>
      <w:r>
        <w:rPr>
          <w:rFonts w:ascii="Times New Roman" w:eastAsia="黑体" w:hAnsi="Times New Roman" w:cs="Times New Roman"/>
          <w:b/>
          <w:kern w:val="2"/>
          <w:sz w:val="18"/>
          <w:szCs w:val="18"/>
        </w:rPr>
        <w:t>表</w:t>
      </w:r>
      <w:r>
        <w:rPr>
          <w:rFonts w:ascii="Times New Roman" w:eastAsia="黑体" w:hAnsi="Times New Roman" w:cs="Times New Roman"/>
          <w:b/>
          <w:kern w:val="2"/>
          <w:sz w:val="18"/>
          <w:szCs w:val="18"/>
        </w:rPr>
        <w:t xml:space="preserve">4.2.1  </w:t>
      </w:r>
      <w:r>
        <w:rPr>
          <w:rFonts w:ascii="Times New Roman" w:eastAsia="黑体" w:hAnsi="Times New Roman" w:cs="Times New Roman"/>
          <w:b/>
          <w:kern w:val="2"/>
          <w:sz w:val="18"/>
          <w:szCs w:val="18"/>
        </w:rPr>
        <w:t>建（构）筑物及设备的</w:t>
      </w:r>
      <w:r>
        <w:rPr>
          <w:rFonts w:ascii="Times New Roman" w:eastAsia="黑体" w:hAnsi="Times New Roman" w:cs="Times New Roman"/>
          <w:b/>
          <w:bCs/>
          <w:kern w:val="2"/>
          <w:sz w:val="18"/>
          <w:szCs w:val="18"/>
        </w:rPr>
        <w:t>防火间距</w:t>
      </w:r>
      <w:r>
        <w:rPr>
          <w:rFonts w:ascii="Times New Roman" w:eastAsia="黑体" w:hAnsi="Times New Roman" w:cs="Times New Roman"/>
          <w:b/>
          <w:kern w:val="2"/>
          <w:sz w:val="18"/>
          <w:szCs w:val="18"/>
        </w:rPr>
        <w:t>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防火间距</w:t>
            </w:r>
          </w:p>
        </w:tc>
        <w:tc>
          <w:tcPr>
            <w:tcW w:w="2916" w:type="dxa"/>
            <w:tcBorders>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hAnsi="Times New Roman" w:cs="Times New Roman"/>
                <w:kern w:val="2"/>
                <w:sz w:val="15"/>
                <w:szCs w:val="15"/>
              </w:rPr>
            </w:pPr>
            <w:r>
              <w:rPr>
                <w:rFonts w:ascii="Times New Roman" w:eastAsia="宋体" w:hAnsi="Times New Roman" w:cs="Times New Roman"/>
                <w:kern w:val="2"/>
                <w:sz w:val="15"/>
                <w:szCs w:val="15"/>
              </w:rPr>
              <w:t>变电站内建（构）筑物及设备之间的防火间距应符合国家和河北省现行规范标准的规定和消防设计文件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tcBorders>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事故贮油池与一、二级耐火等级的生活建筑物的防火间距不应小于</w:t>
            </w:r>
            <w:r>
              <w:rPr>
                <w:rFonts w:ascii="Times New Roman" w:eastAsia="宋体" w:hAnsi="Times New Roman" w:cs="Times New Roman"/>
                <w:kern w:val="2"/>
                <w:sz w:val="15"/>
                <w:szCs w:val="15"/>
              </w:rPr>
              <w:t>10.0m</w:t>
            </w:r>
            <w:r>
              <w:rPr>
                <w:rFonts w:ascii="Times New Roman" w:eastAsia="宋体" w:hAnsi="Times New Roman" w:cs="Times New Roman"/>
                <w:kern w:val="2"/>
                <w:sz w:val="15"/>
                <w:szCs w:val="15"/>
              </w:rPr>
              <w:t>，与站内丙丁戊类生产建筑物、室外含油配电装置、油</w:t>
            </w:r>
            <w:r>
              <w:rPr>
                <w:rFonts w:ascii="Times New Roman" w:eastAsia="宋体" w:hAnsi="Times New Roman" w:cs="Times New Roman"/>
                <w:kern w:val="2"/>
                <w:sz w:val="15"/>
                <w:szCs w:val="15"/>
              </w:rPr>
              <w:lastRenderedPageBreak/>
              <w:t>浸变压器、油浸电抗器的防火间距不应小于</w:t>
            </w:r>
            <w:r>
              <w:rPr>
                <w:rFonts w:ascii="Times New Roman" w:eastAsia="宋体" w:hAnsi="Times New Roman" w:cs="Times New Roman"/>
                <w:kern w:val="2"/>
                <w:sz w:val="15"/>
                <w:szCs w:val="15"/>
              </w:rPr>
              <w:t>5.0m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核对设计文件，现场测量、现场检</w:t>
            </w:r>
            <w:r>
              <w:rPr>
                <w:rFonts w:ascii="Times New Roman" w:eastAsia="宋体" w:hAnsi="Times New Roman" w:cs="Times New Roman"/>
                <w:kern w:val="2"/>
                <w:sz w:val="15"/>
                <w:szCs w:val="15"/>
              </w:rPr>
              <w:lastRenderedPageBreak/>
              <w:t>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单台油量为</w:t>
            </w:r>
            <w:r>
              <w:rPr>
                <w:rFonts w:ascii="Times New Roman" w:eastAsia="宋体" w:hAnsi="Times New Roman" w:cs="Times New Roman"/>
                <w:kern w:val="2"/>
                <w:sz w:val="15"/>
                <w:szCs w:val="15"/>
              </w:rPr>
              <w:t>2500kg</w:t>
            </w:r>
            <w:r>
              <w:rPr>
                <w:rFonts w:ascii="Times New Roman" w:eastAsia="宋体" w:hAnsi="Times New Roman" w:cs="Times New Roman"/>
                <w:kern w:val="2"/>
                <w:sz w:val="15"/>
                <w:szCs w:val="15"/>
              </w:rPr>
              <w:t>及以上的室外油浸变压器之间、室外油浸电抗器之间的最小间距：电压等级</w:t>
            </w:r>
            <w:r>
              <w:rPr>
                <w:rFonts w:ascii="Times New Roman" w:eastAsia="宋体" w:hAnsi="Times New Roman" w:cs="Times New Roman"/>
                <w:kern w:val="2"/>
                <w:sz w:val="15"/>
                <w:szCs w:val="15"/>
              </w:rPr>
              <w:t>35kV</w:t>
            </w:r>
            <w:r>
              <w:rPr>
                <w:rFonts w:ascii="Times New Roman" w:eastAsia="宋体" w:hAnsi="Times New Roman" w:cs="Times New Roman"/>
                <w:kern w:val="2"/>
                <w:sz w:val="15"/>
                <w:szCs w:val="15"/>
              </w:rPr>
              <w:t>时不应小于</w:t>
            </w:r>
            <w:r>
              <w:rPr>
                <w:rFonts w:ascii="Times New Roman" w:eastAsia="宋体" w:hAnsi="Times New Roman" w:cs="Times New Roman"/>
                <w:kern w:val="2"/>
                <w:sz w:val="15"/>
                <w:szCs w:val="15"/>
              </w:rPr>
              <w:t>5.0m</w:t>
            </w:r>
            <w:r>
              <w:rPr>
                <w:rFonts w:ascii="Times New Roman" w:eastAsia="宋体" w:hAnsi="Times New Roman" w:cs="Times New Roman"/>
                <w:kern w:val="2"/>
                <w:sz w:val="15"/>
                <w:szCs w:val="15"/>
              </w:rPr>
              <w:t>、电压等级</w:t>
            </w:r>
            <w:r>
              <w:rPr>
                <w:rFonts w:ascii="Times New Roman" w:eastAsia="宋体" w:hAnsi="Times New Roman" w:cs="Times New Roman"/>
                <w:kern w:val="2"/>
                <w:sz w:val="15"/>
                <w:szCs w:val="15"/>
              </w:rPr>
              <w:t>66kV</w:t>
            </w:r>
            <w:r>
              <w:rPr>
                <w:rFonts w:ascii="Times New Roman" w:eastAsia="宋体" w:hAnsi="Times New Roman" w:cs="Times New Roman"/>
                <w:kern w:val="2"/>
                <w:sz w:val="15"/>
                <w:szCs w:val="15"/>
              </w:rPr>
              <w:t>时不应小于</w:t>
            </w:r>
            <w:r>
              <w:rPr>
                <w:rFonts w:ascii="Times New Roman" w:eastAsia="宋体" w:hAnsi="Times New Roman" w:cs="Times New Roman"/>
                <w:kern w:val="2"/>
                <w:sz w:val="15"/>
                <w:szCs w:val="15"/>
              </w:rPr>
              <w:t>6.0m</w:t>
            </w:r>
            <w:r>
              <w:rPr>
                <w:rFonts w:ascii="Times New Roman" w:eastAsia="宋体" w:hAnsi="Times New Roman" w:cs="Times New Roman"/>
                <w:kern w:val="2"/>
                <w:sz w:val="15"/>
                <w:szCs w:val="15"/>
              </w:rPr>
              <w:t>、电压等级</w:t>
            </w:r>
            <w:r>
              <w:rPr>
                <w:rFonts w:ascii="Times New Roman" w:eastAsia="宋体" w:hAnsi="Times New Roman" w:cs="Times New Roman"/>
                <w:kern w:val="2"/>
                <w:sz w:val="15"/>
                <w:szCs w:val="15"/>
              </w:rPr>
              <w:t>110kV</w:t>
            </w:r>
            <w:r>
              <w:rPr>
                <w:rFonts w:ascii="Times New Roman" w:eastAsia="宋体" w:hAnsi="Times New Roman" w:cs="Times New Roman"/>
                <w:kern w:val="2"/>
                <w:sz w:val="15"/>
                <w:szCs w:val="15"/>
              </w:rPr>
              <w:t>时不应小于</w:t>
            </w:r>
            <w:r>
              <w:rPr>
                <w:rFonts w:ascii="Times New Roman" w:eastAsia="宋体" w:hAnsi="Times New Roman" w:cs="Times New Roman"/>
                <w:kern w:val="2"/>
                <w:sz w:val="15"/>
                <w:szCs w:val="15"/>
              </w:rPr>
              <w:t>8.0m</w:t>
            </w:r>
            <w:r>
              <w:rPr>
                <w:rFonts w:ascii="Times New Roman" w:eastAsia="宋体" w:hAnsi="Times New Roman" w:cs="Times New Roman"/>
                <w:kern w:val="2"/>
                <w:sz w:val="15"/>
                <w:szCs w:val="15"/>
              </w:rPr>
              <w:t>、电压等级</w:t>
            </w:r>
            <w:r>
              <w:rPr>
                <w:rFonts w:ascii="Times New Roman" w:eastAsia="宋体" w:hAnsi="Times New Roman" w:cs="Times New Roman"/>
                <w:kern w:val="2"/>
                <w:sz w:val="15"/>
                <w:szCs w:val="15"/>
              </w:rPr>
              <w:t>220kV</w:t>
            </w:r>
            <w:r>
              <w:rPr>
                <w:rFonts w:ascii="Times New Roman" w:eastAsia="宋体" w:hAnsi="Times New Roman" w:cs="Times New Roman"/>
                <w:kern w:val="2"/>
                <w:sz w:val="15"/>
                <w:szCs w:val="15"/>
              </w:rPr>
              <w:t>及</w:t>
            </w:r>
            <w:r>
              <w:rPr>
                <w:rFonts w:ascii="Times New Roman" w:eastAsia="宋体" w:hAnsi="Times New Roman" w:cs="Times New Roman"/>
                <w:kern w:val="2"/>
                <w:sz w:val="15"/>
                <w:szCs w:val="15"/>
              </w:rPr>
              <w:t>330kV</w:t>
            </w:r>
            <w:r>
              <w:rPr>
                <w:rFonts w:ascii="Times New Roman" w:eastAsia="宋体" w:hAnsi="Times New Roman" w:cs="Times New Roman"/>
                <w:kern w:val="2"/>
                <w:sz w:val="15"/>
                <w:szCs w:val="15"/>
              </w:rPr>
              <w:t>时不应小于</w:t>
            </w:r>
            <w:r>
              <w:rPr>
                <w:rFonts w:ascii="Times New Roman" w:eastAsia="宋体" w:hAnsi="Times New Roman" w:cs="Times New Roman"/>
                <w:kern w:val="2"/>
                <w:sz w:val="15"/>
                <w:szCs w:val="15"/>
              </w:rPr>
              <w:t>10.0m</w:t>
            </w:r>
            <w:r>
              <w:rPr>
                <w:rFonts w:ascii="Times New Roman" w:eastAsia="宋体" w:hAnsi="Times New Roman" w:cs="Times New Roman"/>
                <w:kern w:val="2"/>
                <w:sz w:val="15"/>
                <w:szCs w:val="15"/>
              </w:rPr>
              <w:t>、电压等级</w:t>
            </w:r>
            <w:r>
              <w:rPr>
                <w:rFonts w:ascii="Times New Roman" w:eastAsia="宋体" w:hAnsi="Times New Roman" w:cs="Times New Roman"/>
                <w:kern w:val="2"/>
                <w:sz w:val="15"/>
                <w:szCs w:val="15"/>
              </w:rPr>
              <w:t>500kV</w:t>
            </w:r>
            <w:r>
              <w:rPr>
                <w:rFonts w:ascii="Times New Roman" w:eastAsia="宋体" w:hAnsi="Times New Roman" w:cs="Times New Roman"/>
                <w:kern w:val="2"/>
                <w:sz w:val="15"/>
                <w:szCs w:val="15"/>
              </w:rPr>
              <w:t>及</w:t>
            </w:r>
            <w:r>
              <w:rPr>
                <w:rFonts w:ascii="Times New Roman" w:eastAsia="宋体" w:hAnsi="Times New Roman" w:cs="Times New Roman"/>
                <w:kern w:val="2"/>
                <w:sz w:val="15"/>
                <w:szCs w:val="15"/>
              </w:rPr>
              <w:t>750kV</w:t>
            </w:r>
            <w:r>
              <w:rPr>
                <w:rFonts w:ascii="Times New Roman" w:eastAsia="宋体" w:hAnsi="Times New Roman" w:cs="Times New Roman"/>
                <w:kern w:val="2"/>
                <w:sz w:val="15"/>
                <w:szCs w:val="15"/>
              </w:rPr>
              <w:t>时不应小于</w:t>
            </w:r>
            <w:r>
              <w:rPr>
                <w:rFonts w:ascii="Times New Roman" w:eastAsia="宋体" w:hAnsi="Times New Roman" w:cs="Times New Roman"/>
                <w:kern w:val="2"/>
                <w:sz w:val="15"/>
                <w:szCs w:val="15"/>
              </w:rPr>
              <w:t>15.0m</w:t>
            </w:r>
            <w:r>
              <w:rPr>
                <w:rFonts w:ascii="Times New Roman" w:eastAsia="宋体" w:hAnsi="Times New Roman" w:cs="Times New Roman"/>
                <w:kern w:val="2"/>
                <w:sz w:val="15"/>
                <w:szCs w:val="15"/>
              </w:rPr>
              <w:t>、电压等级</w:t>
            </w:r>
            <w:r>
              <w:rPr>
                <w:rFonts w:ascii="Times New Roman" w:eastAsia="宋体" w:hAnsi="Times New Roman" w:cs="Times New Roman"/>
                <w:kern w:val="2"/>
                <w:sz w:val="15"/>
                <w:szCs w:val="15"/>
              </w:rPr>
              <w:t>1000kV</w:t>
            </w:r>
            <w:r>
              <w:rPr>
                <w:rFonts w:ascii="Times New Roman" w:eastAsia="宋体" w:hAnsi="Times New Roman" w:cs="Times New Roman"/>
                <w:kern w:val="2"/>
                <w:sz w:val="15"/>
                <w:szCs w:val="15"/>
              </w:rPr>
              <w:t>时不应小于</w:t>
            </w:r>
            <w:r>
              <w:rPr>
                <w:rFonts w:ascii="Times New Roman" w:eastAsia="宋体" w:hAnsi="Times New Roman" w:cs="Times New Roman"/>
                <w:kern w:val="2"/>
                <w:sz w:val="15"/>
                <w:szCs w:val="15"/>
              </w:rPr>
              <w:t>17.0m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总油量为</w:t>
            </w:r>
            <w:r>
              <w:rPr>
                <w:rFonts w:ascii="Times New Roman" w:eastAsia="宋体" w:hAnsi="Times New Roman" w:cs="Times New Roman"/>
                <w:kern w:val="2"/>
                <w:sz w:val="15"/>
                <w:szCs w:val="15"/>
              </w:rPr>
              <w:t>2500kg</w:t>
            </w:r>
            <w:r>
              <w:rPr>
                <w:rFonts w:ascii="Times New Roman" w:eastAsia="宋体" w:hAnsi="Times New Roman" w:cs="Times New Roman"/>
                <w:kern w:val="2"/>
                <w:sz w:val="15"/>
                <w:szCs w:val="15"/>
              </w:rPr>
              <w:t>及以上的并联电容器组或箱式电容器，相互之间的防火间距不应小于</w:t>
            </w:r>
            <w:r>
              <w:rPr>
                <w:rFonts w:ascii="Times New Roman" w:eastAsia="宋体" w:hAnsi="Times New Roman" w:cs="Times New Roman"/>
                <w:kern w:val="2"/>
                <w:sz w:val="15"/>
                <w:szCs w:val="15"/>
              </w:rPr>
              <w:t>5.0m</w:t>
            </w:r>
            <w:r>
              <w:rPr>
                <w:rFonts w:ascii="Times New Roman" w:eastAsia="宋体" w:hAnsi="Times New Roman" w:cs="Times New Roman"/>
                <w:kern w:val="2"/>
                <w:sz w:val="15"/>
                <w:szCs w:val="15"/>
              </w:rPr>
              <w:t>，当间距不满足该要求时应设置防火墙</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油量为</w:t>
            </w:r>
            <w:r>
              <w:rPr>
                <w:rFonts w:ascii="Times New Roman" w:eastAsia="宋体" w:hAnsi="Times New Roman" w:cs="Times New Roman"/>
                <w:kern w:val="2"/>
                <w:sz w:val="15"/>
                <w:szCs w:val="15"/>
              </w:rPr>
              <w:t>2500kg</w:t>
            </w:r>
            <w:r>
              <w:rPr>
                <w:rFonts w:ascii="Times New Roman" w:eastAsia="宋体" w:hAnsi="Times New Roman" w:cs="Times New Roman"/>
                <w:kern w:val="2"/>
                <w:sz w:val="15"/>
                <w:szCs w:val="15"/>
              </w:rPr>
              <w:t>及以上的室外油浸变压器或高压电抗器与油量为</w:t>
            </w:r>
            <w:r>
              <w:rPr>
                <w:rFonts w:ascii="Times New Roman" w:eastAsia="宋体" w:hAnsi="Times New Roman" w:cs="Times New Roman"/>
                <w:kern w:val="2"/>
                <w:sz w:val="15"/>
                <w:szCs w:val="15"/>
              </w:rPr>
              <w:t>600kg</w:t>
            </w:r>
            <w:r>
              <w:rPr>
                <w:rFonts w:ascii="Times New Roman" w:eastAsia="宋体" w:hAnsi="Times New Roman" w:cs="Times New Roman"/>
                <w:kern w:val="2"/>
                <w:sz w:val="15"/>
                <w:szCs w:val="15"/>
              </w:rPr>
              <w:t>以上的带油电气设备之间的防火间距不应小于</w:t>
            </w:r>
            <w:r>
              <w:rPr>
                <w:rFonts w:ascii="Times New Roman" w:eastAsia="宋体" w:hAnsi="Times New Roman" w:cs="Times New Roman"/>
                <w:kern w:val="2"/>
                <w:sz w:val="15"/>
                <w:szCs w:val="15"/>
              </w:rPr>
              <w:t>5.0m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2"/>
          <w:numId w:val="31"/>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消防车道</w:t>
      </w:r>
    </w:p>
    <w:p w:rsidR="009846C2" w:rsidRDefault="00A433A0">
      <w:pPr>
        <w:widowControl w:val="0"/>
        <w:numPr>
          <w:ilvl w:val="0"/>
          <w:numId w:val="33"/>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检查数量：全数检查。</w:t>
      </w:r>
    </w:p>
    <w:p w:rsidR="009846C2" w:rsidRDefault="00A433A0">
      <w:pPr>
        <w:widowControl w:val="0"/>
        <w:numPr>
          <w:ilvl w:val="0"/>
          <w:numId w:val="33"/>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4.2.2</w:t>
      </w:r>
      <w:r>
        <w:rPr>
          <w:rFonts w:ascii="Times New Roman" w:eastAsiaTheme="minorEastAsia" w:hAnsi="Times New Roman" w:cs="Times New Roman"/>
          <w:kern w:val="2"/>
          <w:sz w:val="21"/>
          <w:szCs w:val="21"/>
        </w:rPr>
        <w:t>。</w:t>
      </w:r>
    </w:p>
    <w:p w:rsidR="009846C2" w:rsidRDefault="00A433A0">
      <w:pPr>
        <w:numPr>
          <w:ilvl w:val="255"/>
          <w:numId w:val="0"/>
        </w:numPr>
        <w:tabs>
          <w:tab w:val="left" w:pos="0"/>
        </w:tabs>
        <w:topLinePunct/>
        <w:spacing w:line="360" w:lineRule="exact"/>
        <w:jc w:val="center"/>
        <w:rPr>
          <w:rFonts w:ascii="Times New Roman" w:eastAsia="黑体" w:hAnsi="Times New Roman" w:cs="Times New Roman"/>
          <w:b/>
          <w:kern w:val="2"/>
          <w:sz w:val="18"/>
          <w:szCs w:val="18"/>
        </w:rPr>
      </w:pPr>
      <w:r>
        <w:rPr>
          <w:rFonts w:ascii="Times New Roman" w:eastAsia="黑体" w:hAnsi="Times New Roman" w:cs="Times New Roman"/>
          <w:b/>
          <w:kern w:val="2"/>
          <w:sz w:val="18"/>
          <w:szCs w:val="18"/>
        </w:rPr>
        <w:t>表</w:t>
      </w:r>
      <w:r>
        <w:rPr>
          <w:rFonts w:ascii="Times New Roman" w:eastAsia="黑体" w:hAnsi="Times New Roman" w:cs="Times New Roman"/>
          <w:b/>
          <w:kern w:val="2"/>
          <w:sz w:val="18"/>
          <w:szCs w:val="18"/>
        </w:rPr>
        <w:t xml:space="preserve">4.2.2  </w:t>
      </w:r>
      <w:r>
        <w:rPr>
          <w:rFonts w:ascii="Times New Roman" w:eastAsia="黑体" w:hAnsi="Times New Roman" w:cs="Times New Roman"/>
          <w:b/>
          <w:kern w:val="2"/>
          <w:sz w:val="18"/>
          <w:szCs w:val="18"/>
        </w:rPr>
        <w:t>消防车道验收标准和验收方法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280" w:lineRule="exact"/>
              <w:jc w:val="center"/>
              <w:rPr>
                <w:rFonts w:ascii="Times New Roman" w:hAnsi="Times New Roman" w:cs="Times New Roman"/>
                <w:kern w:val="2"/>
                <w:sz w:val="15"/>
                <w:szCs w:val="15"/>
              </w:rPr>
            </w:pPr>
            <w:r>
              <w:rPr>
                <w:rFonts w:ascii="Times New Roman" w:hAnsi="Times New Roman" w:cs="Times New Roman"/>
                <w:kern w:val="2"/>
                <w:sz w:val="15"/>
                <w:szCs w:val="15"/>
              </w:rPr>
              <w:t>1</w:t>
            </w:r>
          </w:p>
        </w:tc>
        <w:tc>
          <w:tcPr>
            <w:tcW w:w="893"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消防车道</w:t>
            </w:r>
          </w:p>
        </w:tc>
        <w:tc>
          <w:tcPr>
            <w:tcW w:w="2916" w:type="dxa"/>
            <w:tcBorders>
              <w:bottom w:val="single" w:sz="4" w:space="0" w:color="auto"/>
            </w:tcBorders>
            <w:vAlign w:val="center"/>
          </w:tcPr>
          <w:p w:rsidR="009846C2" w:rsidRDefault="00A433A0">
            <w:pPr>
              <w:tabs>
                <w:tab w:val="left" w:pos="0"/>
              </w:tabs>
              <w:topLinePunct/>
              <w:spacing w:line="28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消防车道的净宽和净空高度均不应小于</w:t>
            </w:r>
            <w:r>
              <w:rPr>
                <w:rFonts w:ascii="Times New Roman" w:eastAsiaTheme="minorEastAsia" w:hAnsi="Times New Roman" w:cs="Times New Roman"/>
                <w:kern w:val="2"/>
                <w:sz w:val="15"/>
                <w:szCs w:val="15"/>
              </w:rPr>
              <w:t>4.0m</w:t>
            </w:r>
          </w:p>
        </w:tc>
        <w:tc>
          <w:tcPr>
            <w:tcW w:w="893"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核对设计文件，现场测量、现场检查</w:t>
            </w:r>
          </w:p>
        </w:tc>
        <w:tc>
          <w:tcPr>
            <w:tcW w:w="417" w:type="dxa"/>
            <w:tcBorders>
              <w:bottom w:val="single" w:sz="4" w:space="0" w:color="auto"/>
            </w:tcBorders>
            <w:vAlign w:val="center"/>
          </w:tcPr>
          <w:p w:rsidR="009846C2" w:rsidRDefault="00A433A0">
            <w:pPr>
              <w:tabs>
                <w:tab w:val="left" w:pos="0"/>
              </w:tabs>
              <w:topLinePunct/>
              <w:spacing w:line="280" w:lineRule="exact"/>
              <w:jc w:val="center"/>
              <w:rPr>
                <w:rFonts w:ascii="Times New Roman" w:hAnsi="Times New Roman" w:cs="Times New Roman"/>
                <w:kern w:val="2"/>
                <w:sz w:val="15"/>
                <w:szCs w:val="15"/>
              </w:rPr>
            </w:pPr>
            <w:r>
              <w:rPr>
                <w:rFonts w:ascii="Times New Roman"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280" w:lineRule="exact"/>
              <w:rPr>
                <w:rFonts w:ascii="Times New Roman"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28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车道转弯半径应满足消防车转弯的要求</w:t>
            </w:r>
            <w:r>
              <w:rPr>
                <w:rFonts w:ascii="Times New Roman" w:eastAsiaTheme="minorEastAsia" w:hAnsi="Times New Roman" w:cs="Times New Roman"/>
                <w:kern w:val="2"/>
                <w:sz w:val="15"/>
                <w:szCs w:val="15"/>
              </w:rPr>
              <w:t xml:space="preserve"> </w:t>
            </w:r>
          </w:p>
        </w:tc>
        <w:tc>
          <w:tcPr>
            <w:tcW w:w="893" w:type="dxa"/>
            <w:vMerge/>
            <w:vAlign w:val="center"/>
          </w:tcPr>
          <w:p w:rsidR="009846C2" w:rsidRDefault="009846C2">
            <w:pPr>
              <w:tabs>
                <w:tab w:val="left" w:pos="0"/>
              </w:tabs>
              <w:topLinePunct/>
              <w:spacing w:line="280" w:lineRule="exact"/>
              <w:ind w:firstLineChars="100" w:firstLine="150"/>
              <w:rPr>
                <w:rFonts w:ascii="Times New Roman" w:hAnsi="Times New Roman" w:cs="Times New Roman"/>
                <w:kern w:val="2"/>
                <w:sz w:val="15"/>
                <w:szCs w:val="15"/>
              </w:rPr>
            </w:pPr>
          </w:p>
        </w:tc>
        <w:tc>
          <w:tcPr>
            <w:tcW w:w="417" w:type="dxa"/>
            <w:tcBorders>
              <w:bottom w:val="single" w:sz="4" w:space="0" w:color="auto"/>
            </w:tcBorders>
            <w:vAlign w:val="center"/>
          </w:tcPr>
          <w:p w:rsidR="009846C2" w:rsidRDefault="00A433A0">
            <w:pPr>
              <w:tabs>
                <w:tab w:val="left" w:pos="0"/>
              </w:tabs>
              <w:topLinePunct/>
              <w:spacing w:line="280" w:lineRule="exact"/>
              <w:jc w:val="center"/>
              <w:rPr>
                <w:rFonts w:ascii="Times New Roman" w:hAnsi="Times New Roman" w:cs="Times New Roman"/>
                <w:kern w:val="2"/>
                <w:sz w:val="15"/>
                <w:szCs w:val="15"/>
              </w:rPr>
            </w:pPr>
            <w:r>
              <w:rPr>
                <w:rFonts w:ascii="Times New Roman"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280" w:lineRule="exact"/>
              <w:rPr>
                <w:rFonts w:ascii="Times New Roman"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28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消防车道与建筑物之间不应设置妨碍消防</w:t>
            </w:r>
            <w:r>
              <w:rPr>
                <w:rFonts w:ascii="Times New Roman" w:eastAsiaTheme="minorEastAsia" w:hAnsi="Times New Roman" w:cs="Times New Roman"/>
                <w:kern w:val="2"/>
                <w:sz w:val="15"/>
                <w:szCs w:val="15"/>
              </w:rPr>
              <w:lastRenderedPageBreak/>
              <w:t>车操作的树木、架空管线等障碍物</w:t>
            </w:r>
          </w:p>
        </w:tc>
        <w:tc>
          <w:tcPr>
            <w:tcW w:w="893" w:type="dxa"/>
            <w:vMerge/>
            <w:vAlign w:val="center"/>
          </w:tcPr>
          <w:p w:rsidR="009846C2" w:rsidRDefault="009846C2">
            <w:pPr>
              <w:tabs>
                <w:tab w:val="left" w:pos="0"/>
              </w:tabs>
              <w:topLinePunct/>
              <w:spacing w:line="280" w:lineRule="exact"/>
              <w:ind w:firstLineChars="100" w:firstLine="150"/>
              <w:rPr>
                <w:rFonts w:ascii="Times New Roman" w:hAnsi="Times New Roman" w:cs="Times New Roman"/>
                <w:kern w:val="2"/>
                <w:sz w:val="15"/>
                <w:szCs w:val="15"/>
              </w:rPr>
            </w:pPr>
          </w:p>
        </w:tc>
        <w:tc>
          <w:tcPr>
            <w:tcW w:w="417" w:type="dxa"/>
            <w:tcBorders>
              <w:bottom w:val="single" w:sz="4" w:space="0" w:color="auto"/>
            </w:tcBorders>
            <w:vAlign w:val="center"/>
          </w:tcPr>
          <w:p w:rsidR="009846C2" w:rsidRDefault="00A433A0">
            <w:pPr>
              <w:tabs>
                <w:tab w:val="left" w:pos="0"/>
              </w:tabs>
              <w:topLinePunct/>
              <w:spacing w:line="280" w:lineRule="exact"/>
              <w:jc w:val="center"/>
              <w:rPr>
                <w:rFonts w:ascii="Times New Roman" w:hAnsi="Times New Roman" w:cs="Times New Roman"/>
                <w:kern w:val="2"/>
                <w:sz w:val="15"/>
                <w:szCs w:val="15"/>
              </w:rPr>
            </w:pPr>
            <w:r>
              <w:rPr>
                <w:rFonts w:ascii="Times New Roman"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280" w:lineRule="exact"/>
              <w:rPr>
                <w:rFonts w:ascii="Times New Roman"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28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尽端式消防车道应设置回车场，面积不应小于</w:t>
            </w:r>
            <w:r>
              <w:rPr>
                <w:rFonts w:ascii="Times New Roman" w:eastAsiaTheme="minorEastAsia" w:hAnsi="Times New Roman" w:cs="Times New Roman"/>
                <w:kern w:val="2"/>
                <w:sz w:val="15"/>
                <w:szCs w:val="15"/>
              </w:rPr>
              <w:t>12m×12m</w:t>
            </w:r>
          </w:p>
        </w:tc>
        <w:tc>
          <w:tcPr>
            <w:tcW w:w="893" w:type="dxa"/>
            <w:vMerge/>
            <w:vAlign w:val="center"/>
          </w:tcPr>
          <w:p w:rsidR="009846C2" w:rsidRDefault="009846C2">
            <w:pPr>
              <w:tabs>
                <w:tab w:val="left" w:pos="0"/>
              </w:tabs>
              <w:topLinePunct/>
              <w:spacing w:line="280" w:lineRule="exact"/>
              <w:ind w:firstLineChars="100" w:firstLine="150"/>
              <w:rPr>
                <w:rFonts w:ascii="Times New Roman" w:hAnsi="Times New Roman" w:cs="Times New Roman"/>
                <w:kern w:val="2"/>
                <w:sz w:val="15"/>
                <w:szCs w:val="15"/>
              </w:rPr>
            </w:pPr>
          </w:p>
        </w:tc>
        <w:tc>
          <w:tcPr>
            <w:tcW w:w="417" w:type="dxa"/>
            <w:tcBorders>
              <w:bottom w:val="single" w:sz="4" w:space="0" w:color="auto"/>
            </w:tcBorders>
            <w:vAlign w:val="center"/>
          </w:tcPr>
          <w:p w:rsidR="009846C2" w:rsidRDefault="00A433A0">
            <w:pPr>
              <w:tabs>
                <w:tab w:val="left" w:pos="0"/>
              </w:tabs>
              <w:topLinePunct/>
              <w:spacing w:line="280" w:lineRule="exact"/>
              <w:jc w:val="center"/>
              <w:rPr>
                <w:rFonts w:ascii="Times New Roman" w:hAnsi="Times New Roman" w:cs="Times New Roman"/>
                <w:kern w:val="2"/>
                <w:sz w:val="15"/>
                <w:szCs w:val="15"/>
              </w:rPr>
            </w:pPr>
            <w:r>
              <w:rPr>
                <w:rFonts w:ascii="Times New Roman" w:hAnsi="Times New Roman" w:cs="Times New Roman"/>
                <w:kern w:val="2"/>
                <w:sz w:val="15"/>
                <w:szCs w:val="15"/>
              </w:rPr>
              <w:t>B</w:t>
            </w:r>
          </w:p>
        </w:tc>
        <w:tc>
          <w:tcPr>
            <w:tcW w:w="417" w:type="dxa"/>
            <w:tcBorders>
              <w:bottom w:val="single" w:sz="4" w:space="0" w:color="auto"/>
            </w:tcBorders>
            <w:vAlign w:val="center"/>
          </w:tcPr>
          <w:p w:rsidR="009846C2" w:rsidRDefault="009846C2">
            <w:pPr>
              <w:tabs>
                <w:tab w:val="left" w:pos="0"/>
              </w:tabs>
              <w:topLinePunct/>
              <w:spacing w:line="280" w:lineRule="exact"/>
              <w:jc w:val="center"/>
              <w:rPr>
                <w:rFonts w:ascii="Times New Roman" w:hAnsi="Times New Roman" w:cs="Times New Roman"/>
                <w:kern w:val="2"/>
                <w:sz w:val="15"/>
                <w:szCs w:val="15"/>
              </w:rPr>
            </w:pPr>
          </w:p>
        </w:tc>
      </w:tr>
    </w:tbl>
    <w:p w:rsidR="009846C2" w:rsidRDefault="00A433A0">
      <w:pPr>
        <w:pStyle w:val="31"/>
        <w:numPr>
          <w:ilvl w:val="0"/>
          <w:numId w:val="29"/>
        </w:numPr>
        <w:tabs>
          <w:tab w:val="left" w:pos="0"/>
        </w:tabs>
        <w:topLinePunct/>
        <w:spacing w:before="100" w:beforeAutospacing="1" w:after="100" w:afterAutospacing="1" w:line="360" w:lineRule="exact"/>
        <w:ind w:firstLineChars="0"/>
        <w:jc w:val="center"/>
        <w:outlineLvl w:val="1"/>
        <w:rPr>
          <w:rFonts w:eastAsia="黑体"/>
        </w:rPr>
      </w:pPr>
      <w:r>
        <w:rPr>
          <w:rFonts w:eastAsia="黑体"/>
        </w:rPr>
        <w:t>平面布置</w:t>
      </w:r>
    </w:p>
    <w:p w:rsidR="009846C2" w:rsidRDefault="00A433A0">
      <w:pPr>
        <w:pStyle w:val="af1"/>
        <w:widowControl w:val="0"/>
        <w:numPr>
          <w:ilvl w:val="0"/>
          <w:numId w:val="34"/>
        </w:numPr>
        <w:tabs>
          <w:tab w:val="left" w:pos="0"/>
        </w:tabs>
        <w:topLinePunct/>
        <w:spacing w:line="360" w:lineRule="exact"/>
        <w:ind w:left="0" w:firstLineChars="0" w:firstLine="0"/>
        <w:jc w:val="both"/>
        <w:rPr>
          <w:rFonts w:ascii="Times New Roman" w:hAnsi="Times New Roman" w:cs="Times New Roman"/>
          <w:kern w:val="2"/>
        </w:rPr>
      </w:pPr>
      <w:r>
        <w:rPr>
          <w:rFonts w:ascii="Times New Roman" w:eastAsia="宋体" w:hAnsi="Times New Roman" w:cs="Times New Roman"/>
          <w:kern w:val="2"/>
        </w:rPr>
        <w:t>平面布置</w:t>
      </w:r>
    </w:p>
    <w:p w:rsidR="009846C2" w:rsidRDefault="00A433A0">
      <w:pPr>
        <w:widowControl w:val="0"/>
        <w:numPr>
          <w:ilvl w:val="0"/>
          <w:numId w:val="35"/>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检查数量：全数检查。</w:t>
      </w:r>
    </w:p>
    <w:p w:rsidR="009846C2" w:rsidRDefault="00A433A0">
      <w:pPr>
        <w:widowControl w:val="0"/>
        <w:numPr>
          <w:ilvl w:val="0"/>
          <w:numId w:val="35"/>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4.3.1</w:t>
      </w:r>
      <w:r>
        <w:rPr>
          <w:rFonts w:ascii="Times New Roman" w:eastAsiaTheme="minorEastAsia"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4.3.1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平面布置验收标准和验收方法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消防控制室</w:t>
            </w: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不应与电磁场干扰较强及其他可能影响消防控制设备正常工作的房间贴邻</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附设在建筑物内的消防控制室，应采用耐火极限不低于</w:t>
            </w:r>
            <w:r>
              <w:rPr>
                <w:rFonts w:ascii="Times New Roman" w:eastAsia="宋体" w:hAnsi="Times New Roman" w:cs="Times New Roman"/>
                <w:kern w:val="2"/>
                <w:sz w:val="15"/>
                <w:szCs w:val="15"/>
              </w:rPr>
              <w:t>2.0h</w:t>
            </w:r>
            <w:r>
              <w:rPr>
                <w:rFonts w:ascii="Times New Roman" w:eastAsia="宋体" w:hAnsi="Times New Roman" w:cs="Times New Roman"/>
                <w:kern w:val="2"/>
                <w:sz w:val="15"/>
                <w:szCs w:val="15"/>
              </w:rPr>
              <w:t>的隔墙和</w:t>
            </w:r>
            <w:r>
              <w:rPr>
                <w:rFonts w:ascii="Times New Roman" w:eastAsia="宋体" w:hAnsi="Times New Roman" w:cs="Times New Roman"/>
                <w:kern w:val="2"/>
                <w:sz w:val="15"/>
                <w:szCs w:val="15"/>
              </w:rPr>
              <w:t>1.50h</w:t>
            </w:r>
            <w:r>
              <w:rPr>
                <w:rFonts w:ascii="Times New Roman" w:eastAsia="宋体" w:hAnsi="Times New Roman" w:cs="Times New Roman"/>
                <w:kern w:val="2"/>
                <w:sz w:val="15"/>
                <w:szCs w:val="15"/>
              </w:rPr>
              <w:t>的楼板与其他部位分隔，开向建筑内的门应采用乙级防火门</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疏散门应直通室外或安全出口</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防水淹措施应符合符合国家和河北省现行规范标准的规定和消防设计文件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消防水泵房</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附设在建筑物内的消防水泵房，应采用耐火极限不低于</w:t>
            </w:r>
            <w:r>
              <w:rPr>
                <w:rFonts w:ascii="Times New Roman" w:eastAsia="宋体" w:hAnsi="Times New Roman" w:cs="Times New Roman"/>
                <w:kern w:val="2"/>
                <w:sz w:val="15"/>
                <w:szCs w:val="15"/>
              </w:rPr>
              <w:t>2.0h</w:t>
            </w:r>
            <w:r>
              <w:rPr>
                <w:rFonts w:ascii="Times New Roman" w:eastAsia="宋体" w:hAnsi="Times New Roman" w:cs="Times New Roman"/>
                <w:kern w:val="2"/>
                <w:sz w:val="15"/>
                <w:szCs w:val="15"/>
              </w:rPr>
              <w:t>的防火隔墙和</w:t>
            </w:r>
            <w:r>
              <w:rPr>
                <w:rFonts w:ascii="Times New Roman" w:eastAsia="宋体" w:hAnsi="Times New Roman" w:cs="Times New Roman"/>
                <w:kern w:val="2"/>
                <w:sz w:val="15"/>
                <w:szCs w:val="15"/>
              </w:rPr>
              <w:t>1.5h</w:t>
            </w:r>
            <w:r>
              <w:rPr>
                <w:rFonts w:ascii="Times New Roman" w:eastAsia="宋体" w:hAnsi="Times New Roman" w:cs="Times New Roman"/>
                <w:kern w:val="2"/>
                <w:sz w:val="15"/>
                <w:szCs w:val="15"/>
              </w:rPr>
              <w:t>的楼板与其他部位分隔，开向建筑内的门应采用甲级防火门</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附设在建筑内的消防水泵房，不应设置在地下三层及以下或室内地面与室外出入口地坪高差大于</w:t>
            </w:r>
            <w:r>
              <w:rPr>
                <w:rFonts w:ascii="Times New Roman" w:eastAsia="宋体" w:hAnsi="Times New Roman" w:cs="Times New Roman"/>
                <w:kern w:val="2"/>
                <w:sz w:val="15"/>
                <w:szCs w:val="15"/>
              </w:rPr>
              <w:t>10.0m</w:t>
            </w:r>
            <w:r>
              <w:rPr>
                <w:rFonts w:ascii="Times New Roman" w:eastAsia="宋体" w:hAnsi="Times New Roman" w:cs="Times New Roman"/>
                <w:kern w:val="2"/>
                <w:sz w:val="15"/>
                <w:szCs w:val="15"/>
              </w:rPr>
              <w:t>的地下楼层</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疏散门应直通室外或安全出口</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防水淹措施应符合符合国家和河北省现行规范标准的规定和消防设计文件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3</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灭火设备室、通风空气调节机房</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附设在建筑物内的灭火设备室、通风空气调节机房，应采用耐火极限不低于</w:t>
            </w:r>
            <w:r>
              <w:rPr>
                <w:rFonts w:ascii="Times New Roman" w:eastAsia="宋体" w:hAnsi="Times New Roman" w:cs="Times New Roman"/>
                <w:kern w:val="2"/>
                <w:sz w:val="15"/>
                <w:szCs w:val="15"/>
              </w:rPr>
              <w:t>2.0h</w:t>
            </w:r>
            <w:r>
              <w:rPr>
                <w:rFonts w:ascii="Times New Roman" w:eastAsia="宋体" w:hAnsi="Times New Roman" w:cs="Times New Roman"/>
                <w:kern w:val="2"/>
                <w:sz w:val="15"/>
                <w:szCs w:val="15"/>
              </w:rPr>
              <w:t>的隔墙和</w:t>
            </w:r>
            <w:r>
              <w:rPr>
                <w:rFonts w:ascii="Times New Roman" w:eastAsia="宋体" w:hAnsi="Times New Roman" w:cs="Times New Roman"/>
                <w:kern w:val="2"/>
                <w:sz w:val="15"/>
                <w:szCs w:val="15"/>
              </w:rPr>
              <w:t>1.5h</w:t>
            </w:r>
            <w:r>
              <w:rPr>
                <w:rFonts w:ascii="Times New Roman" w:eastAsia="宋体" w:hAnsi="Times New Roman" w:cs="Times New Roman"/>
                <w:kern w:val="2"/>
                <w:sz w:val="15"/>
                <w:szCs w:val="15"/>
              </w:rPr>
              <w:t>的楼板与其他部位分隔，开向建筑内的门应采用甲级防火门</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rPr>
                <w:rFonts w:ascii="Times New Roman"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300" w:lineRule="exact"/>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门应向疏散方向开启</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bl>
    <w:p w:rsidR="009846C2" w:rsidRDefault="00A433A0">
      <w:pPr>
        <w:pStyle w:val="31"/>
        <w:numPr>
          <w:ilvl w:val="0"/>
          <w:numId w:val="29"/>
        </w:numPr>
        <w:tabs>
          <w:tab w:val="left" w:pos="0"/>
        </w:tabs>
        <w:topLinePunct/>
        <w:spacing w:before="100" w:beforeAutospacing="1" w:after="100" w:afterAutospacing="1" w:line="360" w:lineRule="exact"/>
        <w:ind w:firstLineChars="0"/>
        <w:jc w:val="center"/>
        <w:outlineLvl w:val="1"/>
        <w:rPr>
          <w:rFonts w:eastAsia="黑体"/>
        </w:rPr>
      </w:pPr>
      <w:r>
        <w:rPr>
          <w:rFonts w:eastAsia="黑体"/>
        </w:rPr>
        <w:t>安全疏散</w:t>
      </w:r>
    </w:p>
    <w:p w:rsidR="009846C2" w:rsidRDefault="00A433A0">
      <w:pPr>
        <w:pStyle w:val="af1"/>
        <w:widowControl w:val="0"/>
        <w:numPr>
          <w:ilvl w:val="0"/>
          <w:numId w:val="36"/>
        </w:numPr>
        <w:tabs>
          <w:tab w:val="left" w:pos="0"/>
        </w:tabs>
        <w:topLinePunct/>
        <w:spacing w:line="360" w:lineRule="exact"/>
        <w:ind w:firstLineChars="0"/>
        <w:jc w:val="both"/>
        <w:rPr>
          <w:rFonts w:ascii="Times New Roman" w:hAnsi="Times New Roman" w:cs="Times New Roman"/>
          <w:kern w:val="2"/>
        </w:rPr>
      </w:pPr>
      <w:r>
        <w:rPr>
          <w:rFonts w:ascii="Times New Roman" w:eastAsia="宋体" w:hAnsi="Times New Roman" w:cs="Times New Roman"/>
          <w:kern w:val="2"/>
        </w:rPr>
        <w:t>安全疏散</w:t>
      </w:r>
    </w:p>
    <w:p w:rsidR="009846C2" w:rsidRDefault="00A433A0">
      <w:pPr>
        <w:widowControl w:val="0"/>
        <w:numPr>
          <w:ilvl w:val="0"/>
          <w:numId w:val="37"/>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检查数量：全数检查。</w:t>
      </w:r>
    </w:p>
    <w:p w:rsidR="009846C2" w:rsidRDefault="00A433A0">
      <w:pPr>
        <w:widowControl w:val="0"/>
        <w:numPr>
          <w:ilvl w:val="0"/>
          <w:numId w:val="37"/>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4.4.1</w:t>
      </w:r>
      <w:r>
        <w:rPr>
          <w:rFonts w:ascii="Times New Roman" w:eastAsiaTheme="minorEastAsia"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4.4.1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安全疏散验收标准和验收方法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安全出口</w:t>
            </w:r>
          </w:p>
        </w:tc>
        <w:tc>
          <w:tcPr>
            <w:tcW w:w="2916" w:type="dxa"/>
            <w:tcBorders>
              <w:bottom w:val="single" w:sz="4" w:space="0" w:color="auto"/>
            </w:tcBorders>
            <w:vAlign w:val="center"/>
          </w:tcPr>
          <w:p w:rsidR="009846C2" w:rsidRDefault="00A433A0">
            <w:pPr>
              <w:tabs>
                <w:tab w:val="left" w:pos="0"/>
              </w:tabs>
              <w:topLinePunct/>
              <w:spacing w:line="28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每个防火分区以及同一防火分区的不同楼层的安全出口不应少于</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个；当只设置一个安全出口时，应符合国家和河北省现行规范标准的规定和消防设计文件</w:t>
            </w:r>
          </w:p>
        </w:tc>
        <w:tc>
          <w:tcPr>
            <w:tcW w:w="893"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bottom w:val="single" w:sz="4" w:space="0" w:color="auto"/>
            </w:tcBorders>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28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建筑面积超过</w:t>
            </w:r>
            <w:r>
              <w:rPr>
                <w:rFonts w:ascii="Times New Roman" w:eastAsia="宋体" w:hAnsi="Times New Roman" w:cs="Times New Roman"/>
                <w:kern w:val="2"/>
                <w:sz w:val="15"/>
                <w:szCs w:val="15"/>
              </w:rPr>
              <w:t>250m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的控制室、通信机房、配电装置室、电容器室、阀厅、户内直流场、电缆夹层，其疏散门不应少于</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个</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主控制楼当每层建筑面积不大于</w:t>
            </w:r>
            <w:r>
              <w:rPr>
                <w:rFonts w:ascii="Times New Roman" w:eastAsia="宋体" w:hAnsi="Times New Roman" w:cs="Times New Roman"/>
                <w:kern w:val="2"/>
                <w:sz w:val="15"/>
                <w:szCs w:val="15"/>
              </w:rPr>
              <w:t>400m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时，可设置</w:t>
            </w: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个安全出口；当每层建筑面积大于</w:t>
            </w:r>
            <w:r>
              <w:rPr>
                <w:rFonts w:ascii="Times New Roman" w:eastAsia="宋体" w:hAnsi="Times New Roman" w:cs="Times New Roman"/>
                <w:kern w:val="2"/>
                <w:sz w:val="15"/>
                <w:szCs w:val="15"/>
              </w:rPr>
              <w:t>400m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时，应设置</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个安全出口，其中</w:t>
            </w: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个安全出口可通向室外楼梯</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地下变电站、地上变电站的地下室、半地下室安全出口数量不应少于</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个</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安全出口的最小疏散净宽度，应符合国家和河北省现行规范标准的规定和消防设计文件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疏散距离应符合国家和河北省现行规范标准的规定和消防设计文件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疏散门</w:t>
            </w:r>
          </w:p>
        </w:tc>
        <w:tc>
          <w:tcPr>
            <w:tcW w:w="2916" w:type="dxa"/>
            <w:vAlign w:val="center"/>
          </w:tcPr>
          <w:p w:rsidR="009846C2" w:rsidRDefault="00A433A0">
            <w:pPr>
              <w:tabs>
                <w:tab w:val="left" w:pos="0"/>
              </w:tabs>
              <w:topLinePunct/>
              <w:spacing w:line="28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地上油浸变压器室的门应直通室外；地下油浸变压器室门应向公共走道方向开启，该门应采用甲级防火门</w:t>
            </w:r>
          </w:p>
        </w:tc>
        <w:tc>
          <w:tcPr>
            <w:tcW w:w="893"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280" w:lineRule="exact"/>
              <w:jc w:val="center"/>
              <w:rPr>
                <w:rFonts w:ascii="Times New Roman" w:eastAsia="宋体" w:hAnsi="Times New Roman" w:cs="Times New Roman"/>
                <w:strike/>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干式变压器室、电容器室门应向公共走道方向开启，该门应采用乙级防火门</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蓄电池室、电缆夹层、继电器室、通信机房、配电装置室的门应向疏散方向开启，当门外为公共走道或其他房间时，该门应采用乙级防火门</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疏散走道在防火分区处应设置常开甲级防火门</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设置形式应符合国家和河北省现行规范标准的规定和消防设计文件，不应设置推拉门、卷帘门、吊门、转门和折叠门</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开向疏散楼梯或疏散楼梯的门，当其完全开启时，不应减少楼梯平台的有效宽度</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测试逃生门锁装置、门禁系统紧急情况下的开启情况；应保证火灾时不需要使用钥匙等任何工具即能从内部易于打开，并应在显著位置设置具有提示的标识</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疏散走道</w:t>
            </w:r>
          </w:p>
        </w:tc>
        <w:tc>
          <w:tcPr>
            <w:tcW w:w="2916" w:type="dxa"/>
            <w:vAlign w:val="center"/>
          </w:tcPr>
          <w:p w:rsidR="009846C2" w:rsidRDefault="00A433A0">
            <w:pPr>
              <w:tabs>
                <w:tab w:val="left" w:pos="0"/>
              </w:tabs>
              <w:topLinePunct/>
              <w:spacing w:line="28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走道位置和形式应符合国家和河北省现行规范标准的规定和消防设计文件</w:t>
            </w:r>
          </w:p>
        </w:tc>
        <w:tc>
          <w:tcPr>
            <w:tcW w:w="893"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测量疏散宽度、疏散距离应符合国家和河北省现行规范标准的规定和消防设计文件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现场测量、</w:t>
            </w: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lastRenderedPageBreak/>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4</w:t>
            </w:r>
          </w:p>
        </w:tc>
        <w:tc>
          <w:tcPr>
            <w:tcW w:w="893" w:type="dxa"/>
            <w:vMerge w:val="restart"/>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疏散楼梯间、封闭楼梯间、防烟楼梯间、室外楼梯</w:t>
            </w:r>
          </w:p>
        </w:tc>
        <w:tc>
          <w:tcPr>
            <w:tcW w:w="2916" w:type="dxa"/>
            <w:vAlign w:val="center"/>
          </w:tcPr>
          <w:p w:rsidR="009846C2" w:rsidRDefault="00A433A0">
            <w:pPr>
              <w:tabs>
                <w:tab w:val="left" w:pos="0"/>
              </w:tabs>
              <w:topLinePunct/>
              <w:spacing w:line="28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疏散楼梯的设置形式和数量、位置、宽度应符合国家和河北省现行规范标准的规定和消防设计文件</w:t>
            </w:r>
          </w:p>
        </w:tc>
        <w:tc>
          <w:tcPr>
            <w:tcW w:w="893"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核对设计文件，现场测量、现场检查</w:t>
            </w:r>
          </w:p>
        </w:tc>
        <w:tc>
          <w:tcPr>
            <w:tcW w:w="417" w:type="dxa"/>
            <w:vAlign w:val="center"/>
          </w:tcPr>
          <w:p w:rsidR="009846C2" w:rsidRDefault="00A433A0">
            <w:pPr>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28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地下室与地上层不应共用楼梯间，当必须共用楼梯间时，应在首层采用耐火极限不低于</w:t>
            </w:r>
            <w:r>
              <w:rPr>
                <w:rFonts w:ascii="Times New Roman" w:eastAsia="宋体" w:hAnsi="Times New Roman" w:cs="Times New Roman"/>
                <w:kern w:val="2"/>
                <w:sz w:val="15"/>
                <w:szCs w:val="15"/>
              </w:rPr>
              <w:t>2.0h</w:t>
            </w:r>
            <w:r>
              <w:rPr>
                <w:rFonts w:ascii="Times New Roman" w:eastAsia="宋体" w:hAnsi="Times New Roman" w:cs="Times New Roman"/>
                <w:kern w:val="2"/>
                <w:sz w:val="15"/>
                <w:szCs w:val="15"/>
              </w:rPr>
              <w:t>的不燃烧体隔墙和乙级防火门将地下部分与地上部分的连通部分完全隔开，并应有明显标志</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地下变电站当地下层数为</w:t>
            </w: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层及</w:t>
            </w: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层以上或地下室内地面与室外出入口地坪高差大于</w:t>
            </w:r>
            <w:r>
              <w:rPr>
                <w:rFonts w:ascii="Times New Roman" w:eastAsia="宋体" w:hAnsi="Times New Roman" w:cs="Times New Roman"/>
                <w:kern w:val="2"/>
                <w:sz w:val="15"/>
                <w:szCs w:val="15"/>
              </w:rPr>
              <w:t>10m</w:t>
            </w:r>
            <w:r>
              <w:rPr>
                <w:rFonts w:ascii="Times New Roman" w:eastAsia="宋体" w:hAnsi="Times New Roman" w:cs="Times New Roman"/>
                <w:kern w:val="2"/>
                <w:sz w:val="15"/>
                <w:szCs w:val="15"/>
              </w:rPr>
              <w:t>时，应设置防烟楼梯间，楼梯间应设乙级防火门，并向疏散方向开启</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楼梯间内不应设置烧水间、可燃材料储藏室、垃圾道</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楼梯间不应有影响疏散的凸出物或其他障碍物</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封闭楼梯间、防烟楼梯间及其前室，不应设置卷帘</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楼梯间内不应设置甲、乙、丙类液体管道</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封闭楼梯间、防烟楼梯间及其前室内禁止穿过或设置可燃气体管道。敞开楼梯间内不应设置可燃气体管道</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封闭楼梯间除楼梯间的出入口和外窗外，楼梯间的墙上不应开设其他门、窗、洞口</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楼梯间的首层可将走道和门厅等包括在楼梯间内形成扩大的封闭楼梯间，但应采用乙级防火门等与其他走道和房间分隔</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防烟楼梯间前室的使用面积不应小于</w:t>
            </w:r>
            <w:r>
              <w:rPr>
                <w:rFonts w:ascii="Times New Roman" w:eastAsia="宋体" w:hAnsi="Times New Roman" w:cs="Times New Roman"/>
                <w:kern w:val="2"/>
                <w:sz w:val="15"/>
                <w:szCs w:val="15"/>
              </w:rPr>
              <w:t>6.0m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；与消防电梯间前室合用时，合用前室的使用面积不应小于</w:t>
            </w:r>
            <w:r>
              <w:rPr>
                <w:rFonts w:ascii="Times New Roman" w:eastAsia="宋体" w:hAnsi="Times New Roman" w:cs="Times New Roman"/>
                <w:kern w:val="2"/>
                <w:sz w:val="15"/>
                <w:szCs w:val="15"/>
              </w:rPr>
              <w:t>10.0m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，前室的短边不应小于</w:t>
            </w:r>
            <w:r>
              <w:rPr>
                <w:rFonts w:ascii="Times New Roman" w:eastAsia="宋体" w:hAnsi="Times New Roman" w:cs="Times New Roman"/>
                <w:kern w:val="2"/>
                <w:sz w:val="15"/>
                <w:szCs w:val="15"/>
              </w:rPr>
              <w:t>2.4m</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防烟楼梯间和前室内墙上不应开设除疏散门或送风口外的其他门、窗、洞口</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28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室外疏散楼梯栏杆的高度不应小于</w:t>
            </w:r>
            <w:r>
              <w:rPr>
                <w:rFonts w:ascii="Times New Roman" w:eastAsia="宋体" w:hAnsi="Times New Roman" w:cs="Times New Roman"/>
                <w:kern w:val="2"/>
                <w:sz w:val="15"/>
                <w:szCs w:val="15"/>
              </w:rPr>
              <w:t>1.1m</w:t>
            </w:r>
            <w:r>
              <w:rPr>
                <w:rFonts w:ascii="Times New Roman" w:eastAsia="宋体" w:hAnsi="Times New Roman" w:cs="Times New Roman"/>
                <w:kern w:val="2"/>
                <w:sz w:val="15"/>
                <w:szCs w:val="15"/>
              </w:rPr>
              <w:t>，楼梯的净宽度不应小于</w:t>
            </w:r>
            <w:r>
              <w:rPr>
                <w:rFonts w:ascii="Times New Roman" w:eastAsia="宋体" w:hAnsi="Times New Roman" w:cs="Times New Roman"/>
                <w:kern w:val="2"/>
                <w:sz w:val="15"/>
                <w:szCs w:val="15"/>
              </w:rPr>
              <w:t>0.9m</w:t>
            </w:r>
            <w:r>
              <w:rPr>
                <w:rFonts w:ascii="Times New Roman" w:eastAsia="宋体" w:hAnsi="Times New Roman" w:cs="Times New Roman"/>
                <w:kern w:val="2"/>
                <w:sz w:val="15"/>
                <w:szCs w:val="15"/>
              </w:rPr>
              <w:t>；倾斜角度不应大于</w:t>
            </w:r>
            <w:r>
              <w:rPr>
                <w:rFonts w:ascii="Times New Roman" w:eastAsia="宋体" w:hAnsi="Times New Roman" w:cs="Times New Roman"/>
                <w:kern w:val="2"/>
                <w:sz w:val="15"/>
                <w:szCs w:val="15"/>
              </w:rPr>
              <w:t>45</w:t>
            </w:r>
            <w:r>
              <w:rPr>
                <w:rFonts w:ascii="Times New Roman" w:eastAsia="宋体" w:hAnsi="Times New Roman" w:cs="Times New Roman"/>
                <w:kern w:val="2"/>
                <w:sz w:val="15"/>
                <w:szCs w:val="15"/>
                <w:vertAlign w:val="superscript"/>
              </w:rPr>
              <w:t>0</w:t>
            </w:r>
            <w:r>
              <w:rPr>
                <w:rFonts w:ascii="Times New Roman" w:eastAsia="宋体" w:hAnsi="Times New Roman" w:cs="Times New Roman"/>
                <w:kern w:val="2"/>
                <w:sz w:val="15"/>
                <w:szCs w:val="15"/>
              </w:rPr>
              <w:t>；梯段和平台均应采用不燃材料制作；通向室外楼梯的门应采用乙级防火门，并应向外开启；除疏散门外，楼梯周围</w:t>
            </w:r>
            <w:r>
              <w:rPr>
                <w:rFonts w:ascii="Times New Roman" w:eastAsia="宋体" w:hAnsi="Times New Roman" w:cs="Times New Roman"/>
                <w:kern w:val="2"/>
                <w:sz w:val="15"/>
                <w:szCs w:val="15"/>
              </w:rPr>
              <w:t>2m</w:t>
            </w:r>
            <w:r>
              <w:rPr>
                <w:rFonts w:ascii="Times New Roman" w:eastAsia="宋体" w:hAnsi="Times New Roman" w:cs="Times New Roman"/>
                <w:kern w:val="2"/>
                <w:sz w:val="15"/>
                <w:szCs w:val="15"/>
              </w:rPr>
              <w:t>内的墙面上不应设置门、窗、洞口；疏散门不应正对梯段</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tcBorders>
              <w:bottom w:val="single" w:sz="4" w:space="0" w:color="auto"/>
            </w:tcBorders>
            <w:vAlign w:val="center"/>
          </w:tcPr>
          <w:p w:rsidR="009846C2" w:rsidRDefault="009846C2">
            <w:pPr>
              <w:tabs>
                <w:tab w:val="left" w:pos="0"/>
              </w:tabs>
              <w:topLinePunct/>
              <w:spacing w:line="280" w:lineRule="exact"/>
              <w:jc w:val="both"/>
              <w:rPr>
                <w:rFonts w:ascii="Times New Roman" w:eastAsia="宋体" w:hAnsi="Times New Roman" w:cs="Times New Roman"/>
                <w:kern w:val="2"/>
                <w:sz w:val="15"/>
                <w:szCs w:val="15"/>
              </w:rPr>
            </w:pPr>
          </w:p>
        </w:tc>
        <w:tc>
          <w:tcPr>
            <w:tcW w:w="893" w:type="dxa"/>
            <w:vAlign w:val="center"/>
          </w:tcPr>
          <w:p w:rsidR="009846C2" w:rsidRDefault="009846C2">
            <w:pPr>
              <w:tabs>
                <w:tab w:val="left" w:pos="0"/>
              </w:tabs>
              <w:topLinePunct/>
              <w:spacing w:line="300" w:lineRule="exact"/>
              <w:ind w:firstLineChars="100" w:firstLine="150"/>
              <w:jc w:val="center"/>
              <w:rPr>
                <w:rFonts w:ascii="Times New Roman" w:hAnsi="Times New Roman" w:cs="Times New Roman"/>
                <w:kern w:val="2"/>
                <w:sz w:val="15"/>
                <w:szCs w:val="15"/>
              </w:rPr>
            </w:pP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bl>
    <w:p w:rsidR="009846C2" w:rsidRDefault="00A433A0">
      <w:pPr>
        <w:pStyle w:val="af1"/>
        <w:widowControl w:val="0"/>
        <w:numPr>
          <w:ilvl w:val="0"/>
          <w:numId w:val="36"/>
        </w:numPr>
        <w:tabs>
          <w:tab w:val="left" w:pos="0"/>
        </w:tabs>
        <w:topLinePunct/>
        <w:spacing w:line="360" w:lineRule="exact"/>
        <w:ind w:firstLineChars="0"/>
        <w:jc w:val="both"/>
        <w:rPr>
          <w:rFonts w:ascii="Times New Roman" w:eastAsia="宋体" w:hAnsi="Times New Roman" w:cs="Times New Roman"/>
          <w:kern w:val="2"/>
        </w:rPr>
      </w:pPr>
      <w:r>
        <w:rPr>
          <w:rFonts w:ascii="Times New Roman" w:eastAsia="宋体" w:hAnsi="Times New Roman" w:cs="Times New Roman"/>
          <w:kern w:val="2"/>
        </w:rPr>
        <w:t>消防电梯</w:t>
      </w:r>
    </w:p>
    <w:p w:rsidR="009846C2" w:rsidRDefault="00A433A0">
      <w:pPr>
        <w:widowControl w:val="0"/>
        <w:numPr>
          <w:ilvl w:val="0"/>
          <w:numId w:val="38"/>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检查数量：全数检查。</w:t>
      </w:r>
    </w:p>
    <w:p w:rsidR="009846C2" w:rsidRDefault="00A433A0">
      <w:pPr>
        <w:widowControl w:val="0"/>
        <w:numPr>
          <w:ilvl w:val="0"/>
          <w:numId w:val="38"/>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4.4.2</w:t>
      </w:r>
      <w:r>
        <w:rPr>
          <w:rFonts w:ascii="Times New Roman" w:eastAsiaTheme="minorEastAsia"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4.4.2</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消防电梯验收标准和验收方法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7"/>
        <w:gridCol w:w="893"/>
        <w:gridCol w:w="2916"/>
        <w:gridCol w:w="893"/>
        <w:gridCol w:w="420"/>
        <w:gridCol w:w="413"/>
      </w:tblGrid>
      <w:tr w:rsidR="009846C2">
        <w:trPr>
          <w:tblHeader/>
        </w:trPr>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20"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7" w:type="dxa"/>
            <w:vMerge w:val="restart"/>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消防电梯</w:t>
            </w: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检查电梯的位置和数量应符合国家和河北省现行规范标准的规定和消防设计文件</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现场查验</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消防电梯应能每层停靠</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首层直通室外或经过长度不大于</w:t>
            </w:r>
            <w:r>
              <w:rPr>
                <w:rFonts w:ascii="Times New Roman" w:eastAsia="宋体" w:hAnsi="Times New Roman" w:cs="Times New Roman"/>
                <w:kern w:val="2"/>
                <w:sz w:val="15"/>
                <w:szCs w:val="15"/>
              </w:rPr>
              <w:t>30m</w:t>
            </w:r>
            <w:r>
              <w:rPr>
                <w:rFonts w:ascii="Times New Roman" w:eastAsia="宋体" w:hAnsi="Times New Roman" w:cs="Times New Roman"/>
                <w:kern w:val="2"/>
                <w:sz w:val="15"/>
                <w:szCs w:val="15"/>
              </w:rPr>
              <w:t>的通道通向室外</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contextualSpacing/>
              <w:rPr>
                <w:rFonts w:ascii="Times New Roman" w:eastAsia="宋体" w:hAnsi="Times New Roman" w:cs="Times New Roman"/>
                <w:kern w:val="2"/>
                <w:sz w:val="15"/>
                <w:szCs w:val="15"/>
              </w:rPr>
            </w:pPr>
          </w:p>
        </w:tc>
        <w:tc>
          <w:tcPr>
            <w:tcW w:w="2916" w:type="dxa"/>
            <w:vAlign w:val="center"/>
          </w:tcPr>
          <w:p w:rsidR="009846C2" w:rsidRDefault="00A433A0">
            <w:pPr>
              <w:pStyle w:val="a7"/>
              <w:widowControl/>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hAnsi="Times New Roman"/>
                <w:kern w:val="2"/>
                <w:sz w:val="15"/>
                <w:szCs w:val="15"/>
              </w:rPr>
              <w:t>前室的使用面积不应小于</w:t>
            </w:r>
            <w:r>
              <w:rPr>
                <w:rFonts w:ascii="Times New Roman" w:hAnsi="Times New Roman"/>
                <w:kern w:val="2"/>
                <w:sz w:val="15"/>
                <w:szCs w:val="15"/>
              </w:rPr>
              <w:t>6.0m</w:t>
            </w:r>
            <w:r>
              <w:rPr>
                <w:rFonts w:ascii="Times New Roman" w:hAnsi="Times New Roman"/>
                <w:kern w:val="2"/>
                <w:sz w:val="15"/>
                <w:szCs w:val="15"/>
                <w:vertAlign w:val="superscript"/>
              </w:rPr>
              <w:t>2</w:t>
            </w:r>
            <w:r>
              <w:rPr>
                <w:rFonts w:ascii="Times New Roman" w:hAnsi="Times New Roman"/>
                <w:kern w:val="2"/>
                <w:sz w:val="15"/>
                <w:szCs w:val="15"/>
              </w:rPr>
              <w:t>，前室的短边不应小于</w:t>
            </w:r>
            <w:r>
              <w:rPr>
                <w:rFonts w:ascii="Times New Roman" w:hAnsi="Times New Roman"/>
                <w:kern w:val="2"/>
                <w:sz w:val="15"/>
                <w:szCs w:val="15"/>
              </w:rPr>
              <w:t>2.4m</w:t>
            </w:r>
            <w:r>
              <w:rPr>
                <w:rFonts w:ascii="Times New Roman" w:hAnsi="Times New Roman"/>
                <w:kern w:val="2"/>
                <w:sz w:val="15"/>
                <w:szCs w:val="15"/>
              </w:rPr>
              <w:t>；除前室的出入口、前室内的正压送风口外，前室内不应开设其他门、窗、洞口；前室或合用前室的门应采用</w:t>
            </w:r>
            <w:r>
              <w:rPr>
                <w:rFonts w:ascii="Times New Roman" w:hAnsi="Times New Roman"/>
                <w:kern w:val="2"/>
                <w:sz w:val="15"/>
                <w:szCs w:val="15"/>
              </w:rPr>
              <w:lastRenderedPageBreak/>
              <w:t>乙级防火门，不应设置卷帘</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contextualSpacing/>
              <w:rPr>
                <w:rFonts w:ascii="Times New Roman" w:eastAsia="宋体" w:hAnsi="Times New Roman" w:cs="Times New Roman"/>
                <w:kern w:val="2"/>
                <w:sz w:val="15"/>
                <w:szCs w:val="15"/>
              </w:rPr>
            </w:pPr>
          </w:p>
        </w:tc>
        <w:tc>
          <w:tcPr>
            <w:tcW w:w="2916" w:type="dxa"/>
            <w:vAlign w:val="center"/>
          </w:tcPr>
          <w:p w:rsidR="009846C2" w:rsidRDefault="00A433A0">
            <w:pPr>
              <w:pStyle w:val="a7"/>
              <w:widowControl/>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hAnsi="Times New Roman"/>
                <w:kern w:val="2"/>
                <w:sz w:val="15"/>
                <w:szCs w:val="15"/>
              </w:rPr>
              <w:t>查看消防电梯井、机房与相邻电梯井、机房之间应设置耐火极限不低于</w:t>
            </w:r>
            <w:r>
              <w:rPr>
                <w:rFonts w:ascii="Times New Roman" w:hAnsi="Times New Roman"/>
                <w:kern w:val="2"/>
                <w:sz w:val="15"/>
                <w:szCs w:val="15"/>
              </w:rPr>
              <w:t>2</w:t>
            </w:r>
            <w:r>
              <w:rPr>
                <w:rFonts w:ascii="Times New Roman" w:hAnsi="Times New Roman"/>
                <w:kern w:val="2"/>
                <w:sz w:val="15"/>
                <w:szCs w:val="15"/>
              </w:rPr>
              <w:t>．</w:t>
            </w:r>
            <w:r>
              <w:rPr>
                <w:rFonts w:ascii="Times New Roman" w:hAnsi="Times New Roman"/>
                <w:kern w:val="2"/>
                <w:sz w:val="15"/>
                <w:szCs w:val="15"/>
              </w:rPr>
              <w:t>00h</w:t>
            </w:r>
            <w:r>
              <w:rPr>
                <w:rFonts w:ascii="Times New Roman" w:hAnsi="Times New Roman"/>
                <w:kern w:val="2"/>
                <w:sz w:val="15"/>
                <w:szCs w:val="15"/>
              </w:rPr>
              <w:t>的防火隔墙分隔，隔墙上的门应采用甲级防火门。</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核对消防电梯的载重和速度</w:t>
            </w:r>
            <w:r>
              <w:rPr>
                <w:rFonts w:ascii="Times New Roman" w:eastAsiaTheme="minorEastAsia" w:hAnsi="Times New Roman" w:cs="Times New Roman"/>
                <w:kern w:val="2"/>
                <w:sz w:val="15"/>
                <w:szCs w:val="15"/>
              </w:rPr>
              <w:t>应</w:t>
            </w:r>
            <w:r>
              <w:rPr>
                <w:rFonts w:ascii="Times New Roman" w:eastAsia="宋体" w:hAnsi="Times New Roman" w:cs="Times New Roman"/>
                <w:kern w:val="2"/>
                <w:sz w:val="15"/>
                <w:szCs w:val="15"/>
              </w:rPr>
              <w:t>满足设计要求和电梯检测主管部门核发的有关证明文件。</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轿厢内装修材料为不燃烧材料</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电梯轿厢内部应设置专用消防对讲电话</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在首层的消防电梯入口处应设置供消防队员专用的操作按钮</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电梯的动力与控制电缆、电线、控制面板应采取防水措施</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电梯井底排水，排水井容量应不小于</w:t>
            </w:r>
            <w:r>
              <w:rPr>
                <w:rFonts w:ascii="Times New Roman" w:eastAsia="宋体" w:hAnsi="Times New Roman" w:cs="Times New Roman"/>
                <w:kern w:val="2"/>
                <w:sz w:val="15"/>
                <w:szCs w:val="15"/>
              </w:rPr>
              <w:t>2.00m³</w:t>
            </w:r>
            <w:r>
              <w:rPr>
                <w:rFonts w:ascii="Times New Roman" w:eastAsia="宋体" w:hAnsi="Times New Roman" w:cs="Times New Roman"/>
                <w:kern w:val="2"/>
                <w:sz w:val="15"/>
                <w:szCs w:val="15"/>
              </w:rPr>
              <w:t>，排水泵的排水量应不小于</w:t>
            </w:r>
            <w:r>
              <w:rPr>
                <w:rFonts w:ascii="Times New Roman" w:eastAsia="宋体" w:hAnsi="Times New Roman" w:cs="Times New Roman"/>
                <w:kern w:val="2"/>
                <w:sz w:val="15"/>
                <w:szCs w:val="15"/>
              </w:rPr>
              <w:t>10L/s</w:t>
            </w:r>
          </w:p>
        </w:tc>
        <w:tc>
          <w:tcPr>
            <w:tcW w:w="893"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3" w:type="dxa"/>
            <w:vAlign w:val="center"/>
          </w:tcPr>
          <w:p w:rsidR="009846C2" w:rsidRDefault="009846C2">
            <w:pPr>
              <w:tabs>
                <w:tab w:val="left" w:pos="0"/>
              </w:tabs>
              <w:topLinePunct/>
              <w:spacing w:line="300" w:lineRule="exact"/>
              <w:contextualSpacing/>
              <w:jc w:val="center"/>
              <w:rPr>
                <w:rFonts w:ascii="Times New Roman" w:eastAsia="宋体" w:hAnsi="Times New Roman" w:cs="Times New Roman"/>
                <w:kern w:val="2"/>
                <w:sz w:val="15"/>
                <w:szCs w:val="15"/>
              </w:rPr>
            </w:pPr>
          </w:p>
        </w:tc>
      </w:tr>
    </w:tbl>
    <w:p w:rsidR="009846C2" w:rsidRDefault="00A433A0">
      <w:pPr>
        <w:pStyle w:val="31"/>
        <w:numPr>
          <w:ilvl w:val="0"/>
          <w:numId w:val="29"/>
        </w:numPr>
        <w:tabs>
          <w:tab w:val="left" w:pos="0"/>
        </w:tabs>
        <w:topLinePunct/>
        <w:spacing w:before="100" w:beforeAutospacing="1" w:after="100" w:afterAutospacing="1" w:line="360" w:lineRule="exact"/>
        <w:ind w:firstLineChars="0"/>
        <w:jc w:val="center"/>
        <w:outlineLvl w:val="1"/>
        <w:rPr>
          <w:rFonts w:eastAsia="黑体"/>
          <w:b/>
          <w:bCs/>
          <w:szCs w:val="21"/>
        </w:rPr>
      </w:pPr>
      <w:r>
        <w:rPr>
          <w:rFonts w:eastAsia="黑体"/>
          <w:b/>
          <w:bCs/>
          <w:szCs w:val="21"/>
        </w:rPr>
        <w:t>建筑构造</w:t>
      </w:r>
    </w:p>
    <w:p w:rsidR="009846C2" w:rsidRDefault="00A433A0">
      <w:pPr>
        <w:pStyle w:val="af1"/>
        <w:widowControl w:val="0"/>
        <w:numPr>
          <w:ilvl w:val="0"/>
          <w:numId w:val="39"/>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宋体" w:hAnsi="Times New Roman" w:cs="Times New Roman"/>
          <w:kern w:val="2"/>
          <w:sz w:val="21"/>
          <w:szCs w:val="21"/>
        </w:rPr>
        <w:t>防火墙、隔墙和楼板及变形缝、伸缩缝</w:t>
      </w:r>
    </w:p>
    <w:p w:rsidR="009846C2" w:rsidRDefault="00A433A0">
      <w:pPr>
        <w:widowControl w:val="0"/>
        <w:numPr>
          <w:ilvl w:val="0"/>
          <w:numId w:val="40"/>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检查数量：按该建筑防火分区总数不少于</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％抽查，且不少于</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个，总数不足</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个的全数检查。</w:t>
      </w:r>
    </w:p>
    <w:p w:rsidR="009846C2" w:rsidRDefault="00A433A0">
      <w:pPr>
        <w:widowControl w:val="0"/>
        <w:numPr>
          <w:ilvl w:val="0"/>
          <w:numId w:val="40"/>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4.5.1</w:t>
      </w:r>
      <w:r>
        <w:rPr>
          <w:rFonts w:ascii="Times New Roman" w:eastAsiaTheme="minorEastAsia"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4.5.1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防火墙、隔墙和楼板及变形缝、伸缩缝验收标准和验收方法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防火墙</w:t>
            </w:r>
          </w:p>
        </w:tc>
        <w:tc>
          <w:tcPr>
            <w:tcW w:w="2916" w:type="dxa"/>
            <w:tcBorders>
              <w:bottom w:val="single" w:sz="4" w:space="0" w:color="auto"/>
            </w:tcBorders>
            <w:vAlign w:val="center"/>
          </w:tcPr>
          <w:p w:rsidR="009846C2" w:rsidRDefault="00A433A0">
            <w:pPr>
              <w:pStyle w:val="a7"/>
              <w:widowControl/>
              <w:shd w:val="clear" w:color="auto" w:fill="FFFFFF"/>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建筑物与油浸变压器或可燃介质电容器等电气设备间距小于</w:t>
            </w:r>
            <w:r>
              <w:rPr>
                <w:rFonts w:ascii="Times New Roman" w:eastAsiaTheme="minorEastAsia" w:hAnsi="Times New Roman"/>
                <w:kern w:val="2"/>
                <w:sz w:val="15"/>
                <w:szCs w:val="15"/>
              </w:rPr>
              <w:t>5.0m</w:t>
            </w:r>
            <w:r>
              <w:rPr>
                <w:rFonts w:ascii="Times New Roman" w:eastAsiaTheme="minorEastAsia" w:hAnsi="Times New Roman"/>
                <w:kern w:val="2"/>
                <w:sz w:val="15"/>
                <w:szCs w:val="15"/>
              </w:rPr>
              <w:t>时，在设备外轮廓投影范围外侧各</w:t>
            </w:r>
            <w:r>
              <w:rPr>
                <w:rFonts w:ascii="Times New Roman" w:eastAsiaTheme="minorEastAsia" w:hAnsi="Times New Roman"/>
                <w:kern w:val="2"/>
                <w:sz w:val="15"/>
                <w:szCs w:val="15"/>
              </w:rPr>
              <w:t>3m</w:t>
            </w:r>
            <w:r>
              <w:rPr>
                <w:rFonts w:ascii="Times New Roman" w:eastAsiaTheme="minorEastAsia" w:hAnsi="Times New Roman"/>
                <w:kern w:val="2"/>
                <w:sz w:val="15"/>
                <w:szCs w:val="15"/>
              </w:rPr>
              <w:t>内的建筑物外墙上不应设置门、窗、洞口和通风孔，且该区域外墙应为防火墙</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rPr>
                <w:rFonts w:ascii="Times New Roman" w:eastAsiaTheme="minorEastAsia" w:hAnsi="Times New Roman"/>
                <w:kern w:val="2"/>
                <w:sz w:val="15"/>
                <w:szCs w:val="15"/>
              </w:rPr>
            </w:pPr>
            <w:r>
              <w:rPr>
                <w:rFonts w:ascii="Times New Roman" w:eastAsiaTheme="minorEastAsia" w:hAnsi="Times New Roman"/>
                <w:kern w:val="2"/>
                <w:sz w:val="15"/>
                <w:szCs w:val="15"/>
              </w:rPr>
              <w:t>室外油浸变压器之间、室外油浸电抗器之间防火墙的高度应高于变压器油枕，其长度超出变压器的贮油池两侧不应小于</w:t>
            </w:r>
            <w:r>
              <w:rPr>
                <w:rFonts w:ascii="Times New Roman" w:eastAsiaTheme="minorEastAsia" w:hAnsi="Times New Roman"/>
                <w:kern w:val="2"/>
                <w:sz w:val="15"/>
                <w:szCs w:val="15"/>
              </w:rPr>
              <w:t>1.0m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rPr>
                <w:rFonts w:ascii="Times New Roman" w:eastAsiaTheme="minorEastAsia" w:hAnsi="Times New Roman"/>
                <w:kern w:val="2"/>
                <w:sz w:val="15"/>
                <w:szCs w:val="15"/>
              </w:rPr>
            </w:pPr>
            <w:r>
              <w:rPr>
                <w:rFonts w:ascii="Times New Roman" w:eastAsiaTheme="minorEastAsia" w:hAnsi="Times New Roman"/>
                <w:kern w:val="2"/>
                <w:sz w:val="15"/>
                <w:szCs w:val="15"/>
              </w:rPr>
              <w:t>设备带油电气设备的建（构）筑物与贴邻该建（构）筑物的其他建（构）筑物之间应设置防火墙</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rPr>
                <w:rFonts w:ascii="Times New Roman" w:eastAsiaTheme="minorEastAsia" w:hAnsi="Times New Roman"/>
                <w:kern w:val="2"/>
                <w:sz w:val="15"/>
                <w:szCs w:val="15"/>
              </w:rPr>
            </w:pPr>
            <w:r>
              <w:rPr>
                <w:rFonts w:ascii="Times New Roman" w:eastAsiaTheme="minorEastAsia" w:hAnsi="Times New Roman"/>
                <w:kern w:val="2"/>
                <w:sz w:val="15"/>
                <w:szCs w:val="15"/>
              </w:rPr>
              <w:t>可燃气体和甲、乙、丙类液体的管道严禁穿过防火墙</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rPr>
                <w:rFonts w:ascii="Times New Roman" w:eastAsiaTheme="minorEastAsia" w:hAnsi="Times New Roman"/>
                <w:kern w:val="2"/>
                <w:sz w:val="15"/>
                <w:szCs w:val="15"/>
              </w:rPr>
            </w:pPr>
            <w:r>
              <w:rPr>
                <w:rFonts w:ascii="Times New Roman" w:eastAsiaTheme="minorEastAsia" w:hAnsi="Times New Roman"/>
                <w:kern w:val="2"/>
                <w:sz w:val="15"/>
                <w:szCs w:val="15"/>
              </w:rPr>
              <w:t>防火墙上不应开设门、窗、洞口。确需开设时，应设置不可开启的窗或火灾时能自动关闭的甲级防火门、窗</w:t>
            </w:r>
          </w:p>
        </w:tc>
        <w:tc>
          <w:tcPr>
            <w:tcW w:w="893"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防火封堵</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当因工艺需要变压器等电气设备有电气套管穿越防火墙时，防火墙上的电缆孔洞应采用耐火极限为</w:t>
            </w:r>
            <w:r>
              <w:rPr>
                <w:rFonts w:ascii="Times New Roman" w:eastAsiaTheme="minorEastAsia" w:hAnsi="Times New Roman" w:cs="Times New Roman"/>
                <w:kern w:val="2"/>
                <w:sz w:val="15"/>
                <w:szCs w:val="15"/>
              </w:rPr>
              <w:t>3.0h</w:t>
            </w:r>
            <w:r>
              <w:rPr>
                <w:rFonts w:ascii="Times New Roman" w:eastAsiaTheme="minorEastAsia" w:hAnsi="Times New Roman" w:cs="Times New Roman"/>
                <w:kern w:val="2"/>
                <w:sz w:val="15"/>
                <w:szCs w:val="15"/>
              </w:rPr>
              <w:t>的的电缆防火封堵材料或防火封堵组件进行封堵</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防烟、排烟、供暖、通风和空气调节系统中的管道及建筑内的其他管道，在穿越防火隔墙、楼板和防火墙处的孔隙应采用防火封堵材料封堵</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风管穿过防火隔墙、楼板和防火墙时，穿越处风管上的防火阀、排烟防火阀两侧各</w:t>
            </w:r>
            <w:r>
              <w:rPr>
                <w:rFonts w:ascii="Times New Roman" w:eastAsiaTheme="minorEastAsia" w:hAnsi="Times New Roman" w:cs="Times New Roman"/>
                <w:kern w:val="2"/>
                <w:sz w:val="15"/>
                <w:szCs w:val="15"/>
              </w:rPr>
              <w:t>2.0m</w:t>
            </w:r>
            <w:r>
              <w:rPr>
                <w:rFonts w:ascii="Times New Roman" w:eastAsiaTheme="minorEastAsia" w:hAnsi="Times New Roman" w:cs="Times New Roman"/>
                <w:kern w:val="2"/>
                <w:sz w:val="15"/>
                <w:szCs w:val="15"/>
              </w:rPr>
              <w:t>范围内的网管应采用耐火风管或风管外壁应采取防火保护措施，且耐火极限不应</w:t>
            </w:r>
            <w:r>
              <w:rPr>
                <w:rFonts w:ascii="Times New Roman" w:eastAsiaTheme="minorEastAsia" w:hAnsi="Times New Roman" w:cs="Times New Roman"/>
                <w:kern w:val="2"/>
                <w:sz w:val="15"/>
                <w:szCs w:val="15"/>
              </w:rPr>
              <w:lastRenderedPageBreak/>
              <w:t>低于该防火分隔体的耐火极限</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防火墙下的管线、管沟处的空隙应用不燃材料填塞密实</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墙体上嵌有箱体时应在其背部采用不燃材料封堵，并满足墙体耐火极限的要求</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39"/>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防火门</w:t>
      </w:r>
      <w:r>
        <w:rPr>
          <w:rFonts w:ascii="Times New Roman" w:eastAsiaTheme="minorEastAsia" w:hAnsi="Times New Roman" w:cs="Times New Roman"/>
          <w:kern w:val="2"/>
          <w:sz w:val="21"/>
          <w:szCs w:val="21"/>
        </w:rPr>
        <w:t>、防火窗</w:t>
      </w:r>
    </w:p>
    <w:p w:rsidR="009846C2" w:rsidRDefault="00A433A0">
      <w:pPr>
        <w:widowControl w:val="0"/>
        <w:numPr>
          <w:ilvl w:val="0"/>
          <w:numId w:val="4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检查数量：同一类别的防火门、防火窗按实际安装数不少于</w:t>
      </w:r>
      <w:r>
        <w:rPr>
          <w:rFonts w:ascii="Times New Roman" w:eastAsiaTheme="minorEastAsia" w:hAnsi="Times New Roman" w:cs="Times New Roman"/>
          <w:kern w:val="2"/>
          <w:sz w:val="21"/>
          <w:szCs w:val="21"/>
        </w:rPr>
        <w:t>10%</w:t>
      </w:r>
      <w:r>
        <w:rPr>
          <w:rFonts w:ascii="Times New Roman" w:eastAsiaTheme="minorEastAsia" w:hAnsi="Times New Roman" w:cs="Times New Roman"/>
          <w:kern w:val="2"/>
          <w:sz w:val="21"/>
          <w:szCs w:val="21"/>
        </w:rPr>
        <w:t>抽查，且不得少于</w:t>
      </w:r>
      <w:r>
        <w:rPr>
          <w:rFonts w:ascii="Times New Roman" w:eastAsiaTheme="minorEastAsia" w:hAnsi="Times New Roman" w:cs="Times New Roman"/>
          <w:kern w:val="2"/>
          <w:sz w:val="21"/>
          <w:szCs w:val="21"/>
        </w:rPr>
        <w:t>10</w:t>
      </w:r>
      <w:r>
        <w:rPr>
          <w:rFonts w:ascii="Times New Roman" w:eastAsiaTheme="minorEastAsia" w:hAnsi="Times New Roman" w:cs="Times New Roman"/>
          <w:kern w:val="2"/>
          <w:sz w:val="21"/>
          <w:szCs w:val="21"/>
        </w:rPr>
        <w:t>樘，总数少于</w:t>
      </w:r>
      <w:r>
        <w:rPr>
          <w:rFonts w:ascii="Times New Roman" w:eastAsiaTheme="minorEastAsia" w:hAnsi="Times New Roman" w:cs="Times New Roman"/>
          <w:kern w:val="2"/>
          <w:sz w:val="21"/>
          <w:szCs w:val="21"/>
        </w:rPr>
        <w:t>10</w:t>
      </w:r>
      <w:r>
        <w:rPr>
          <w:rFonts w:ascii="Times New Roman" w:eastAsiaTheme="minorEastAsia" w:hAnsi="Times New Roman" w:cs="Times New Roman"/>
          <w:kern w:val="2"/>
          <w:sz w:val="21"/>
          <w:szCs w:val="21"/>
        </w:rPr>
        <w:t>樘的全数检查。</w:t>
      </w:r>
    </w:p>
    <w:p w:rsidR="009846C2" w:rsidRDefault="00A433A0">
      <w:pPr>
        <w:widowControl w:val="0"/>
        <w:numPr>
          <w:ilvl w:val="0"/>
          <w:numId w:val="41"/>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4.5.2</w:t>
      </w:r>
      <w:r>
        <w:rPr>
          <w:rFonts w:ascii="Times New Roman" w:eastAsiaTheme="minorEastAsia"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4.5.2</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防火门、防火窗验收标准和验收方法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子项项目</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防火门</w:t>
            </w:r>
          </w:p>
        </w:tc>
        <w:tc>
          <w:tcPr>
            <w:tcW w:w="2916" w:type="dxa"/>
            <w:vAlign w:val="center"/>
          </w:tcPr>
          <w:p w:rsidR="009846C2" w:rsidRDefault="00A433A0">
            <w:pPr>
              <w:tabs>
                <w:tab w:val="left" w:pos="0"/>
              </w:tabs>
              <w:topLinePunct/>
              <w:spacing w:line="300" w:lineRule="exact"/>
              <w:ind w:firstLineChars="200" w:firstLine="30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防火门应在其明显部位设置永久性标牌，并应注明产品名称、型号、规格、耐火性能及商标、生产单位（制造商）名称和厂址、出厂日期及产品生产批号、执行标准等；常闭式防火门应在其明显位置设置</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保持防火门关闭</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等提示标识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200" w:firstLine="30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应向疏散方向开启</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200" w:firstLine="300"/>
              <w:jc w:val="both"/>
              <w:rPr>
                <w:rFonts w:ascii="Times New Roman" w:eastAsiaTheme="minorEastAsia" w:hAnsi="Times New Roman" w:cs="Times New Roman"/>
                <w:kern w:val="2"/>
                <w:sz w:val="15"/>
                <w:szCs w:val="15"/>
                <w:highlight w:val="red"/>
              </w:rPr>
            </w:pPr>
            <w:r>
              <w:rPr>
                <w:rFonts w:ascii="Times New Roman" w:eastAsiaTheme="minorEastAsia" w:hAnsi="Times New Roman" w:cs="Times New Roman"/>
                <w:kern w:val="2"/>
                <w:sz w:val="15"/>
                <w:szCs w:val="15"/>
              </w:rPr>
              <w:t>防火门应具有自行关闭功能；双扇防火门应具有按顺序自行关闭的功能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防火窗</w:t>
            </w:r>
          </w:p>
        </w:tc>
        <w:tc>
          <w:tcPr>
            <w:tcW w:w="2916" w:type="dxa"/>
            <w:vAlign w:val="center"/>
          </w:tcPr>
          <w:p w:rsidR="009846C2" w:rsidRDefault="00A433A0">
            <w:pPr>
              <w:tabs>
                <w:tab w:val="left" w:pos="0"/>
              </w:tabs>
              <w:topLinePunct/>
              <w:spacing w:line="300" w:lineRule="exact"/>
              <w:ind w:firstLineChars="200" w:firstLine="30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设置在防火墙、防火隔墙上的防火窗，应采用不可开启的窗扇或具有火灾时能自行关闭的功能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39"/>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防火卷帘</w:t>
      </w:r>
    </w:p>
    <w:p w:rsidR="009846C2" w:rsidRDefault="00A433A0">
      <w:pPr>
        <w:widowControl w:val="0"/>
        <w:numPr>
          <w:ilvl w:val="0"/>
          <w:numId w:val="42"/>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检查数量：按实际安装樘数不少于</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抽查，且不得少于</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樘，总数少于</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樘的全数检查。</w:t>
      </w:r>
    </w:p>
    <w:p w:rsidR="009846C2" w:rsidRDefault="00A433A0">
      <w:pPr>
        <w:widowControl w:val="0"/>
        <w:numPr>
          <w:ilvl w:val="0"/>
          <w:numId w:val="42"/>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验收标准和验收方法：见表</w:t>
      </w:r>
      <w:r>
        <w:rPr>
          <w:rFonts w:ascii="Times New Roman" w:eastAsiaTheme="minorEastAsia" w:hAnsi="Times New Roman" w:cs="Times New Roman"/>
          <w:kern w:val="2"/>
          <w:sz w:val="21"/>
          <w:szCs w:val="21"/>
        </w:rPr>
        <w:t>4.5.3</w:t>
      </w:r>
      <w:r>
        <w:rPr>
          <w:rFonts w:ascii="Times New Roman" w:eastAsiaTheme="minorEastAsia"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4.5.3</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防火卷帘验收标准和验收方法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设置位置、类型</w:t>
            </w: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除中庭外，当防火分隔部位的宽度不大于</w:t>
            </w:r>
            <w:r>
              <w:rPr>
                <w:rFonts w:ascii="Times New Roman" w:eastAsia="宋体" w:hAnsi="Times New Roman" w:cs="Times New Roman"/>
                <w:kern w:val="2"/>
                <w:sz w:val="15"/>
                <w:szCs w:val="15"/>
              </w:rPr>
              <w:t>30</w:t>
            </w:r>
            <w:r>
              <w:rPr>
                <w:rFonts w:ascii="Times New Roman" w:eastAsia="宋体" w:hAnsi="Times New Roman" w:cs="Times New Roman" w:hint="eastAsia"/>
                <w:kern w:val="2"/>
                <w:sz w:val="15"/>
                <w:szCs w:val="15"/>
              </w:rPr>
              <w:t>.0</w:t>
            </w:r>
            <w:r>
              <w:rPr>
                <w:rFonts w:ascii="Times New Roman" w:eastAsia="宋体" w:hAnsi="Times New Roman" w:cs="Times New Roman"/>
                <w:kern w:val="2"/>
                <w:sz w:val="15"/>
                <w:szCs w:val="15"/>
              </w:rPr>
              <w:t>m</w:t>
            </w:r>
            <w:r>
              <w:rPr>
                <w:rFonts w:ascii="Times New Roman" w:eastAsia="宋体" w:hAnsi="Times New Roman" w:cs="Times New Roman"/>
                <w:kern w:val="2"/>
                <w:sz w:val="15"/>
                <w:szCs w:val="15"/>
              </w:rPr>
              <w:t>时，防火卷帘的宽度不应大于</w:t>
            </w:r>
            <w:r>
              <w:rPr>
                <w:rFonts w:ascii="Times New Roman" w:eastAsia="宋体" w:hAnsi="Times New Roman" w:cs="Times New Roman"/>
                <w:kern w:val="2"/>
                <w:sz w:val="15"/>
                <w:szCs w:val="15"/>
              </w:rPr>
              <w:t>10</w:t>
            </w:r>
            <w:r>
              <w:rPr>
                <w:rFonts w:ascii="Times New Roman" w:eastAsia="宋体" w:hAnsi="Times New Roman" w:cs="Times New Roman" w:hint="eastAsia"/>
                <w:kern w:val="2"/>
                <w:sz w:val="15"/>
                <w:szCs w:val="15"/>
              </w:rPr>
              <w:t>.0</w:t>
            </w:r>
            <w:r>
              <w:rPr>
                <w:rFonts w:ascii="Times New Roman" w:eastAsia="宋体" w:hAnsi="Times New Roman" w:cs="Times New Roman"/>
                <w:kern w:val="2"/>
                <w:sz w:val="15"/>
                <w:szCs w:val="15"/>
              </w:rPr>
              <w:t>m</w:t>
            </w:r>
            <w:r>
              <w:rPr>
                <w:rFonts w:ascii="Times New Roman" w:eastAsia="宋体" w:hAnsi="Times New Roman" w:cs="Times New Roman"/>
                <w:kern w:val="2"/>
                <w:sz w:val="15"/>
                <w:szCs w:val="15"/>
              </w:rPr>
              <w:t>；当防火分隔部位的宽度大于</w:t>
            </w:r>
            <w:r>
              <w:rPr>
                <w:rFonts w:ascii="Times New Roman" w:eastAsia="宋体" w:hAnsi="Times New Roman" w:cs="Times New Roman"/>
                <w:kern w:val="2"/>
                <w:sz w:val="15"/>
                <w:szCs w:val="15"/>
              </w:rPr>
              <w:t>30</w:t>
            </w:r>
            <w:r>
              <w:rPr>
                <w:rFonts w:ascii="Times New Roman" w:eastAsia="宋体" w:hAnsi="Times New Roman" w:cs="Times New Roman" w:hint="eastAsia"/>
                <w:kern w:val="2"/>
                <w:sz w:val="15"/>
                <w:szCs w:val="15"/>
              </w:rPr>
              <w:t>.0</w:t>
            </w:r>
            <w:r>
              <w:rPr>
                <w:rFonts w:ascii="Times New Roman" w:eastAsia="宋体" w:hAnsi="Times New Roman" w:cs="Times New Roman"/>
                <w:kern w:val="2"/>
                <w:sz w:val="15"/>
                <w:szCs w:val="15"/>
              </w:rPr>
              <w:t>m</w:t>
            </w:r>
            <w:r>
              <w:rPr>
                <w:rFonts w:ascii="Times New Roman" w:eastAsia="宋体" w:hAnsi="Times New Roman" w:cs="Times New Roman"/>
                <w:kern w:val="2"/>
                <w:sz w:val="15"/>
                <w:szCs w:val="15"/>
              </w:rPr>
              <w:t>时，防火卷帘的宽度不应大于该部位宽度的</w:t>
            </w:r>
            <w:r>
              <w:rPr>
                <w:rFonts w:ascii="Times New Roman" w:eastAsia="宋体" w:hAnsi="Times New Roman" w:cs="Times New Roman"/>
                <w:kern w:val="2"/>
                <w:sz w:val="15"/>
                <w:szCs w:val="15"/>
              </w:rPr>
              <w:t>1</w:t>
            </w:r>
            <w:r>
              <w:rPr>
                <w:rFonts w:ascii="Times New Roman" w:eastAsia="宋体" w:hAnsi="Times New Roman" w:cs="Times New Roman" w:hint="eastAsia"/>
                <w:kern w:val="2"/>
                <w:sz w:val="15"/>
                <w:szCs w:val="15"/>
              </w:rPr>
              <w:t>/</w:t>
            </w: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，且不应大于</w:t>
            </w:r>
            <w:r>
              <w:rPr>
                <w:rFonts w:ascii="Times New Roman" w:eastAsia="宋体" w:hAnsi="Times New Roman" w:cs="Times New Roman"/>
                <w:kern w:val="2"/>
                <w:sz w:val="15"/>
                <w:szCs w:val="15"/>
              </w:rPr>
              <w:t>20</w:t>
            </w:r>
            <w:r>
              <w:rPr>
                <w:rFonts w:ascii="Times New Roman" w:eastAsia="宋体" w:hAnsi="Times New Roman" w:cs="Times New Roman" w:hint="eastAsia"/>
                <w:kern w:val="2"/>
                <w:sz w:val="15"/>
                <w:szCs w:val="15"/>
              </w:rPr>
              <w:t>.0</w:t>
            </w:r>
            <w:r>
              <w:rPr>
                <w:rFonts w:ascii="Times New Roman" w:eastAsia="宋体" w:hAnsi="Times New Roman" w:cs="Times New Roman"/>
                <w:kern w:val="2"/>
                <w:sz w:val="15"/>
                <w:szCs w:val="15"/>
              </w:rPr>
              <w:t>m</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防火卷帘的耐火极限不应低于所在部位墙体的耐火极限要求</w:t>
            </w: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以悬挂钢梁和钢构架的方法安装的防火卷帘，钢梁和钢构架及封堵材料的防火性能应符合相关标准的要求</w:t>
            </w: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widowControl w:val="0"/>
              <w:tabs>
                <w:tab w:val="left" w:pos="0"/>
              </w:tabs>
              <w:topLinePunct/>
              <w:spacing w:line="300" w:lineRule="exact"/>
              <w:rPr>
                <w:rFonts w:ascii="Times New Roman" w:eastAsia="宋体" w:hAnsi="Times New Roman" w:cs="Times New Roman"/>
                <w:kern w:val="2"/>
                <w:sz w:val="15"/>
                <w:szCs w:val="15"/>
              </w:rPr>
            </w:pPr>
            <w:r>
              <w:rPr>
                <w:rFonts w:ascii="Times New Roman" w:eastAsia="宋体" w:hAnsi="Times New Roman" w:cs="Times New Roman"/>
                <w:kern w:val="2"/>
                <w:sz w:val="15"/>
                <w:szCs w:val="15"/>
              </w:rPr>
              <w:t>控制功能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防火卷帘应具有火灾时靠自重自动关闭功能</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需在火灾时自动降落的防火卷帘，应具有信号反馈的功能</w:t>
            </w: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应由防火卷帘两侧设置的手动控制按钮控制防火卷帘的升降</w:t>
            </w: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防火封堵</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防火卷帘应具有防烟性能，与楼板、梁、墙、柱之间的空隙应采用防火封堵材料封堵</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39"/>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建筑保温和外墙装饰</w:t>
      </w:r>
    </w:p>
    <w:p w:rsidR="009846C2" w:rsidRDefault="00A433A0">
      <w:pPr>
        <w:widowControl w:val="0"/>
        <w:numPr>
          <w:ilvl w:val="0"/>
          <w:numId w:val="43"/>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检查数量：全数资料核查和现场抽查。</w:t>
      </w:r>
    </w:p>
    <w:p w:rsidR="009846C2" w:rsidRDefault="00A433A0">
      <w:pPr>
        <w:widowControl w:val="0"/>
        <w:numPr>
          <w:ilvl w:val="0"/>
          <w:numId w:val="43"/>
        </w:numPr>
        <w:tabs>
          <w:tab w:val="left" w:pos="0"/>
          <w:tab w:val="left" w:pos="220"/>
        </w:tabs>
        <w:topLinePunct/>
        <w:spacing w:line="360" w:lineRule="exact"/>
        <w:ind w:left="0" w:firstLineChars="20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4.5.4</w:t>
      </w:r>
      <w:r>
        <w:rPr>
          <w:rFonts w:ascii="Times New Roman" w:eastAsiaTheme="minorEastAsia"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4.5.4</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建筑保温和外墙装饰验收标准和验收方法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保温材料</w:t>
            </w: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外墙外保温和屋面保温材料及其构造做法</w:t>
            </w:r>
            <w:r>
              <w:rPr>
                <w:rFonts w:ascii="Times New Roman" w:eastAsia="宋体" w:hAnsi="Times New Roman" w:cs="Times New Roman"/>
                <w:kern w:val="2"/>
                <w:sz w:val="15"/>
                <w:szCs w:val="15"/>
              </w:rPr>
              <w:lastRenderedPageBreak/>
              <w:t>应符合国家和河北省现行规范标准的规定和消防设计文件，保温材料的燃烧性能不应低于</w:t>
            </w:r>
            <w:r>
              <w:rPr>
                <w:rFonts w:ascii="Times New Roman" w:eastAsia="宋体" w:hAnsi="Times New Roman" w:cs="Times New Roman"/>
                <w:kern w:val="2"/>
                <w:sz w:val="15"/>
                <w:szCs w:val="15"/>
              </w:rPr>
              <w:t>B</w:t>
            </w:r>
            <w:r>
              <w:rPr>
                <w:rFonts w:ascii="Times New Roman" w:eastAsia="宋体" w:hAnsi="Times New Roman" w:cs="Times New Roman"/>
                <w:kern w:val="2"/>
                <w:sz w:val="15"/>
                <w:szCs w:val="15"/>
                <w:vertAlign w:val="subscript"/>
              </w:rPr>
              <w:t>1</w:t>
            </w:r>
            <w:r>
              <w:rPr>
                <w:rFonts w:ascii="Times New Roman" w:eastAsia="宋体" w:hAnsi="Times New Roman" w:cs="Times New Roman"/>
                <w:kern w:val="2"/>
                <w:sz w:val="15"/>
                <w:szCs w:val="15"/>
              </w:rPr>
              <w:t>级</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资料核查、</w:t>
            </w:r>
            <w:r>
              <w:rPr>
                <w:rFonts w:ascii="Times New Roman" w:eastAsia="宋体" w:hAnsi="Times New Roman" w:cs="Times New Roman"/>
                <w:kern w:val="2"/>
                <w:sz w:val="15"/>
                <w:szCs w:val="15"/>
              </w:rPr>
              <w:lastRenderedPageBreak/>
              <w:t>现场检查</w:t>
            </w:r>
          </w:p>
        </w:tc>
        <w:tc>
          <w:tcPr>
            <w:tcW w:w="417"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A</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电气线路不应穿越或敷设在燃烧性能为</w:t>
            </w:r>
            <w:r>
              <w:rPr>
                <w:rFonts w:ascii="Times New Roman" w:eastAsia="宋体" w:hAnsi="Times New Roman" w:cs="Times New Roman"/>
                <w:kern w:val="2"/>
                <w:sz w:val="15"/>
                <w:szCs w:val="15"/>
              </w:rPr>
              <w:t>B1</w:t>
            </w:r>
            <w:r>
              <w:rPr>
                <w:rFonts w:ascii="Times New Roman" w:eastAsia="宋体" w:hAnsi="Times New Roman" w:cs="Times New Roman"/>
                <w:kern w:val="2"/>
                <w:sz w:val="15"/>
                <w:szCs w:val="15"/>
              </w:rPr>
              <w:t>级的保温材料中；确需穿越或敷设时，应采取穿金属管周围采用不燃隔热材料进行防火隔离等防火保护措施。设置开关、插座等电器配件的部位周围应采取不燃隔热材料进行防火隔离等防火保护措施</w:t>
            </w:r>
          </w:p>
        </w:tc>
        <w:tc>
          <w:tcPr>
            <w:tcW w:w="893"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外墙装饰</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建筑外墙的装饰层应采用燃烧性能为</w:t>
            </w:r>
            <w:r>
              <w:rPr>
                <w:rFonts w:ascii="Times New Roman" w:eastAsia="宋体" w:hAnsi="Times New Roman" w:cs="Times New Roman"/>
                <w:kern w:val="2"/>
                <w:sz w:val="15"/>
                <w:szCs w:val="15"/>
              </w:rPr>
              <w:t>A</w:t>
            </w:r>
            <w:r>
              <w:rPr>
                <w:rFonts w:ascii="Times New Roman" w:eastAsia="宋体" w:hAnsi="Times New Roman" w:cs="Times New Roman"/>
                <w:kern w:val="2"/>
                <w:sz w:val="15"/>
                <w:szCs w:val="15"/>
              </w:rPr>
              <w:t>级的材料，建筑高度不大于</w:t>
            </w:r>
            <w:r>
              <w:rPr>
                <w:rFonts w:ascii="Times New Roman" w:eastAsia="宋体" w:hAnsi="Times New Roman" w:cs="Times New Roman"/>
                <w:kern w:val="2"/>
                <w:sz w:val="15"/>
                <w:szCs w:val="15"/>
              </w:rPr>
              <w:t>50m</w:t>
            </w:r>
            <w:r>
              <w:rPr>
                <w:rFonts w:ascii="Times New Roman" w:eastAsia="宋体" w:hAnsi="Times New Roman" w:cs="Times New Roman"/>
                <w:kern w:val="2"/>
                <w:sz w:val="15"/>
                <w:szCs w:val="15"/>
              </w:rPr>
              <w:t>时，可采用</w:t>
            </w:r>
            <w:r>
              <w:rPr>
                <w:rFonts w:ascii="Times New Roman" w:eastAsia="宋体" w:hAnsi="Times New Roman" w:cs="Times New Roman"/>
                <w:kern w:val="2"/>
                <w:sz w:val="15"/>
                <w:szCs w:val="15"/>
              </w:rPr>
              <w:t>B1</w:t>
            </w:r>
            <w:r>
              <w:rPr>
                <w:rFonts w:ascii="Times New Roman" w:eastAsia="宋体" w:hAnsi="Times New Roman" w:cs="Times New Roman"/>
                <w:kern w:val="2"/>
                <w:sz w:val="15"/>
                <w:szCs w:val="15"/>
              </w:rPr>
              <w:t>级材料</w:t>
            </w:r>
          </w:p>
        </w:tc>
        <w:tc>
          <w:tcPr>
            <w:tcW w:w="893" w:type="dxa"/>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39"/>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竖向管道井</w:t>
      </w:r>
    </w:p>
    <w:p w:rsidR="009846C2" w:rsidRDefault="00A433A0">
      <w:pPr>
        <w:pStyle w:val="af1"/>
        <w:widowControl w:val="0"/>
        <w:numPr>
          <w:ilvl w:val="0"/>
          <w:numId w:val="44"/>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检查数量：按楼层（防火分区）总数不少于</w:t>
      </w:r>
      <w:r>
        <w:rPr>
          <w:rFonts w:ascii="Times New Roman" w:eastAsia="宋体" w:hAnsi="Times New Roman" w:cs="Times New Roman"/>
          <w:kern w:val="2"/>
          <w:sz w:val="21"/>
          <w:szCs w:val="21"/>
        </w:rPr>
        <w:t>20%</w:t>
      </w:r>
      <w:r>
        <w:rPr>
          <w:rFonts w:ascii="Times New Roman" w:eastAsia="宋体" w:hAnsi="Times New Roman" w:cs="Times New Roman"/>
          <w:kern w:val="2"/>
          <w:sz w:val="21"/>
          <w:szCs w:val="21"/>
        </w:rPr>
        <w:t>抽查，总数少于</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个的全数检查。</w:t>
      </w:r>
    </w:p>
    <w:p w:rsidR="009846C2" w:rsidRDefault="00A433A0">
      <w:pPr>
        <w:pStyle w:val="af1"/>
        <w:widowControl w:val="0"/>
        <w:numPr>
          <w:ilvl w:val="0"/>
          <w:numId w:val="44"/>
        </w:numPr>
        <w:tabs>
          <w:tab w:val="left" w:pos="0"/>
        </w:tabs>
        <w:topLinePunct/>
        <w:spacing w:line="360" w:lineRule="exact"/>
        <w:ind w:left="0" w:firstLine="42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4.5.5</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4.5.5</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竖向管道井验收标准和验收方法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8"/>
        <w:gridCol w:w="2930"/>
        <w:gridCol w:w="896"/>
        <w:gridCol w:w="420"/>
        <w:gridCol w:w="392"/>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8"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子项项目</w:t>
            </w:r>
          </w:p>
        </w:tc>
        <w:tc>
          <w:tcPr>
            <w:tcW w:w="2930"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20" w:type="dxa"/>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392" w:type="dxa"/>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widowControl w:val="0"/>
              <w:tabs>
                <w:tab w:val="left" w:pos="0"/>
              </w:tabs>
              <w:topLinePunct/>
              <w:spacing w:line="320" w:lineRule="atLeas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8"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井壁耐火极限</w:t>
            </w:r>
          </w:p>
        </w:tc>
        <w:tc>
          <w:tcPr>
            <w:tcW w:w="2930"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井壁的耐火极限不应低于</w:t>
            </w:r>
            <w:r>
              <w:rPr>
                <w:rFonts w:ascii="Times New Roman" w:eastAsia="宋体" w:hAnsi="Times New Roman" w:cs="Times New Roman"/>
                <w:kern w:val="2"/>
                <w:sz w:val="15"/>
                <w:szCs w:val="15"/>
              </w:rPr>
              <w:t>1.0h</w:t>
            </w:r>
            <w:r>
              <w:rPr>
                <w:rFonts w:ascii="Times New Roman" w:eastAsia="宋体" w:hAnsi="Times New Roman" w:cs="Times New Roman"/>
                <w:kern w:val="2"/>
                <w:sz w:val="15"/>
                <w:szCs w:val="15"/>
              </w:rPr>
              <w:t>，井壁上的检查门应采用丙级防火门</w:t>
            </w:r>
          </w:p>
        </w:tc>
        <w:tc>
          <w:tcPr>
            <w:tcW w:w="896" w:type="dxa"/>
            <w:vMerge w:val="restart"/>
            <w:vAlign w:val="center"/>
          </w:tcPr>
          <w:p w:rsidR="009846C2" w:rsidRDefault="00A433A0">
            <w:pPr>
              <w:widowControl w:val="0"/>
              <w:tabs>
                <w:tab w:val="left" w:pos="0"/>
              </w:tabs>
              <w:topLinePunct/>
              <w:spacing w:line="320" w:lineRule="exact"/>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20" w:type="dxa"/>
            <w:vAlign w:val="center"/>
          </w:tcPr>
          <w:p w:rsidR="009846C2" w:rsidRDefault="00A433A0">
            <w:pPr>
              <w:widowControl w:val="0"/>
              <w:tabs>
                <w:tab w:val="left" w:pos="0"/>
              </w:tabs>
              <w:topLinePunct/>
              <w:spacing w:line="320" w:lineRule="atLeas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392" w:type="dxa"/>
            <w:vAlign w:val="center"/>
          </w:tcPr>
          <w:p w:rsidR="009846C2" w:rsidRDefault="009846C2">
            <w:pPr>
              <w:widowControl w:val="0"/>
              <w:tabs>
                <w:tab w:val="left" w:pos="0"/>
              </w:tabs>
              <w:topLinePunct/>
              <w:spacing w:line="320" w:lineRule="atLeas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20" w:lineRule="atLeas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8"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防火封堵</w:t>
            </w:r>
          </w:p>
        </w:tc>
        <w:tc>
          <w:tcPr>
            <w:tcW w:w="2930"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管道井应在每层楼板处采用不低于楼板耐火极限的不燃材料或防火封堵材料封堵</w:t>
            </w:r>
          </w:p>
        </w:tc>
        <w:tc>
          <w:tcPr>
            <w:tcW w:w="896" w:type="dxa"/>
            <w:vMerge/>
            <w:vAlign w:val="center"/>
          </w:tcPr>
          <w:p w:rsidR="009846C2" w:rsidRDefault="009846C2">
            <w:pPr>
              <w:widowControl w:val="0"/>
              <w:tabs>
                <w:tab w:val="left" w:pos="0"/>
              </w:tabs>
              <w:topLinePunct/>
              <w:spacing w:line="320" w:lineRule="exact"/>
              <w:ind w:firstLineChars="100" w:firstLine="150"/>
              <w:jc w:val="both"/>
              <w:rPr>
                <w:rFonts w:ascii="Times New Roman" w:hAnsi="Times New Roman" w:cs="Times New Roman"/>
                <w:kern w:val="2"/>
                <w:sz w:val="15"/>
                <w:szCs w:val="15"/>
              </w:rPr>
            </w:pPr>
          </w:p>
        </w:tc>
        <w:tc>
          <w:tcPr>
            <w:tcW w:w="420" w:type="dxa"/>
            <w:vAlign w:val="center"/>
          </w:tcPr>
          <w:p w:rsidR="009846C2" w:rsidRDefault="00A433A0">
            <w:pPr>
              <w:widowControl w:val="0"/>
              <w:tabs>
                <w:tab w:val="left" w:pos="0"/>
              </w:tabs>
              <w:topLinePunct/>
              <w:spacing w:line="320" w:lineRule="atLeas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392" w:type="dxa"/>
            <w:vAlign w:val="center"/>
          </w:tcPr>
          <w:p w:rsidR="009846C2" w:rsidRDefault="009846C2">
            <w:pPr>
              <w:widowControl w:val="0"/>
              <w:tabs>
                <w:tab w:val="left" w:pos="0"/>
              </w:tabs>
              <w:topLinePunct/>
              <w:spacing w:line="320" w:lineRule="atLeas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atLeast"/>
              <w:jc w:val="center"/>
              <w:rPr>
                <w:rFonts w:ascii="Times New Roman" w:hAnsi="Times New Roman" w:cs="Times New Roman"/>
                <w:kern w:val="2"/>
                <w:sz w:val="15"/>
                <w:szCs w:val="15"/>
              </w:rPr>
            </w:pPr>
          </w:p>
        </w:tc>
        <w:tc>
          <w:tcPr>
            <w:tcW w:w="898" w:type="dxa"/>
            <w:vMerge/>
            <w:vAlign w:val="center"/>
          </w:tcPr>
          <w:p w:rsidR="009846C2" w:rsidRDefault="009846C2">
            <w:pPr>
              <w:widowControl w:val="0"/>
              <w:tabs>
                <w:tab w:val="left" w:pos="0"/>
              </w:tabs>
              <w:topLinePunct/>
              <w:spacing w:line="320" w:lineRule="exact"/>
              <w:ind w:firstLineChars="100" w:firstLine="150"/>
              <w:rPr>
                <w:rFonts w:ascii="Times New Roman" w:hAnsi="Times New Roman" w:cs="Times New Roman"/>
                <w:kern w:val="2"/>
                <w:sz w:val="15"/>
                <w:szCs w:val="15"/>
              </w:rPr>
            </w:pPr>
          </w:p>
        </w:tc>
        <w:tc>
          <w:tcPr>
            <w:tcW w:w="2930"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电缆井、管道井与房间、走道等相连通的孔隙应采用防火封堵材料封堵</w:t>
            </w:r>
          </w:p>
        </w:tc>
        <w:tc>
          <w:tcPr>
            <w:tcW w:w="896" w:type="dxa"/>
            <w:vMerge/>
            <w:vAlign w:val="center"/>
          </w:tcPr>
          <w:p w:rsidR="009846C2" w:rsidRDefault="009846C2">
            <w:pPr>
              <w:widowControl w:val="0"/>
              <w:tabs>
                <w:tab w:val="left" w:pos="0"/>
              </w:tabs>
              <w:topLinePunct/>
              <w:spacing w:line="320" w:lineRule="exact"/>
              <w:ind w:firstLineChars="100" w:firstLine="150"/>
              <w:jc w:val="both"/>
              <w:rPr>
                <w:rFonts w:ascii="Times New Roman" w:hAnsi="Times New Roman" w:cs="Times New Roman"/>
                <w:kern w:val="2"/>
                <w:sz w:val="15"/>
                <w:szCs w:val="15"/>
              </w:rPr>
            </w:pPr>
          </w:p>
        </w:tc>
        <w:tc>
          <w:tcPr>
            <w:tcW w:w="420" w:type="dxa"/>
            <w:vAlign w:val="center"/>
          </w:tcPr>
          <w:p w:rsidR="009846C2" w:rsidRDefault="00A433A0">
            <w:pPr>
              <w:widowControl w:val="0"/>
              <w:tabs>
                <w:tab w:val="left" w:pos="0"/>
              </w:tabs>
              <w:topLinePunct/>
              <w:spacing w:line="320" w:lineRule="atLeas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392" w:type="dxa"/>
            <w:vAlign w:val="center"/>
          </w:tcPr>
          <w:p w:rsidR="009846C2" w:rsidRDefault="009846C2">
            <w:pPr>
              <w:widowControl w:val="0"/>
              <w:tabs>
                <w:tab w:val="left" w:pos="0"/>
              </w:tabs>
              <w:topLinePunct/>
              <w:spacing w:line="320" w:lineRule="atLeas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39"/>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消防灭火救援窗</w:t>
      </w:r>
    </w:p>
    <w:p w:rsidR="009846C2" w:rsidRDefault="00A433A0">
      <w:pPr>
        <w:pStyle w:val="af1"/>
        <w:widowControl w:val="0"/>
        <w:numPr>
          <w:ilvl w:val="0"/>
          <w:numId w:val="45"/>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45"/>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lastRenderedPageBreak/>
        <w:t>验收标准和验收方法：见表</w:t>
      </w:r>
      <w:r>
        <w:rPr>
          <w:rFonts w:ascii="Times New Roman" w:eastAsia="宋体" w:hAnsi="Times New Roman" w:cs="Times New Roman"/>
          <w:kern w:val="2"/>
          <w:sz w:val="21"/>
          <w:szCs w:val="21"/>
        </w:rPr>
        <w:t>4.5.6</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4.5.6</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消防灭火救援窗验收标准和验收方法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子项项目</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设置位置</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供消防救援人员进入的窗口的净高度和净宽度均不应小于</w:t>
            </w:r>
            <w:r>
              <w:rPr>
                <w:rFonts w:ascii="Times New Roman" w:eastAsiaTheme="minorEastAsia" w:hAnsi="Times New Roman" w:cs="Times New Roman"/>
                <w:kern w:val="2"/>
                <w:sz w:val="15"/>
                <w:szCs w:val="15"/>
              </w:rPr>
              <w:t>1.0m</w:t>
            </w:r>
            <w:r>
              <w:rPr>
                <w:rFonts w:ascii="Times New Roman" w:eastAsiaTheme="minorEastAsia" w:hAnsi="Times New Roman" w:cs="Times New Roman"/>
                <w:kern w:val="2"/>
                <w:sz w:val="15"/>
                <w:szCs w:val="15"/>
              </w:rPr>
              <w:t>，下沿距室内地面不宜大于</w:t>
            </w:r>
            <w:r>
              <w:rPr>
                <w:rFonts w:ascii="Times New Roman" w:eastAsiaTheme="minorEastAsia" w:hAnsi="Times New Roman" w:cs="Times New Roman"/>
                <w:kern w:val="2"/>
                <w:sz w:val="15"/>
                <w:szCs w:val="15"/>
              </w:rPr>
              <w:t>1.2m</w:t>
            </w:r>
            <w:r>
              <w:rPr>
                <w:rFonts w:ascii="Times New Roman" w:eastAsiaTheme="minorEastAsia" w:hAnsi="Times New Roman" w:cs="Times New Roman"/>
                <w:kern w:val="2"/>
                <w:sz w:val="15"/>
                <w:szCs w:val="15"/>
              </w:rPr>
              <w:t>，间距不宜大于</w:t>
            </w:r>
            <w:r>
              <w:rPr>
                <w:rFonts w:ascii="Times New Roman" w:eastAsiaTheme="minorEastAsia" w:hAnsi="Times New Roman" w:cs="Times New Roman"/>
                <w:kern w:val="2"/>
                <w:sz w:val="15"/>
                <w:szCs w:val="15"/>
              </w:rPr>
              <w:t>20.0m</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每个防火分区不应少于</w:t>
            </w:r>
            <w:r>
              <w:rPr>
                <w:rFonts w:ascii="Times New Roman" w:eastAsiaTheme="minorEastAsia" w:hAnsi="Times New Roman" w:cs="Times New Roman"/>
                <w:kern w:val="2"/>
                <w:sz w:val="15"/>
                <w:szCs w:val="15"/>
              </w:rPr>
              <w:t>2</w:t>
            </w:r>
            <w:r>
              <w:rPr>
                <w:rFonts w:ascii="Times New Roman" w:eastAsiaTheme="minorEastAsia" w:hAnsi="Times New Roman" w:cs="Times New Roman"/>
                <w:kern w:val="2"/>
                <w:sz w:val="15"/>
                <w:szCs w:val="15"/>
              </w:rPr>
              <w:t>个</w:t>
            </w: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窗口标志</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窗口的玻璃应易于破碎，并应设置在室外易于识别的明显标志</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1A28A3">
      <w:pPr>
        <w:pStyle w:val="31"/>
        <w:numPr>
          <w:ilvl w:val="0"/>
          <w:numId w:val="29"/>
        </w:numPr>
        <w:tabs>
          <w:tab w:val="left" w:pos="0"/>
        </w:tabs>
        <w:topLinePunct/>
        <w:spacing w:before="100" w:beforeAutospacing="1" w:after="100" w:afterAutospacing="1" w:line="360" w:lineRule="exact"/>
        <w:ind w:firstLineChars="0"/>
        <w:jc w:val="center"/>
        <w:outlineLvl w:val="1"/>
        <w:rPr>
          <w:rFonts w:eastAsia="黑体"/>
          <w:b/>
          <w:bCs/>
          <w:szCs w:val="21"/>
        </w:rPr>
      </w:pPr>
      <w:r>
        <w:rPr>
          <w:rFonts w:eastAsia="黑体"/>
          <w:b/>
          <w:bCs/>
          <w:szCs w:val="21"/>
        </w:rPr>
        <w:t>建筑内部装修</w:t>
      </w:r>
    </w:p>
    <w:p w:rsidR="009846C2" w:rsidRDefault="00A433A0">
      <w:pPr>
        <w:pStyle w:val="af1"/>
        <w:numPr>
          <w:ilvl w:val="0"/>
          <w:numId w:val="46"/>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装修材料</w:t>
      </w:r>
    </w:p>
    <w:p w:rsidR="009846C2" w:rsidRDefault="00A433A0">
      <w:pPr>
        <w:pStyle w:val="af1"/>
        <w:widowControl w:val="0"/>
        <w:numPr>
          <w:ilvl w:val="0"/>
          <w:numId w:val="47"/>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检查数量：全数资料核查和现场抽查。</w:t>
      </w:r>
    </w:p>
    <w:p w:rsidR="009846C2" w:rsidRDefault="00A433A0">
      <w:pPr>
        <w:pStyle w:val="af1"/>
        <w:widowControl w:val="0"/>
        <w:numPr>
          <w:ilvl w:val="0"/>
          <w:numId w:val="47"/>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4.6.1</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4.6.1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装修材料验收标准和验收方法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子项项目</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装修材料</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装修材料及构造做法应符合国家和河北省现行规范标准的规定和消防设计文件，装修材料的燃烧性能不应低于</w:t>
            </w:r>
            <w:r>
              <w:rPr>
                <w:rFonts w:ascii="Times New Roman" w:eastAsia="宋体" w:hAnsi="Times New Roman" w:cs="Times New Roman"/>
                <w:kern w:val="2"/>
                <w:sz w:val="15"/>
                <w:szCs w:val="15"/>
              </w:rPr>
              <w:t>B</w:t>
            </w:r>
            <w:r>
              <w:rPr>
                <w:rFonts w:ascii="Times New Roman" w:eastAsia="宋体" w:hAnsi="Times New Roman" w:cs="Times New Roman"/>
                <w:kern w:val="2"/>
                <w:sz w:val="15"/>
                <w:szCs w:val="15"/>
                <w:vertAlign w:val="subscript"/>
              </w:rPr>
              <w:t>1</w:t>
            </w:r>
            <w:r>
              <w:rPr>
                <w:rFonts w:ascii="Times New Roman" w:eastAsia="宋体" w:hAnsi="Times New Roman" w:cs="Times New Roman"/>
                <w:kern w:val="2"/>
                <w:sz w:val="15"/>
                <w:szCs w:val="15"/>
              </w:rPr>
              <w:t>级</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ind w:firstLineChars="100" w:firstLine="150"/>
              <w:jc w:val="both"/>
              <w:rPr>
                <w:rFonts w:ascii="Times New Roman"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控制室顶棚、墙面、地面应采用</w:t>
            </w:r>
            <w:r>
              <w:rPr>
                <w:rFonts w:ascii="Times New Roman" w:eastAsiaTheme="minorEastAsia" w:hAnsi="Times New Roman" w:cs="Times New Roman"/>
                <w:kern w:val="2"/>
                <w:sz w:val="15"/>
                <w:szCs w:val="15"/>
              </w:rPr>
              <w:t>A</w:t>
            </w:r>
            <w:r>
              <w:rPr>
                <w:rFonts w:ascii="Times New Roman" w:eastAsiaTheme="minorEastAsia" w:hAnsi="Times New Roman" w:cs="Times New Roman"/>
                <w:kern w:val="2"/>
                <w:sz w:val="15"/>
                <w:szCs w:val="15"/>
              </w:rPr>
              <w:t>级装修材料</w:t>
            </w: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消防水泵房、机械加压送风排烟机房、固定灭火系统钢瓶间、配电室、变压器室、发电机房、储油间、通风和空调机房等，其内部所有装修均应采用</w:t>
            </w:r>
            <w:r>
              <w:rPr>
                <w:rFonts w:ascii="Times New Roman" w:eastAsiaTheme="minorEastAsia" w:hAnsi="Times New Roman" w:cs="Times New Roman"/>
                <w:kern w:val="2"/>
                <w:sz w:val="15"/>
                <w:szCs w:val="15"/>
              </w:rPr>
              <w:t>A</w:t>
            </w:r>
            <w:r>
              <w:rPr>
                <w:rFonts w:ascii="Times New Roman" w:eastAsiaTheme="minorEastAsia" w:hAnsi="Times New Roman" w:cs="Times New Roman"/>
                <w:kern w:val="2"/>
                <w:sz w:val="15"/>
                <w:szCs w:val="15"/>
              </w:rPr>
              <w:t>级装修材料</w:t>
            </w: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地下房间顶棚、墙面、地面装修材料的燃</w:t>
            </w:r>
            <w:r>
              <w:rPr>
                <w:rFonts w:ascii="Times New Roman" w:eastAsiaTheme="minorEastAsia" w:hAnsi="Times New Roman" w:cs="Times New Roman"/>
                <w:kern w:val="2"/>
                <w:sz w:val="15"/>
                <w:szCs w:val="15"/>
              </w:rPr>
              <w:lastRenderedPageBreak/>
              <w:t>烧性能等级不低于</w:t>
            </w:r>
            <w:r>
              <w:rPr>
                <w:rFonts w:ascii="Times New Roman" w:eastAsiaTheme="minorEastAsia" w:hAnsi="Times New Roman" w:cs="Times New Roman"/>
                <w:kern w:val="2"/>
                <w:sz w:val="15"/>
                <w:szCs w:val="15"/>
              </w:rPr>
              <w:t>A</w:t>
            </w:r>
            <w:r>
              <w:rPr>
                <w:rFonts w:ascii="Times New Roman" w:eastAsiaTheme="minorEastAsia" w:hAnsi="Times New Roman" w:cs="Times New Roman"/>
                <w:kern w:val="2"/>
                <w:sz w:val="15"/>
                <w:szCs w:val="15"/>
              </w:rPr>
              <w:t>级</w:t>
            </w: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疏散楼梯间和前室的顶棚、墙面和地面均应采用</w:t>
            </w:r>
            <w:r>
              <w:rPr>
                <w:rFonts w:ascii="Times New Roman" w:eastAsiaTheme="minorEastAsia" w:hAnsi="Times New Roman" w:cs="Times New Roman"/>
                <w:kern w:val="2"/>
                <w:sz w:val="15"/>
                <w:szCs w:val="15"/>
              </w:rPr>
              <w:t>A</w:t>
            </w:r>
            <w:r>
              <w:rPr>
                <w:rFonts w:ascii="Times New Roman" w:eastAsiaTheme="minorEastAsia" w:hAnsi="Times New Roman" w:cs="Times New Roman"/>
                <w:kern w:val="2"/>
                <w:sz w:val="15"/>
                <w:szCs w:val="15"/>
              </w:rPr>
              <w:t>级装修材料</w:t>
            </w:r>
          </w:p>
        </w:tc>
        <w:tc>
          <w:tcPr>
            <w:tcW w:w="893" w:type="dxa"/>
            <w:vMerge/>
            <w:vAlign w:val="center"/>
          </w:tcPr>
          <w:p w:rsidR="009846C2" w:rsidRDefault="009846C2">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numPr>
          <w:ilvl w:val="0"/>
          <w:numId w:val="46"/>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电气安装与装修</w:t>
      </w:r>
    </w:p>
    <w:p w:rsidR="009846C2" w:rsidRDefault="00A433A0">
      <w:pPr>
        <w:pStyle w:val="af1"/>
        <w:widowControl w:val="0"/>
        <w:numPr>
          <w:ilvl w:val="0"/>
          <w:numId w:val="48"/>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检查数量：现场抽查。</w:t>
      </w:r>
    </w:p>
    <w:p w:rsidR="009846C2" w:rsidRDefault="00A433A0">
      <w:pPr>
        <w:pStyle w:val="af1"/>
        <w:widowControl w:val="0"/>
        <w:numPr>
          <w:ilvl w:val="0"/>
          <w:numId w:val="48"/>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4.6.3</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4.6.2</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电气安装与装修验收标准和验收方法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电气安装与装修</w:t>
            </w:r>
          </w:p>
        </w:tc>
        <w:tc>
          <w:tcPr>
            <w:tcW w:w="2916" w:type="dxa"/>
            <w:tcBorders>
              <w:bottom w:val="single" w:sz="4" w:space="0" w:color="auto"/>
            </w:tcBorders>
            <w:vAlign w:val="center"/>
          </w:tcPr>
          <w:p w:rsidR="009846C2" w:rsidRDefault="00A433A0">
            <w:pPr>
              <w:widowControl w:val="0"/>
              <w:tabs>
                <w:tab w:val="left" w:pos="0"/>
              </w:tabs>
              <w:topLinePunct/>
              <w:spacing w:line="300" w:lineRule="exact"/>
              <w:ind w:firstLineChars="100" w:firstLine="150"/>
              <w:contextualSpacing/>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开关、插座和照明灯具靠近可燃物时，应采取隔热、散热等防火措施</w:t>
            </w:r>
          </w:p>
        </w:tc>
        <w:tc>
          <w:tcPr>
            <w:tcW w:w="893" w:type="dxa"/>
            <w:vAlign w:val="center"/>
          </w:tcPr>
          <w:p w:rsidR="009846C2" w:rsidRDefault="00A433A0">
            <w:pPr>
              <w:widowControl w:val="0"/>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tcBorders>
              <w:bottom w:val="single" w:sz="4" w:space="0" w:color="auto"/>
            </w:tcBorders>
            <w:vAlign w:val="center"/>
          </w:tcPr>
          <w:p w:rsidR="009846C2" w:rsidRDefault="00A433A0">
            <w:pPr>
              <w:widowControl w:val="0"/>
              <w:tabs>
                <w:tab w:val="left" w:pos="0"/>
              </w:tabs>
              <w:topLinePunct/>
              <w:spacing w:line="30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卤钨灯和额定功率不小于</w:t>
            </w:r>
            <w:r>
              <w:rPr>
                <w:rFonts w:ascii="Times New Roman" w:eastAsiaTheme="minorEastAsia" w:hAnsi="Times New Roman" w:cs="Times New Roman"/>
                <w:kern w:val="2"/>
                <w:sz w:val="15"/>
                <w:szCs w:val="15"/>
              </w:rPr>
              <w:t>100W</w:t>
            </w:r>
            <w:r>
              <w:rPr>
                <w:rFonts w:ascii="Times New Roman" w:eastAsiaTheme="minorEastAsia" w:hAnsi="Times New Roman" w:cs="Times New Roman"/>
                <w:kern w:val="2"/>
                <w:sz w:val="15"/>
                <w:szCs w:val="15"/>
              </w:rPr>
              <w:t>的白炽灯泡的吸顶灯、槽灯、嵌入式灯，其引入线应采用瓷管、矿棉等不燃材料作隔热保护</w:t>
            </w:r>
          </w:p>
        </w:tc>
        <w:tc>
          <w:tcPr>
            <w:tcW w:w="893"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额定功率不小于</w:t>
            </w:r>
            <w:r>
              <w:rPr>
                <w:rFonts w:ascii="Times New Roman" w:eastAsiaTheme="minorEastAsia" w:hAnsi="Times New Roman" w:cs="Times New Roman"/>
                <w:kern w:val="2"/>
                <w:sz w:val="15"/>
                <w:szCs w:val="15"/>
              </w:rPr>
              <w:t>60W</w:t>
            </w:r>
            <w:r>
              <w:rPr>
                <w:rFonts w:ascii="Times New Roman" w:eastAsiaTheme="minorEastAsia" w:hAnsi="Times New Roman" w:cs="Times New Roman"/>
                <w:kern w:val="2"/>
                <w:sz w:val="15"/>
                <w:szCs w:val="15"/>
              </w:rPr>
              <w:t>的白炽灯、卤钨灯、高压钠灯、金属卤化物灯、荧光高压汞灯（包括电感镇流器）等，不应直接安装在可燃物上或采取其他防火措施</w:t>
            </w:r>
          </w:p>
        </w:tc>
        <w:tc>
          <w:tcPr>
            <w:tcW w:w="893"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照明灯具及电气设备、线路的高温部位，当靠近非</w:t>
            </w:r>
            <w:r>
              <w:rPr>
                <w:rFonts w:ascii="Times New Roman" w:eastAsiaTheme="minorEastAsia" w:hAnsi="Times New Roman" w:cs="Times New Roman"/>
                <w:kern w:val="2"/>
                <w:sz w:val="15"/>
                <w:szCs w:val="15"/>
              </w:rPr>
              <w:t>A</w:t>
            </w:r>
            <w:r>
              <w:rPr>
                <w:rFonts w:ascii="Times New Roman" w:eastAsiaTheme="minorEastAsia" w:hAnsi="Times New Roman" w:cs="Times New Roman"/>
                <w:kern w:val="2"/>
                <w:sz w:val="15"/>
                <w:szCs w:val="15"/>
              </w:rPr>
              <w:t>级装修材料或构件时，应采取隔热、散热等防火保护措施，与窗帘、帷幕、幕布、软包等装修材料的距离不应小于</w:t>
            </w:r>
            <w:r>
              <w:rPr>
                <w:rFonts w:ascii="Times New Roman" w:eastAsiaTheme="minorEastAsia" w:hAnsi="Times New Roman" w:cs="Times New Roman"/>
                <w:kern w:val="2"/>
                <w:sz w:val="15"/>
                <w:szCs w:val="15"/>
              </w:rPr>
              <w:t>500mm</w:t>
            </w:r>
            <w:r>
              <w:rPr>
                <w:rFonts w:ascii="Times New Roman" w:eastAsiaTheme="minorEastAsia" w:hAnsi="Times New Roman" w:cs="Times New Roman"/>
                <w:kern w:val="2"/>
                <w:sz w:val="15"/>
                <w:szCs w:val="15"/>
              </w:rPr>
              <w:t>；灯饰应采用不低于</w:t>
            </w:r>
            <w:r>
              <w:rPr>
                <w:rFonts w:ascii="Times New Roman" w:eastAsiaTheme="minorEastAsia" w:hAnsi="Times New Roman" w:cs="Times New Roman"/>
                <w:kern w:val="2"/>
                <w:sz w:val="15"/>
                <w:szCs w:val="15"/>
              </w:rPr>
              <w:t>B1</w:t>
            </w:r>
            <w:r>
              <w:rPr>
                <w:rFonts w:ascii="Times New Roman" w:eastAsiaTheme="minorEastAsia" w:hAnsi="Times New Roman" w:cs="Times New Roman"/>
                <w:kern w:val="2"/>
                <w:sz w:val="15"/>
                <w:szCs w:val="15"/>
              </w:rPr>
              <w:t>级的材料</w:t>
            </w:r>
          </w:p>
        </w:tc>
        <w:tc>
          <w:tcPr>
            <w:tcW w:w="893"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建筑内部的配电箱、控制面板、接线盒、开关、插座等不应直接安装在低于</w:t>
            </w:r>
            <w:r>
              <w:rPr>
                <w:rFonts w:ascii="Times New Roman" w:eastAsiaTheme="minorEastAsia" w:hAnsi="Times New Roman" w:cs="Times New Roman"/>
                <w:kern w:val="2"/>
                <w:sz w:val="15"/>
                <w:szCs w:val="15"/>
              </w:rPr>
              <w:t>B1</w:t>
            </w:r>
            <w:r>
              <w:rPr>
                <w:rFonts w:ascii="Times New Roman" w:eastAsiaTheme="minorEastAsia" w:hAnsi="Times New Roman" w:cs="Times New Roman"/>
                <w:kern w:val="2"/>
                <w:sz w:val="15"/>
                <w:szCs w:val="15"/>
              </w:rPr>
              <w:t>级的装修材料上；用于顶棚和墙面装修的木质类板材，当内部含有电器、电线等物体时，应采用不低于</w:t>
            </w:r>
            <w:r>
              <w:rPr>
                <w:rFonts w:ascii="Times New Roman" w:eastAsiaTheme="minorEastAsia" w:hAnsi="Times New Roman" w:cs="Times New Roman"/>
                <w:kern w:val="2"/>
                <w:sz w:val="15"/>
                <w:szCs w:val="15"/>
              </w:rPr>
              <w:t>B1</w:t>
            </w:r>
            <w:r>
              <w:rPr>
                <w:rFonts w:ascii="Times New Roman" w:eastAsiaTheme="minorEastAsia" w:hAnsi="Times New Roman" w:cs="Times New Roman"/>
                <w:kern w:val="2"/>
                <w:sz w:val="15"/>
                <w:szCs w:val="15"/>
              </w:rPr>
              <w:t>级的材料</w:t>
            </w:r>
          </w:p>
        </w:tc>
        <w:tc>
          <w:tcPr>
            <w:tcW w:w="893"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contextualSpacing/>
              <w:jc w:val="center"/>
              <w:rPr>
                <w:rFonts w:ascii="Times New Roman"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r>
    </w:tbl>
    <w:p w:rsidR="009846C2" w:rsidRDefault="00A433A0">
      <w:pPr>
        <w:pStyle w:val="af1"/>
        <w:numPr>
          <w:ilvl w:val="0"/>
          <w:numId w:val="46"/>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对消防设施的影响</w:t>
      </w:r>
    </w:p>
    <w:p w:rsidR="009846C2" w:rsidRDefault="00A433A0">
      <w:pPr>
        <w:pStyle w:val="af1"/>
        <w:widowControl w:val="0"/>
        <w:numPr>
          <w:ilvl w:val="0"/>
          <w:numId w:val="49"/>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检查数量：现场抽查。</w:t>
      </w:r>
    </w:p>
    <w:p w:rsidR="009846C2" w:rsidRDefault="00A433A0">
      <w:pPr>
        <w:pStyle w:val="af1"/>
        <w:widowControl w:val="0"/>
        <w:numPr>
          <w:ilvl w:val="0"/>
          <w:numId w:val="49"/>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4.6.3</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4.6.3</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对消防设施的影响验收标准和验收方法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对消防设施的影响</w:t>
            </w:r>
          </w:p>
        </w:tc>
        <w:tc>
          <w:tcPr>
            <w:tcW w:w="2916" w:type="dxa"/>
            <w:tcBorders>
              <w:bottom w:val="single" w:sz="4" w:space="0" w:color="auto"/>
            </w:tcBorders>
            <w:vAlign w:val="center"/>
          </w:tcPr>
          <w:p w:rsidR="009846C2" w:rsidRDefault="00A433A0">
            <w:pPr>
              <w:widowControl w:val="0"/>
              <w:tabs>
                <w:tab w:val="left" w:pos="0"/>
              </w:tabs>
              <w:topLinePunct/>
              <w:spacing w:line="300" w:lineRule="exact"/>
              <w:ind w:firstLineChars="100" w:firstLine="150"/>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不应影响消防设施的使用，装饰不能遮挡、覆盖消火栓箱、手动报警按钮、喷头、火灾探测器以及安全疏散指示标志和安全出口标志等消防设施</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bottom w:val="single" w:sz="4" w:space="0" w:color="auto"/>
            </w:tcBorders>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numPr>
          <w:ilvl w:val="0"/>
          <w:numId w:val="46"/>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对疏散设施的影响</w:t>
      </w:r>
    </w:p>
    <w:p w:rsidR="009846C2" w:rsidRDefault="00A433A0">
      <w:pPr>
        <w:pStyle w:val="af1"/>
        <w:widowControl w:val="0"/>
        <w:numPr>
          <w:ilvl w:val="0"/>
          <w:numId w:val="50"/>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检查数量：现场抽查。</w:t>
      </w:r>
    </w:p>
    <w:p w:rsidR="009846C2" w:rsidRDefault="00A433A0">
      <w:pPr>
        <w:pStyle w:val="af1"/>
        <w:widowControl w:val="0"/>
        <w:numPr>
          <w:ilvl w:val="0"/>
          <w:numId w:val="50"/>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4.6.</w:t>
      </w:r>
      <w:r>
        <w:rPr>
          <w:rFonts w:ascii="Times New Roman" w:eastAsia="宋体" w:hAnsi="Times New Roman" w:cs="Times New Roman"/>
          <w:kern w:val="2"/>
          <w:sz w:val="21"/>
          <w:szCs w:val="21"/>
        </w:rPr>
        <w:t>４。</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4.6.</w:t>
      </w:r>
      <w:r>
        <w:rPr>
          <w:rFonts w:ascii="Times New Roman" w:eastAsia="黑体" w:hAnsi="Times New Roman" w:cs="Times New Roman" w:hint="eastAsia"/>
          <w:b/>
          <w:kern w:val="2"/>
          <w:sz w:val="18"/>
          <w:szCs w:val="18"/>
        </w:rPr>
        <w:t>4</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对疏散设施的影响验收标准和验收方法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对疏散设施影响</w:t>
            </w:r>
          </w:p>
        </w:tc>
        <w:tc>
          <w:tcPr>
            <w:tcW w:w="2916" w:type="dxa"/>
            <w:tcBorders>
              <w:bottom w:val="single" w:sz="4" w:space="0" w:color="auto"/>
            </w:tcBorders>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不应减少安全出口、疏散出口和疏散走道的净宽度和数量。</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bottom w:val="single" w:sz="4" w:space="0" w:color="auto"/>
            </w:tcBorders>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31"/>
        <w:numPr>
          <w:ilvl w:val="0"/>
          <w:numId w:val="29"/>
        </w:numPr>
        <w:tabs>
          <w:tab w:val="left" w:pos="0"/>
        </w:tabs>
        <w:topLinePunct/>
        <w:spacing w:before="100" w:beforeAutospacing="1" w:after="100" w:afterAutospacing="1" w:line="360" w:lineRule="exact"/>
        <w:ind w:firstLineChars="0"/>
        <w:jc w:val="center"/>
        <w:outlineLvl w:val="1"/>
        <w:rPr>
          <w:rFonts w:eastAsia="黑体"/>
          <w:b/>
          <w:bCs/>
        </w:rPr>
      </w:pPr>
      <w:r>
        <w:rPr>
          <w:rFonts w:eastAsia="黑体"/>
          <w:b/>
          <w:bCs/>
        </w:rPr>
        <w:t>变压器及其他带油电气设备防火</w:t>
      </w:r>
    </w:p>
    <w:p w:rsidR="009846C2" w:rsidRDefault="00A433A0">
      <w:pPr>
        <w:pStyle w:val="af1"/>
        <w:widowControl w:val="0"/>
        <w:numPr>
          <w:ilvl w:val="2"/>
          <w:numId w:val="51"/>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变压器及其他带油电气设备防火</w:t>
      </w:r>
    </w:p>
    <w:p w:rsidR="009846C2" w:rsidRDefault="00A433A0">
      <w:pPr>
        <w:pStyle w:val="af1"/>
        <w:widowControl w:val="0"/>
        <w:numPr>
          <w:ilvl w:val="0"/>
          <w:numId w:val="5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5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4.7.1</w:t>
      </w:r>
      <w:r>
        <w:rPr>
          <w:rFonts w:ascii="Times New Roman" w:eastAsia="宋体" w:hAnsi="Times New Roman" w:cs="Times New Roman"/>
          <w:kern w:val="2"/>
          <w:sz w:val="21"/>
          <w:szCs w:val="21"/>
        </w:rPr>
        <w:t>。</w:t>
      </w:r>
    </w:p>
    <w:p w:rsidR="009846C2" w:rsidRDefault="00A433A0">
      <w:pPr>
        <w:widowControl w:val="0"/>
        <w:numPr>
          <w:ilvl w:val="255"/>
          <w:numId w:val="0"/>
        </w:numPr>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4.7.1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变压器及其他带油电气设备防火验收标准和验收方法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室外油浸变压器</w:t>
            </w:r>
          </w:p>
        </w:tc>
        <w:tc>
          <w:tcPr>
            <w:tcW w:w="2916" w:type="dxa"/>
            <w:tcBorders>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室外单台油量为</w:t>
            </w:r>
            <w:r>
              <w:rPr>
                <w:rFonts w:ascii="Times New Roman" w:eastAsia="宋体" w:hAnsi="Times New Roman" w:cs="Times New Roman"/>
                <w:kern w:val="2"/>
                <w:sz w:val="15"/>
                <w:szCs w:val="15"/>
              </w:rPr>
              <w:t>1000kg</w:t>
            </w:r>
            <w:r>
              <w:rPr>
                <w:rFonts w:ascii="Times New Roman" w:eastAsia="宋体" w:hAnsi="Times New Roman" w:cs="Times New Roman"/>
                <w:kern w:val="2"/>
                <w:sz w:val="15"/>
                <w:szCs w:val="15"/>
              </w:rPr>
              <w:t>以上的电气设备，应设置贮油或挡油设施，其容积宜按设</w:t>
            </w:r>
            <w:r>
              <w:rPr>
                <w:rFonts w:ascii="Times New Roman" w:eastAsia="宋体" w:hAnsi="Times New Roman" w:cs="Times New Roman"/>
                <w:kern w:val="2"/>
                <w:sz w:val="15"/>
                <w:szCs w:val="15"/>
              </w:rPr>
              <w:lastRenderedPageBreak/>
              <w:t>备油量的</w:t>
            </w:r>
            <w:r>
              <w:rPr>
                <w:rFonts w:ascii="Times New Roman" w:eastAsia="宋体" w:hAnsi="Times New Roman" w:cs="Times New Roman"/>
                <w:kern w:val="2"/>
                <w:sz w:val="15"/>
                <w:szCs w:val="15"/>
              </w:rPr>
              <w:t>20</w:t>
            </w:r>
            <w:r>
              <w:rPr>
                <w:rFonts w:ascii="Times New Roman" w:eastAsia="宋体" w:hAnsi="Times New Roman" w:cs="Times New Roman"/>
                <w:kern w:val="2"/>
                <w:sz w:val="15"/>
                <w:szCs w:val="15"/>
              </w:rPr>
              <w:t>％设计，并能将事故油排至总事故贮油池。总事故贮油池的容量应按其接入的油量最大的一台设备确定，并设置油水分离装置。当不能满足上述要求时，应设置能容纳相应电气设备全部油量的贮油设施，并设置油水分离装置</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资料核查、现场测量、</w:t>
            </w:r>
            <w:r>
              <w:rPr>
                <w:rFonts w:ascii="Times New Roman" w:eastAsia="宋体" w:hAnsi="Times New Roman" w:cs="Times New Roman"/>
                <w:kern w:val="2"/>
                <w:sz w:val="15"/>
                <w:szCs w:val="15"/>
              </w:rPr>
              <w:lastRenderedPageBreak/>
              <w:t>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室外油浸变压器之间的防火墙的高度应高于变压器储油柜；防火墙的长度不应小于变压器的贮油池两侧各</w:t>
            </w:r>
            <w:r>
              <w:rPr>
                <w:rFonts w:ascii="Times New Roman" w:eastAsia="宋体" w:hAnsi="Times New Roman" w:cs="Times New Roman"/>
                <w:kern w:val="2"/>
                <w:sz w:val="15"/>
                <w:szCs w:val="15"/>
              </w:rPr>
              <w:t>1.0m</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室外油浸变压器之间的防火墙与变压器散热器外边缘距离不应小于</w:t>
            </w:r>
            <w:r>
              <w:rPr>
                <w:rFonts w:ascii="Times New Roman" w:eastAsia="宋体" w:hAnsi="Times New Roman" w:cs="Times New Roman"/>
                <w:kern w:val="2"/>
                <w:sz w:val="15"/>
                <w:szCs w:val="15"/>
              </w:rPr>
              <w:t>1.0m</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室内配电装置</w:t>
            </w: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35kV</w:t>
            </w:r>
            <w:r>
              <w:rPr>
                <w:rFonts w:ascii="Times New Roman" w:eastAsia="宋体" w:hAnsi="Times New Roman" w:cs="Times New Roman"/>
                <w:kern w:val="2"/>
                <w:sz w:val="15"/>
                <w:szCs w:val="15"/>
              </w:rPr>
              <w:t>以上室内配电装置应安装在有不燃烧实体墙的间隔内，不燃烧实体墙的高度不应低于配电装置中带油设备的高度</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总油量超过</w:t>
            </w:r>
            <w:r>
              <w:rPr>
                <w:rFonts w:ascii="Times New Roman" w:eastAsia="宋体" w:hAnsi="Times New Roman" w:cs="Times New Roman"/>
                <w:kern w:val="2"/>
                <w:sz w:val="15"/>
                <w:szCs w:val="15"/>
              </w:rPr>
              <w:t>100kg</w:t>
            </w:r>
            <w:r>
              <w:rPr>
                <w:rFonts w:ascii="Times New Roman" w:eastAsia="宋体" w:hAnsi="Times New Roman" w:cs="Times New Roman"/>
                <w:kern w:val="2"/>
                <w:sz w:val="15"/>
                <w:szCs w:val="15"/>
              </w:rPr>
              <w:t>的室内油浸变压器，应设置单独的变压器室</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室内单台总油量为</w:t>
            </w:r>
            <w:r>
              <w:rPr>
                <w:rFonts w:ascii="Times New Roman" w:eastAsia="宋体" w:hAnsi="Times New Roman" w:cs="Times New Roman"/>
                <w:kern w:val="2"/>
                <w:sz w:val="15"/>
                <w:szCs w:val="15"/>
              </w:rPr>
              <w:t>100kg</w:t>
            </w:r>
            <w:r>
              <w:rPr>
                <w:rFonts w:ascii="Times New Roman" w:eastAsia="宋体" w:hAnsi="Times New Roman" w:cs="Times New Roman"/>
                <w:kern w:val="2"/>
                <w:sz w:val="15"/>
                <w:szCs w:val="15"/>
              </w:rPr>
              <w:t>以上的电气设备，应设置挡油设施及将事故油排至安全处的设施。挡油设施的容积宜按油量的</w:t>
            </w:r>
            <w:r>
              <w:rPr>
                <w:rFonts w:ascii="Times New Roman" w:eastAsia="宋体" w:hAnsi="Times New Roman" w:cs="Times New Roman"/>
                <w:kern w:val="2"/>
                <w:sz w:val="15"/>
                <w:szCs w:val="15"/>
              </w:rPr>
              <w:t>20</w:t>
            </w:r>
            <w:r>
              <w:rPr>
                <w:rFonts w:ascii="Times New Roman" w:eastAsia="宋体" w:hAnsi="Times New Roman" w:cs="Times New Roman"/>
                <w:kern w:val="2"/>
                <w:sz w:val="15"/>
                <w:szCs w:val="15"/>
              </w:rPr>
              <w:t>％设计。当不能满足上述要求时，应设置能容纳全部油量的贮油设施</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tcBorders>
              <w:top w:val="single" w:sz="4" w:space="0" w:color="auto"/>
            </w:tcBorders>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地下变电站的变压器应设置能贮存最大一台变压器油量的事故贮油池</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hAnsi="Times New Roman" w:cs="Times New Roman"/>
                <w:kern w:val="2"/>
                <w:sz w:val="15"/>
                <w:szCs w:val="15"/>
              </w:rPr>
            </w:pPr>
            <w:r>
              <w:rPr>
                <w:rFonts w:ascii="Times New Roman" w:hAnsi="Times New Roman" w:cs="Times New Roman"/>
                <w:kern w:val="2"/>
                <w:sz w:val="15"/>
                <w:szCs w:val="15"/>
              </w:rPr>
              <w:t>3</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挡油设施及事故油池</w:t>
            </w: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设置有油水分离措施的总事故油池时，位于地面之上的变压器对应的总事故油池容量应按最大一台变压器油量的</w:t>
            </w:r>
            <w:r>
              <w:rPr>
                <w:rFonts w:ascii="Times New Roman" w:eastAsia="宋体" w:hAnsi="Times New Roman" w:cs="Times New Roman"/>
                <w:kern w:val="2"/>
                <w:sz w:val="15"/>
                <w:szCs w:val="15"/>
              </w:rPr>
              <w:t>60%</w:t>
            </w:r>
            <w:r>
              <w:rPr>
                <w:rFonts w:ascii="Times New Roman" w:eastAsia="宋体" w:hAnsi="Times New Roman" w:cs="Times New Roman"/>
                <w:kern w:val="2"/>
                <w:sz w:val="15"/>
                <w:szCs w:val="15"/>
              </w:rPr>
              <w:t>确定；位于地面之下的变压器对应的总事故油池容量应按最大一台主变压器油量的</w:t>
            </w:r>
            <w:r>
              <w:rPr>
                <w:rFonts w:ascii="Times New Roman" w:eastAsia="宋体" w:hAnsi="Times New Roman" w:cs="Times New Roman"/>
                <w:kern w:val="2"/>
                <w:sz w:val="15"/>
                <w:szCs w:val="15"/>
              </w:rPr>
              <w:t>100%</w:t>
            </w:r>
            <w:r>
              <w:rPr>
                <w:rFonts w:ascii="Times New Roman" w:eastAsia="宋体" w:hAnsi="Times New Roman" w:cs="Times New Roman"/>
                <w:kern w:val="2"/>
                <w:sz w:val="15"/>
                <w:szCs w:val="15"/>
              </w:rPr>
              <w:t>确定</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贮油或挡油设施应大于设备外廓每边各</w:t>
            </w:r>
            <w:r>
              <w:rPr>
                <w:rFonts w:ascii="Times New Roman" w:eastAsia="宋体" w:hAnsi="Times New Roman" w:cs="Times New Roman"/>
                <w:kern w:val="2"/>
                <w:sz w:val="15"/>
                <w:szCs w:val="15"/>
              </w:rPr>
              <w:t>1.0m</w:t>
            </w: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417"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贮油设施内应铺设卵石层，其厚度不应小于</w:t>
            </w:r>
            <w:r>
              <w:rPr>
                <w:rFonts w:ascii="Times New Roman" w:eastAsia="宋体" w:hAnsi="Times New Roman" w:cs="Times New Roman"/>
                <w:kern w:val="2"/>
                <w:sz w:val="15"/>
                <w:szCs w:val="15"/>
              </w:rPr>
              <w:t>250mm</w:t>
            </w:r>
            <w:r>
              <w:rPr>
                <w:rFonts w:ascii="Times New Roman" w:eastAsia="宋体" w:hAnsi="Times New Roman" w:cs="Times New Roman"/>
                <w:kern w:val="2"/>
                <w:sz w:val="15"/>
                <w:szCs w:val="15"/>
              </w:rPr>
              <w:t>，卵石直径宜为</w:t>
            </w:r>
            <w:r>
              <w:rPr>
                <w:rFonts w:ascii="Times New Roman" w:eastAsia="宋体" w:hAnsi="Times New Roman" w:cs="Times New Roman"/>
                <w:kern w:val="2"/>
                <w:sz w:val="15"/>
                <w:szCs w:val="15"/>
              </w:rPr>
              <w:t>50mm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80mm</w:t>
            </w: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893" w:type="dxa"/>
            <w:vMerge/>
            <w:vAlign w:val="center"/>
          </w:tcPr>
          <w:p w:rsidR="009846C2" w:rsidRDefault="009846C2">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2916" w:type="dxa"/>
            <w:tcBorders>
              <w:top w:val="single" w:sz="4" w:space="0" w:color="auto"/>
            </w:tcBorders>
            <w:vAlign w:val="center"/>
          </w:tcPr>
          <w:p w:rsidR="009846C2" w:rsidRDefault="00A433A0">
            <w:pPr>
              <w:numPr>
                <w:ilvl w:val="255"/>
                <w:numId w:val="0"/>
              </w:num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事故油坑内，不得被淤泥、灰渣及积土所堵塞</w:t>
            </w:r>
          </w:p>
        </w:tc>
        <w:tc>
          <w:tcPr>
            <w:tcW w:w="893" w:type="dxa"/>
            <w:vMerge/>
            <w:vAlign w:val="center"/>
          </w:tcPr>
          <w:p w:rsidR="009846C2" w:rsidRDefault="009846C2">
            <w:pPr>
              <w:tabs>
                <w:tab w:val="left" w:pos="0"/>
              </w:tabs>
              <w:topLinePunct/>
              <w:spacing w:line="300" w:lineRule="exact"/>
              <w:jc w:val="center"/>
              <w:rPr>
                <w:rFonts w:ascii="Times New Roman"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9846C2">
      <w:pPr>
        <w:tabs>
          <w:tab w:val="left" w:pos="0"/>
        </w:tabs>
        <w:topLinePunct/>
        <w:spacing w:line="360" w:lineRule="exact"/>
        <w:ind w:firstLineChars="200" w:firstLine="440"/>
        <w:rPr>
          <w:rFonts w:ascii="Times New Roman" w:hAnsi="Times New Roman" w:cs="Times New Roman"/>
          <w:kern w:val="2"/>
          <w:szCs w:val="21"/>
        </w:rPr>
      </w:pPr>
    </w:p>
    <w:p w:rsidR="009846C2" w:rsidRDefault="009846C2">
      <w:pPr>
        <w:tabs>
          <w:tab w:val="left" w:pos="0"/>
        </w:tabs>
        <w:topLinePunct/>
        <w:spacing w:line="360" w:lineRule="exact"/>
        <w:rPr>
          <w:rFonts w:ascii="Times New Roman" w:hAnsi="Times New Roman" w:cs="Times New Roman"/>
          <w:kern w:val="2"/>
          <w:szCs w:val="21"/>
        </w:rPr>
        <w:sectPr w:rsidR="009846C2">
          <w:pgSz w:w="7938" w:h="11510"/>
          <w:pgMar w:top="1247" w:right="1021" w:bottom="907" w:left="1021" w:header="708" w:footer="708" w:gutter="0"/>
          <w:cols w:space="708"/>
          <w:docGrid w:linePitch="360"/>
        </w:sectPr>
      </w:pPr>
    </w:p>
    <w:p w:rsidR="009846C2" w:rsidRDefault="00A433A0">
      <w:pPr>
        <w:pStyle w:val="a8"/>
        <w:numPr>
          <w:ilvl w:val="0"/>
          <w:numId w:val="15"/>
        </w:numPr>
        <w:tabs>
          <w:tab w:val="left" w:pos="220"/>
        </w:tabs>
        <w:topLinePunct/>
        <w:spacing w:beforeLines="100" w:after="100" w:afterAutospacing="1"/>
        <w:ind w:left="0" w:firstLine="0"/>
        <w:rPr>
          <w:rFonts w:ascii="Times New Roman" w:hAnsi="Times New Roman"/>
          <w:sz w:val="28"/>
          <w:szCs w:val="28"/>
        </w:rPr>
      </w:pPr>
      <w:r>
        <w:rPr>
          <w:rFonts w:ascii="Times New Roman" w:hAnsi="Times New Roman"/>
          <w:sz w:val="28"/>
          <w:szCs w:val="28"/>
        </w:rPr>
        <w:lastRenderedPageBreak/>
        <w:t>消防给水及灭火设施</w:t>
      </w:r>
    </w:p>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一般规定</w:t>
      </w:r>
    </w:p>
    <w:p w:rsidR="009846C2" w:rsidRDefault="00A433A0">
      <w:pPr>
        <w:pStyle w:val="af1"/>
        <w:widowControl w:val="0"/>
        <w:numPr>
          <w:ilvl w:val="0"/>
          <w:numId w:val="54"/>
        </w:numPr>
        <w:tabs>
          <w:tab w:val="left" w:pos="0"/>
        </w:tabs>
        <w:topLinePunct/>
        <w:spacing w:line="360" w:lineRule="exact"/>
        <w:ind w:left="0" w:firstLineChars="0" w:firstLine="0"/>
        <w:jc w:val="both"/>
        <w:rPr>
          <w:rStyle w:val="af0"/>
          <w:rFonts w:ascii="Times New Roman" w:hAnsi="Times New Roman" w:cs="Times New Roman"/>
          <w:kern w:val="2"/>
        </w:rPr>
      </w:pPr>
      <w:r>
        <w:rPr>
          <w:rFonts w:ascii="Times New Roman" w:eastAsia="宋体" w:hAnsi="Times New Roman" w:cs="Times New Roman"/>
          <w:kern w:val="2"/>
          <w:sz w:val="21"/>
          <w:szCs w:val="21"/>
        </w:rPr>
        <w:t>本章适用于消防给水及消火栓系统、水喷雾、细水雾、自动喷水灭火系统、泡沫灭火系统、气体灭火系统、排油注氮灭火系统、超细干粉灭火系统、建筑灭火器等消防工程施工质量验收。</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消防给水及消火栓系统的施工质量，除应符合本标准的规定外，尚应符合现行国家标准《消防给水及消火栓系统技术规范》</w:t>
      </w:r>
      <w:r>
        <w:rPr>
          <w:rFonts w:ascii="Times New Roman" w:eastAsia="宋体" w:hAnsi="Times New Roman" w:cs="Times New Roman"/>
          <w:kern w:val="2"/>
          <w:sz w:val="21"/>
          <w:szCs w:val="21"/>
        </w:rPr>
        <w:t>GB50974</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水喷雾灭火系统的施工质量，除应符合本标准的规定外，尚应符合现行国家标准《水喷雾灭火系统技术规范》</w:t>
      </w:r>
      <w:r>
        <w:rPr>
          <w:rFonts w:ascii="Times New Roman" w:eastAsia="宋体" w:hAnsi="Times New Roman" w:cs="Times New Roman"/>
          <w:kern w:val="2"/>
          <w:sz w:val="21"/>
          <w:szCs w:val="21"/>
        </w:rPr>
        <w:t>GB50219</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细水雾灭火系统的施工质量，除应符合本标准的规定外，尚应符合现行国家标准《细水雾灭火系统技术规范》</w:t>
      </w:r>
      <w:r>
        <w:rPr>
          <w:rFonts w:ascii="Times New Roman" w:eastAsia="宋体" w:hAnsi="Times New Roman" w:cs="Times New Roman"/>
          <w:kern w:val="2"/>
          <w:sz w:val="21"/>
          <w:szCs w:val="21"/>
        </w:rPr>
        <w:t>GB50898</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shd w:val="clear" w:color="auto" w:fill="FFFFFF"/>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自动喷水灭火系统的施工质量，除应符合本标准的规定外，尚应符合现行国家标准《自动喷水灭火系统设计规范》</w:t>
      </w:r>
      <w:r>
        <w:rPr>
          <w:rFonts w:ascii="Times New Roman" w:eastAsia="宋体" w:hAnsi="Times New Roman" w:cs="Times New Roman"/>
          <w:kern w:val="2"/>
          <w:sz w:val="21"/>
          <w:szCs w:val="21"/>
        </w:rPr>
        <w:t>GB50084</w:t>
      </w:r>
      <w:r>
        <w:rPr>
          <w:rFonts w:ascii="Times New Roman" w:eastAsia="宋体" w:hAnsi="Times New Roman" w:cs="Times New Roman"/>
          <w:kern w:val="2"/>
          <w:sz w:val="21"/>
          <w:szCs w:val="21"/>
        </w:rPr>
        <w:t>和《自动喷水灭火系统施工及验收规范》</w:t>
      </w:r>
      <w:r>
        <w:rPr>
          <w:rFonts w:ascii="Times New Roman" w:eastAsia="宋体" w:hAnsi="Times New Roman" w:cs="Times New Roman"/>
          <w:kern w:val="2"/>
          <w:sz w:val="21"/>
          <w:szCs w:val="21"/>
        </w:rPr>
        <w:t>GB50261</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泡沫灭火系统的施工质量，除应符合本标准的规定外，尚应符合现行国家标准《泡沫灭火系统施工及验收规范》</w:t>
      </w:r>
      <w:r>
        <w:rPr>
          <w:rFonts w:ascii="Times New Roman" w:eastAsia="宋体" w:hAnsi="Times New Roman" w:cs="Times New Roman"/>
          <w:kern w:val="2"/>
          <w:sz w:val="21"/>
          <w:szCs w:val="21"/>
        </w:rPr>
        <w:t>GB50281</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气体灭火系统的施工质量，除应符合本标准的规定外，尚应符合现行国家标准《气体灭火系统施工及验收规范》</w:t>
      </w:r>
      <w:r>
        <w:rPr>
          <w:rFonts w:ascii="Times New Roman" w:eastAsia="宋体" w:hAnsi="Times New Roman" w:cs="Times New Roman"/>
          <w:kern w:val="2"/>
          <w:sz w:val="21"/>
          <w:szCs w:val="21"/>
        </w:rPr>
        <w:t>GB50263</w:t>
      </w:r>
      <w:r>
        <w:rPr>
          <w:rFonts w:ascii="Times New Roman" w:eastAsia="宋体" w:hAnsi="Times New Roman" w:cs="Times New Roman"/>
          <w:kern w:val="2"/>
          <w:sz w:val="21"/>
          <w:szCs w:val="21"/>
        </w:rPr>
        <w:lastRenderedPageBreak/>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排油注氮灭火系统的施工质量，除应符合本标准的规定外，尚应符合现行国家标准、技术规程《油浸变压器排油注氮灭火装置》</w:t>
      </w:r>
      <w:r>
        <w:rPr>
          <w:rFonts w:ascii="Times New Roman" w:eastAsia="宋体" w:hAnsi="Times New Roman" w:cs="Times New Roman"/>
          <w:kern w:val="2"/>
          <w:sz w:val="21"/>
          <w:szCs w:val="21"/>
        </w:rPr>
        <w:t>XF835</w:t>
      </w:r>
      <w:r>
        <w:rPr>
          <w:rFonts w:ascii="Times New Roman" w:eastAsia="宋体" w:hAnsi="Times New Roman" w:cs="Times New Roman"/>
          <w:kern w:val="2"/>
          <w:sz w:val="21"/>
          <w:szCs w:val="21"/>
        </w:rPr>
        <w:t>和《油浸变压器排油注氮装置技术规程》</w:t>
      </w:r>
      <w:r>
        <w:rPr>
          <w:rFonts w:ascii="Times New Roman" w:eastAsia="宋体" w:hAnsi="Times New Roman" w:cs="Times New Roman"/>
          <w:kern w:val="2"/>
          <w:sz w:val="21"/>
          <w:szCs w:val="21"/>
        </w:rPr>
        <w:t>CECS187</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kern w:val="2"/>
          <w:sz w:val="21"/>
          <w:szCs w:val="21"/>
        </w:rPr>
        <w:t>建筑灭火器的施工质量，除应符合本标准的规定外，尚应符合现行国家标准《建筑灭火器配置验收及检查规范》</w:t>
      </w:r>
      <w:r>
        <w:rPr>
          <w:rFonts w:ascii="Times New Roman" w:eastAsia="宋体" w:hAnsi="Times New Roman" w:cs="Times New Roman"/>
          <w:kern w:val="2"/>
          <w:sz w:val="21"/>
          <w:szCs w:val="21"/>
        </w:rPr>
        <w:t>GB50444</w:t>
      </w:r>
      <w:r>
        <w:rPr>
          <w:rFonts w:ascii="Times New Roman" w:eastAsia="宋体" w:hAnsi="Times New Roman" w:cs="Times New Roman"/>
          <w:kern w:val="2"/>
          <w:sz w:val="21"/>
          <w:szCs w:val="21"/>
        </w:rPr>
        <w:t>中的有关规定。</w:t>
      </w:r>
    </w:p>
    <w:p w:rsidR="009846C2" w:rsidRDefault="00A433A0">
      <w:pPr>
        <w:pStyle w:val="af1"/>
        <w:widowControl w:val="0"/>
        <w:numPr>
          <w:ilvl w:val="0"/>
          <w:numId w:val="54"/>
        </w:numPr>
        <w:tabs>
          <w:tab w:val="left" w:pos="0"/>
        </w:tabs>
        <w:topLinePunct/>
        <w:spacing w:line="360" w:lineRule="exact"/>
        <w:ind w:left="0" w:firstLineChars="0" w:firstLine="0"/>
        <w:jc w:val="both"/>
        <w:rPr>
          <w:rFonts w:ascii="Times New Roman" w:eastAsiaTheme="minorEastAsia" w:hAnsi="Times New Roman" w:cs="Times New Roman"/>
          <w:kern w:val="2"/>
          <w:sz w:val="28"/>
          <w:szCs w:val="28"/>
        </w:rPr>
      </w:pPr>
      <w:r>
        <w:rPr>
          <w:rFonts w:ascii="Times New Roman" w:eastAsia="宋体" w:hAnsi="Times New Roman" w:cs="Times New Roman"/>
          <w:kern w:val="2"/>
          <w:sz w:val="21"/>
          <w:szCs w:val="21"/>
        </w:rPr>
        <w:t>消防给水及灭火设施施工质量验收前各系统施工、调试记录和消防设施检测报告等技术资料应齐全。</w:t>
      </w:r>
    </w:p>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消防给水及消火栓系统</w:t>
      </w:r>
    </w:p>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消防水源</w:t>
      </w:r>
    </w:p>
    <w:p w:rsidR="009846C2" w:rsidRDefault="00A433A0">
      <w:pPr>
        <w:pStyle w:val="af1"/>
        <w:widowControl w:val="0"/>
        <w:numPr>
          <w:ilvl w:val="0"/>
          <w:numId w:val="56"/>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56"/>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5.2.1</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消防水源验收标准和验收方法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7"/>
        <w:gridCol w:w="894"/>
        <w:gridCol w:w="2921"/>
        <w:gridCol w:w="894"/>
        <w:gridCol w:w="420"/>
        <w:gridCol w:w="406"/>
      </w:tblGrid>
      <w:tr w:rsidR="009846C2">
        <w:trPr>
          <w:tblHeader/>
        </w:trPr>
        <w:tc>
          <w:tcPr>
            <w:tcW w:w="417"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4"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21"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4"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20"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06" w:type="dxa"/>
            <w:vAlign w:val="center"/>
          </w:tcPr>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7"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4"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市政给水管网</w:t>
            </w:r>
          </w:p>
        </w:tc>
        <w:tc>
          <w:tcPr>
            <w:tcW w:w="2921" w:type="dxa"/>
            <w:vAlign w:val="center"/>
          </w:tcPr>
          <w:p w:rsidR="009846C2" w:rsidRDefault="00A433A0">
            <w:pPr>
              <w:pStyle w:val="a7"/>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hAnsi="Times New Roman"/>
                <w:kern w:val="2"/>
                <w:sz w:val="15"/>
                <w:szCs w:val="15"/>
              </w:rPr>
              <w:t>市政给水厂应至少有两条输水干管向市政给水管网输水；市政给水管网应为环状管网；应至少有两条不同的市政给水干管上不少于两条引入管向消防给水系统供水</w:t>
            </w:r>
          </w:p>
        </w:tc>
        <w:tc>
          <w:tcPr>
            <w:tcW w:w="894" w:type="dxa"/>
            <w:vAlign w:val="center"/>
          </w:tcPr>
          <w:p w:rsidR="009846C2" w:rsidRDefault="00A433A0">
            <w:pPr>
              <w:pStyle w:val="a7"/>
              <w:tabs>
                <w:tab w:val="left" w:pos="0"/>
              </w:tabs>
              <w:topLinePunct/>
              <w:spacing w:before="0" w:beforeAutospacing="0" w:after="0" w:afterAutospacing="0" w:line="300" w:lineRule="exact"/>
              <w:contextualSpacing/>
              <w:jc w:val="center"/>
              <w:rPr>
                <w:rFonts w:ascii="Times New Roman" w:eastAsiaTheme="minorEastAsia" w:hAnsi="Times New Roman"/>
                <w:kern w:val="2"/>
                <w:sz w:val="15"/>
                <w:szCs w:val="15"/>
              </w:rPr>
            </w:pPr>
            <w:r>
              <w:rPr>
                <w:rFonts w:ascii="Times New Roman" w:hAnsi="Times New Roman"/>
                <w:kern w:val="2"/>
                <w:sz w:val="15"/>
                <w:szCs w:val="15"/>
              </w:rPr>
              <w:t>核对设计文件，现场检查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restart"/>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4" w:type="dxa"/>
            <w:vMerge w:val="restart"/>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消防水池</w:t>
            </w:r>
          </w:p>
        </w:tc>
        <w:tc>
          <w:tcPr>
            <w:tcW w:w="2921" w:type="dxa"/>
            <w:vAlign w:val="center"/>
          </w:tcPr>
          <w:p w:rsidR="009846C2" w:rsidRDefault="00A433A0">
            <w:pPr>
              <w:pStyle w:val="a7"/>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eastAsiaTheme="minorEastAsia" w:hAnsi="Times New Roman"/>
                <w:kern w:val="2"/>
                <w:sz w:val="15"/>
                <w:szCs w:val="15"/>
              </w:rPr>
              <w:t>设置位置应符合设计要求；消防水池的有效容积、水位、报警水位等，应符合设计要求；进出水管、溢流管、排水管等应符合设计要求，且溢流管应采用间接排水</w:t>
            </w:r>
          </w:p>
        </w:tc>
        <w:tc>
          <w:tcPr>
            <w:tcW w:w="894" w:type="dxa"/>
            <w:vMerge w:val="restart"/>
            <w:vAlign w:val="center"/>
          </w:tcPr>
          <w:p w:rsidR="009846C2" w:rsidRDefault="00A433A0">
            <w:pPr>
              <w:pStyle w:val="a7"/>
              <w:tabs>
                <w:tab w:val="left" w:pos="0"/>
              </w:tabs>
              <w:topLinePunct/>
              <w:spacing w:before="0" w:beforeAutospacing="0" w:after="0" w:afterAutospacing="0" w:line="300" w:lineRule="exact"/>
              <w:contextualSpacing/>
              <w:jc w:val="center"/>
              <w:rPr>
                <w:rFonts w:ascii="Times New Roman" w:eastAsiaTheme="minorEastAsia" w:hAnsi="Times New Roman"/>
                <w:kern w:val="2"/>
                <w:sz w:val="15"/>
                <w:szCs w:val="15"/>
              </w:rPr>
            </w:pPr>
            <w:r>
              <w:rPr>
                <w:rFonts w:ascii="Times New Roman" w:hAnsi="Times New Roman"/>
                <w:kern w:val="2"/>
                <w:sz w:val="15"/>
                <w:szCs w:val="15"/>
              </w:rPr>
              <w:t>核对设计文件，现场检查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2921" w:type="dxa"/>
            <w:vAlign w:val="center"/>
          </w:tcPr>
          <w:p w:rsidR="009846C2" w:rsidRDefault="00A433A0">
            <w:pPr>
              <w:pStyle w:val="a7"/>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hAnsi="Times New Roman"/>
                <w:kern w:val="2"/>
                <w:sz w:val="15"/>
                <w:szCs w:val="15"/>
              </w:rPr>
              <w:t>消防用水与其他用水共用的水池，应采取确保消防用水量不作他用的技术措施</w:t>
            </w:r>
          </w:p>
        </w:tc>
        <w:tc>
          <w:tcPr>
            <w:tcW w:w="894" w:type="dxa"/>
            <w:vMerge/>
            <w:vAlign w:val="center"/>
          </w:tcPr>
          <w:p w:rsidR="009846C2" w:rsidRDefault="009846C2">
            <w:pPr>
              <w:pStyle w:val="a7"/>
              <w:tabs>
                <w:tab w:val="left" w:pos="0"/>
              </w:tabs>
              <w:topLinePunct/>
              <w:spacing w:before="0" w:beforeAutospacing="0" w:after="0" w:afterAutospacing="0" w:line="300" w:lineRule="exact"/>
              <w:contextualSpacing/>
              <w:jc w:val="center"/>
              <w:rPr>
                <w:rFonts w:ascii="Times New Roman" w:eastAsiaTheme="minorEastAsia" w:hAnsi="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2921" w:type="dxa"/>
            <w:vAlign w:val="center"/>
          </w:tcPr>
          <w:p w:rsidR="009846C2" w:rsidRDefault="00A433A0">
            <w:pPr>
              <w:pStyle w:val="a7"/>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hAnsi="Times New Roman"/>
                <w:kern w:val="2"/>
                <w:sz w:val="15"/>
                <w:szCs w:val="15"/>
              </w:rPr>
              <w:t>消防水池应设置就地水位显示装置，并应在消防控制中心或值班室等地点设置显示消防水池水位的装置，同时应有最高和最低报警水位</w:t>
            </w:r>
          </w:p>
        </w:tc>
        <w:tc>
          <w:tcPr>
            <w:tcW w:w="894" w:type="dxa"/>
            <w:vMerge/>
            <w:vAlign w:val="center"/>
          </w:tcPr>
          <w:p w:rsidR="009846C2" w:rsidRDefault="009846C2">
            <w:pPr>
              <w:pStyle w:val="a7"/>
              <w:tabs>
                <w:tab w:val="left" w:pos="0"/>
              </w:tabs>
              <w:topLinePunct/>
              <w:spacing w:before="0" w:beforeAutospacing="0" w:after="0" w:afterAutospacing="0" w:line="300" w:lineRule="exact"/>
              <w:contextualSpacing/>
              <w:jc w:val="center"/>
              <w:rPr>
                <w:rFonts w:ascii="Times New Roman" w:eastAsiaTheme="minorEastAsia" w:hAnsi="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2921" w:type="dxa"/>
            <w:vAlign w:val="center"/>
          </w:tcPr>
          <w:p w:rsidR="009846C2" w:rsidRDefault="00A433A0">
            <w:pPr>
              <w:pStyle w:val="a7"/>
              <w:tabs>
                <w:tab w:val="left" w:pos="0"/>
              </w:tabs>
              <w:topLinePunct/>
              <w:spacing w:before="0" w:beforeAutospacing="0" w:after="0" w:afterAutospacing="0" w:line="300" w:lineRule="exact"/>
              <w:ind w:firstLineChars="100" w:firstLine="150"/>
              <w:contextualSpacing/>
              <w:jc w:val="both"/>
              <w:rPr>
                <w:rFonts w:ascii="Times New Roman" w:hAnsi="Times New Roman"/>
                <w:kern w:val="2"/>
                <w:sz w:val="15"/>
                <w:szCs w:val="15"/>
              </w:rPr>
            </w:pPr>
            <w:r>
              <w:rPr>
                <w:rFonts w:ascii="Times New Roman" w:hAnsi="Times New Roman"/>
                <w:kern w:val="2"/>
                <w:sz w:val="15"/>
                <w:szCs w:val="15"/>
              </w:rPr>
              <w:t>消防水池应设置通气管；消防水池通气管、呼吸管和溢流水管等应采取防止虫鼠等进入消防水池的技术措施</w:t>
            </w:r>
          </w:p>
        </w:tc>
        <w:tc>
          <w:tcPr>
            <w:tcW w:w="894" w:type="dxa"/>
            <w:vMerge/>
            <w:vAlign w:val="center"/>
          </w:tcPr>
          <w:p w:rsidR="009846C2" w:rsidRDefault="009846C2">
            <w:pPr>
              <w:pStyle w:val="a7"/>
              <w:tabs>
                <w:tab w:val="left" w:pos="0"/>
              </w:tabs>
              <w:topLinePunct/>
              <w:spacing w:before="0" w:beforeAutospacing="0" w:after="0" w:afterAutospacing="0" w:line="300" w:lineRule="exact"/>
              <w:contextualSpacing/>
              <w:jc w:val="center"/>
              <w:rPr>
                <w:rFonts w:ascii="Times New Roman" w:eastAsiaTheme="minorEastAsia" w:hAnsi="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restart"/>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w:t>
            </w:r>
          </w:p>
        </w:tc>
        <w:tc>
          <w:tcPr>
            <w:tcW w:w="894" w:type="dxa"/>
            <w:vMerge w:val="restart"/>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天然水源及其他</w:t>
            </w:r>
          </w:p>
        </w:tc>
        <w:tc>
          <w:tcPr>
            <w:tcW w:w="2921" w:type="dxa"/>
            <w:vAlign w:val="center"/>
          </w:tcPr>
          <w:p w:rsidR="009846C2" w:rsidRDefault="00A433A0">
            <w:pPr>
              <w:pStyle w:val="a7"/>
              <w:tabs>
                <w:tab w:val="left" w:pos="0"/>
              </w:tabs>
              <w:topLinePunct/>
              <w:spacing w:before="0" w:beforeAutospacing="0" w:after="0" w:afterAutospacing="0" w:line="300" w:lineRule="exact"/>
              <w:ind w:firstLineChars="100" w:firstLine="150"/>
              <w:contextualSpacing/>
              <w:jc w:val="both"/>
              <w:rPr>
                <w:rFonts w:ascii="Times New Roman" w:eastAsiaTheme="minorEastAsia" w:hAnsi="Times New Roman"/>
                <w:kern w:val="2"/>
                <w:sz w:val="15"/>
                <w:szCs w:val="15"/>
              </w:rPr>
            </w:pPr>
            <w:r>
              <w:rPr>
                <w:rFonts w:ascii="Times New Roman" w:hAnsi="Times New Roman"/>
                <w:kern w:val="2"/>
                <w:sz w:val="15"/>
                <w:szCs w:val="15"/>
              </w:rPr>
              <w:t>井水作为消防水源向消防给水系统直接供水时，其最不利水位应满足水泵吸水要求，其最小出流量和水泵扬程应满足消防要求，且当需要两路消防供水时，水井不应少于两眼，每眼井的深井泵的供电均应采用一级供电负荷，应设置探测水井水位的水位测试装置</w:t>
            </w:r>
          </w:p>
        </w:tc>
        <w:tc>
          <w:tcPr>
            <w:tcW w:w="894" w:type="dxa"/>
            <w:vMerge w:val="restart"/>
            <w:vAlign w:val="center"/>
          </w:tcPr>
          <w:p w:rsidR="009846C2" w:rsidRDefault="00A433A0">
            <w:pPr>
              <w:pStyle w:val="a7"/>
              <w:tabs>
                <w:tab w:val="left" w:pos="0"/>
              </w:tabs>
              <w:topLinePunct/>
              <w:spacing w:before="0" w:beforeAutospacing="0" w:after="0" w:afterAutospacing="0" w:line="300" w:lineRule="exact"/>
              <w:contextualSpacing/>
              <w:jc w:val="center"/>
              <w:rPr>
                <w:rFonts w:ascii="Times New Roman" w:eastAsiaTheme="minorEastAsia" w:hAnsi="Times New Roman"/>
                <w:kern w:val="2"/>
                <w:sz w:val="15"/>
                <w:szCs w:val="15"/>
              </w:rPr>
            </w:pPr>
            <w:r>
              <w:rPr>
                <w:rFonts w:ascii="Times New Roman" w:hAnsi="Times New Roman"/>
                <w:kern w:val="2"/>
                <w:sz w:val="15"/>
                <w:szCs w:val="15"/>
              </w:rPr>
              <w:t>核对设计文件，现场检查</w:t>
            </w: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ind w:firstLineChars="100" w:firstLine="150"/>
              <w:contextualSpacing/>
              <w:jc w:val="center"/>
              <w:rPr>
                <w:rFonts w:ascii="Times New Roman"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center"/>
              <w:rPr>
                <w:rFonts w:ascii="Times New Roman" w:hAnsi="Times New Roman" w:cs="Times New Roman"/>
                <w:kern w:val="2"/>
                <w:sz w:val="15"/>
                <w:szCs w:val="15"/>
              </w:rPr>
            </w:pPr>
          </w:p>
        </w:tc>
        <w:tc>
          <w:tcPr>
            <w:tcW w:w="2921" w:type="dxa"/>
            <w:vAlign w:val="center"/>
          </w:tcPr>
          <w:p w:rsidR="009846C2" w:rsidRDefault="00A433A0">
            <w:pPr>
              <w:tabs>
                <w:tab w:val="left" w:pos="0"/>
              </w:tabs>
              <w:topLinePunct/>
              <w:spacing w:line="300" w:lineRule="exact"/>
              <w:ind w:firstLineChars="100" w:firstLine="150"/>
              <w:contextualSpacing/>
              <w:jc w:val="both"/>
              <w:rPr>
                <w:rFonts w:ascii="Times New Roman" w:eastAsiaTheme="minorEastAsia" w:hAnsi="Times New Roman" w:cs="Times New Roman"/>
                <w:b/>
                <w:kern w:val="2"/>
                <w:sz w:val="15"/>
                <w:szCs w:val="15"/>
              </w:rPr>
            </w:pPr>
            <w:r>
              <w:rPr>
                <w:rFonts w:ascii="Times New Roman" w:eastAsia="宋体" w:hAnsi="Times New Roman" w:cs="Times New Roman"/>
                <w:kern w:val="2"/>
                <w:sz w:val="15"/>
                <w:szCs w:val="15"/>
              </w:rPr>
              <w:t>当室外消防水源采用天然水源时，应采取防止冰凌、漂浮物、悬浮物等物质堵塞消防水泵的技术措施，并应采取确保安全取水的措施</w:t>
            </w:r>
          </w:p>
        </w:tc>
        <w:tc>
          <w:tcPr>
            <w:tcW w:w="894" w:type="dxa"/>
            <w:vMerge/>
            <w:vAlign w:val="center"/>
          </w:tcPr>
          <w:p w:rsidR="009846C2" w:rsidRDefault="009846C2">
            <w:pPr>
              <w:tabs>
                <w:tab w:val="left" w:pos="0"/>
              </w:tabs>
              <w:topLinePunct/>
              <w:spacing w:line="300" w:lineRule="exact"/>
              <w:ind w:firstLineChars="100" w:firstLine="150"/>
              <w:contextualSpacing/>
              <w:jc w:val="center"/>
              <w:rPr>
                <w:rFonts w:ascii="Times New Roman" w:eastAsiaTheme="minorEastAsia" w:hAnsi="Times New Roman" w:cs="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ind w:firstLineChars="100" w:firstLine="150"/>
              <w:contextualSpacing/>
              <w:jc w:val="center"/>
              <w:rPr>
                <w:rFonts w:ascii="Times New Roman" w:eastAsiaTheme="minorEastAsia"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2921"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当地表水作为室外消防水源时，应采取确保消防车、固定和移动消防水泵在枯水位取水的技术措施；当消防车取水时，最大吸水高度不应超过</w:t>
            </w:r>
            <w:r>
              <w:rPr>
                <w:rFonts w:ascii="Times New Roman" w:eastAsia="宋体" w:hAnsi="Times New Roman" w:cs="Times New Roman"/>
                <w:kern w:val="2"/>
                <w:sz w:val="15"/>
                <w:szCs w:val="15"/>
              </w:rPr>
              <w:t>6.0m</w:t>
            </w:r>
          </w:p>
        </w:tc>
        <w:tc>
          <w:tcPr>
            <w:tcW w:w="894" w:type="dxa"/>
            <w:vMerge/>
            <w:vAlign w:val="center"/>
          </w:tcPr>
          <w:p w:rsidR="009846C2" w:rsidRDefault="009846C2">
            <w:pPr>
              <w:tabs>
                <w:tab w:val="left" w:pos="0"/>
              </w:tabs>
              <w:topLinePunct/>
              <w:spacing w:line="300" w:lineRule="exact"/>
              <w:ind w:firstLineChars="100" w:firstLine="150"/>
              <w:contextualSpacing/>
              <w:jc w:val="center"/>
              <w:rPr>
                <w:rFonts w:ascii="Times New Roman" w:eastAsiaTheme="minorEastAsia" w:hAnsi="Times New Roman" w:cs="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ind w:firstLineChars="100" w:firstLine="150"/>
              <w:contextualSpacing/>
              <w:jc w:val="center"/>
              <w:rPr>
                <w:rFonts w:ascii="Times New Roman" w:eastAsiaTheme="minorEastAsia"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2921"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设有消防车取水口的天然水源，应设置消防车到这取水口的消防车道和消防车回车场或回车道</w:t>
            </w:r>
          </w:p>
        </w:tc>
        <w:tc>
          <w:tcPr>
            <w:tcW w:w="894" w:type="dxa"/>
            <w:vMerge/>
            <w:vAlign w:val="center"/>
          </w:tcPr>
          <w:p w:rsidR="009846C2" w:rsidRDefault="009846C2">
            <w:pPr>
              <w:tabs>
                <w:tab w:val="left" w:pos="0"/>
              </w:tabs>
              <w:topLinePunct/>
              <w:spacing w:line="300" w:lineRule="exact"/>
              <w:ind w:firstLineChars="100" w:firstLine="150"/>
              <w:contextualSpacing/>
              <w:jc w:val="center"/>
              <w:rPr>
                <w:rFonts w:ascii="Times New Roman" w:eastAsiaTheme="minorEastAsia" w:hAnsi="Times New Roman" w:cs="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c>
          <w:tcPr>
            <w:tcW w:w="894" w:type="dxa"/>
            <w:vMerge/>
            <w:vAlign w:val="center"/>
          </w:tcPr>
          <w:p w:rsidR="009846C2" w:rsidRDefault="009846C2">
            <w:pPr>
              <w:tabs>
                <w:tab w:val="left" w:pos="0"/>
              </w:tabs>
              <w:topLinePunct/>
              <w:spacing w:line="300" w:lineRule="exact"/>
              <w:contextualSpacing/>
              <w:jc w:val="both"/>
              <w:rPr>
                <w:rFonts w:ascii="Times New Roman" w:eastAsiaTheme="minorEastAsia" w:hAnsi="Times New Roman" w:cs="Times New Roman"/>
                <w:kern w:val="2"/>
                <w:sz w:val="15"/>
                <w:szCs w:val="15"/>
              </w:rPr>
            </w:pPr>
          </w:p>
        </w:tc>
        <w:tc>
          <w:tcPr>
            <w:tcW w:w="2921" w:type="dxa"/>
            <w:vAlign w:val="center"/>
          </w:tcPr>
          <w:p w:rsidR="009846C2" w:rsidRDefault="00A433A0">
            <w:pPr>
              <w:tabs>
                <w:tab w:val="left" w:pos="0"/>
              </w:tabs>
              <w:topLinePunct/>
              <w:spacing w:line="300" w:lineRule="exact"/>
              <w:ind w:firstLineChars="100" w:firstLine="150"/>
              <w:contextualSpacing/>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雨水清水池、水景必须作为消防水源时，</w:t>
            </w:r>
            <w:r>
              <w:rPr>
                <w:rFonts w:ascii="Times New Roman" w:eastAsia="宋体" w:hAnsi="Times New Roman" w:cs="Times New Roman"/>
                <w:kern w:val="2"/>
                <w:sz w:val="15"/>
                <w:szCs w:val="15"/>
              </w:rPr>
              <w:lastRenderedPageBreak/>
              <w:t>应有保证在任何情况下均能满足消防给水系统所需的水量和水质的技术措施</w:t>
            </w:r>
          </w:p>
        </w:tc>
        <w:tc>
          <w:tcPr>
            <w:tcW w:w="894" w:type="dxa"/>
            <w:vMerge/>
            <w:vAlign w:val="center"/>
          </w:tcPr>
          <w:p w:rsidR="009846C2" w:rsidRDefault="009846C2">
            <w:pPr>
              <w:tabs>
                <w:tab w:val="left" w:pos="0"/>
              </w:tabs>
              <w:topLinePunct/>
              <w:spacing w:line="300" w:lineRule="exact"/>
              <w:ind w:firstLineChars="100" w:firstLine="150"/>
              <w:contextualSpacing/>
              <w:jc w:val="center"/>
              <w:rPr>
                <w:rFonts w:ascii="Times New Roman" w:eastAsiaTheme="minorEastAsia" w:hAnsi="Times New Roman" w:cs="Times New Roman"/>
                <w:kern w:val="2"/>
                <w:sz w:val="15"/>
                <w:szCs w:val="15"/>
              </w:rPr>
            </w:pPr>
          </w:p>
        </w:tc>
        <w:tc>
          <w:tcPr>
            <w:tcW w:w="420" w:type="dxa"/>
            <w:vAlign w:val="center"/>
          </w:tcPr>
          <w:p w:rsidR="009846C2" w:rsidRDefault="00A433A0">
            <w:pPr>
              <w:tabs>
                <w:tab w:val="left" w:pos="0"/>
              </w:tabs>
              <w:topLinePunct/>
              <w:spacing w:line="300" w:lineRule="exact"/>
              <w:contextualSpacing/>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06" w:type="dxa"/>
            <w:vAlign w:val="center"/>
          </w:tcPr>
          <w:p w:rsidR="009846C2" w:rsidRDefault="009846C2">
            <w:pPr>
              <w:tabs>
                <w:tab w:val="left" w:pos="0"/>
              </w:tabs>
              <w:topLinePunct/>
              <w:spacing w:line="300" w:lineRule="exact"/>
              <w:contextualSpacing/>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lastRenderedPageBreak/>
        <w:t>消防水泵</w:t>
      </w:r>
    </w:p>
    <w:p w:rsidR="009846C2" w:rsidRDefault="00A433A0">
      <w:pPr>
        <w:pStyle w:val="af1"/>
        <w:widowControl w:val="0"/>
        <w:numPr>
          <w:ilvl w:val="0"/>
          <w:numId w:val="57"/>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57"/>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5.2.2</w:t>
      </w:r>
      <w:r>
        <w:rPr>
          <w:rFonts w:ascii="Times New Roman" w:eastAsia="宋体" w:hAnsi="Times New Roman" w:cs="Times New Roman"/>
          <w:kern w:val="2"/>
          <w:sz w:val="21"/>
          <w:szCs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5.2.2</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消防水泵验收标准和验收方法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序号</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子项名称</w:t>
            </w:r>
          </w:p>
        </w:tc>
        <w:tc>
          <w:tcPr>
            <w:tcW w:w="29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验收标准</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验收方法</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类别</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结论</w:t>
            </w:r>
          </w:p>
        </w:tc>
      </w:tr>
      <w:tr w:rsidR="009846C2">
        <w:tc>
          <w:tcPr>
            <w:tcW w:w="416" w:type="dxa"/>
            <w:vMerge w:val="restart"/>
            <w:vAlign w:val="center"/>
          </w:tcPr>
          <w:p w:rsidR="009846C2" w:rsidRDefault="00A433A0">
            <w:pPr>
              <w:tabs>
                <w:tab w:val="left" w:pos="0"/>
              </w:tabs>
              <w:topLinePunct/>
              <w:spacing w:line="32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2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消防水泵</w:t>
            </w:r>
          </w:p>
        </w:tc>
        <w:tc>
          <w:tcPr>
            <w:tcW w:w="2916" w:type="dxa"/>
            <w:tcBorders>
              <w:bottom w:val="single" w:sz="4" w:space="0" w:color="auto"/>
            </w:tcBorders>
            <w:vAlign w:val="center"/>
          </w:tcPr>
          <w:p w:rsidR="009846C2" w:rsidRDefault="00A433A0">
            <w:pPr>
              <w:pStyle w:val="a7"/>
              <w:tabs>
                <w:tab w:val="left" w:pos="0"/>
              </w:tabs>
              <w:topLinePunct/>
              <w:spacing w:before="0" w:beforeAutospacing="0" w:after="0" w:afterAutospacing="0" w:line="32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消防水泵运转应平稳，应无不良噪声的振动</w:t>
            </w:r>
          </w:p>
        </w:tc>
        <w:tc>
          <w:tcPr>
            <w:tcW w:w="893" w:type="dxa"/>
            <w:vMerge w:val="restart"/>
            <w:vAlign w:val="center"/>
          </w:tcPr>
          <w:p w:rsidR="009846C2" w:rsidRDefault="00A433A0">
            <w:pPr>
              <w:pStyle w:val="a7"/>
              <w:tabs>
                <w:tab w:val="left" w:pos="0"/>
              </w:tabs>
              <w:topLinePunct/>
              <w:spacing w:before="0" w:beforeAutospacing="0" w:after="0" w:afterAutospacing="0" w:line="32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现场检查和采用仪表检测</w:t>
            </w:r>
          </w:p>
        </w:tc>
        <w:tc>
          <w:tcPr>
            <w:tcW w:w="417" w:type="dxa"/>
            <w:tcBorders>
              <w:bottom w:val="single" w:sz="4" w:space="0" w:color="auto"/>
            </w:tcBorders>
            <w:vAlign w:val="center"/>
          </w:tcPr>
          <w:p w:rsidR="009846C2" w:rsidRDefault="00A433A0">
            <w:pPr>
              <w:tabs>
                <w:tab w:val="left" w:pos="0"/>
              </w:tabs>
              <w:topLinePunct/>
              <w:spacing w:line="32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tcBorders>
              <w:bottom w:val="single" w:sz="4" w:space="0" w:color="auto"/>
            </w:tcBorders>
            <w:vAlign w:val="center"/>
          </w:tcPr>
          <w:p w:rsidR="009846C2" w:rsidRDefault="009846C2">
            <w:pPr>
              <w:tabs>
                <w:tab w:val="left" w:pos="0"/>
              </w:tabs>
              <w:topLinePunct/>
              <w:spacing w:line="32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工作泵、备用泵、吸水管、出水管及出水管上的泄压阀、水锤消除设施、止回阀、信号阀等的规格、型号、数量，应符合设计要求；吸水管、出水管上的控制阀应锁定在常开位置，并应有明显标记</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消防水泵应采用自灌式引水方式，并应保证全部有效储水被有效利用</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kern w:val="2"/>
                <w:sz w:val="15"/>
                <w:szCs w:val="15"/>
              </w:rPr>
              <w:t>分别开启系统中的每一个末端试水装置、试水阀和试验消火栓，水流指示器、压力开关、压力开关</w:t>
            </w:r>
            <w:r>
              <w:rPr>
                <w:rFonts w:ascii="Times New Roman" w:eastAsiaTheme="minorEastAsia" w:hAnsi="Times New Roman"/>
                <w:kern w:val="2"/>
                <w:sz w:val="15"/>
                <w:szCs w:val="15"/>
              </w:rPr>
              <w:t>(</w:t>
            </w:r>
            <w:r>
              <w:rPr>
                <w:rFonts w:ascii="Times New Roman" w:eastAsiaTheme="minorEastAsia" w:hAnsi="Times New Roman"/>
                <w:kern w:val="2"/>
                <w:sz w:val="15"/>
                <w:szCs w:val="15"/>
              </w:rPr>
              <w:t>管网</w:t>
            </w:r>
            <w:r>
              <w:rPr>
                <w:rFonts w:ascii="Times New Roman" w:eastAsiaTheme="minorEastAsia" w:hAnsi="Times New Roman"/>
                <w:kern w:val="2"/>
                <w:sz w:val="15"/>
                <w:szCs w:val="15"/>
              </w:rPr>
              <w:t>)</w:t>
            </w:r>
            <w:r>
              <w:rPr>
                <w:rFonts w:ascii="Times New Roman" w:eastAsiaTheme="minorEastAsia" w:hAnsi="Times New Roman"/>
                <w:kern w:val="2"/>
                <w:sz w:val="15"/>
                <w:szCs w:val="15"/>
              </w:rPr>
              <w:t>、高位消防水箱流量开关等信号的功能，均应符合设计要求</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kern w:val="2"/>
                <w:sz w:val="15"/>
                <w:szCs w:val="15"/>
              </w:rPr>
              <w:t>打开消防水泵出水管上试水阀，当采用主电源启动消防水泵时，消防水泵应启动正常；关掉主电源，主、备电源应能正常切换；备用泵启动和相互切换正常；消防水泵就地和远程启停功能应正常；当工频启动消防水泵时，从接通电路到水泵达到额定转速的时间不宜大于</w:t>
            </w:r>
            <w:r>
              <w:rPr>
                <w:rFonts w:ascii="Times New Roman" w:eastAsiaTheme="minorEastAsia" w:hAnsi="Times New Roman"/>
                <w:kern w:val="2"/>
                <w:sz w:val="15"/>
                <w:szCs w:val="15"/>
              </w:rPr>
              <w:t>30s</w:t>
            </w:r>
            <w:r>
              <w:rPr>
                <w:rFonts w:ascii="Times New Roman" w:eastAsiaTheme="minorEastAsia" w:hAnsi="Times New Roman"/>
                <w:kern w:val="2"/>
                <w:sz w:val="15"/>
                <w:szCs w:val="15"/>
              </w:rPr>
              <w:t>；消防水泵应确保从接</w:t>
            </w:r>
            <w:r>
              <w:rPr>
                <w:rFonts w:ascii="Times New Roman" w:eastAsiaTheme="minorEastAsia" w:hAnsi="Times New Roman"/>
                <w:kern w:val="2"/>
                <w:sz w:val="15"/>
                <w:szCs w:val="15"/>
              </w:rPr>
              <w:lastRenderedPageBreak/>
              <w:t>到启泵信号到水泵正常运转的自动启动时间不应大于</w:t>
            </w:r>
            <w:r>
              <w:rPr>
                <w:rFonts w:ascii="Times New Roman" w:eastAsiaTheme="minorEastAsia" w:hAnsi="Times New Roman"/>
                <w:kern w:val="2"/>
                <w:sz w:val="15"/>
                <w:szCs w:val="15"/>
              </w:rPr>
              <w:t>2.0min</w:t>
            </w:r>
            <w:r>
              <w:rPr>
                <w:rFonts w:ascii="Times New Roman" w:eastAsiaTheme="minorEastAsia" w:hAnsi="Times New Roman"/>
                <w:kern w:val="2"/>
                <w:sz w:val="15"/>
                <w:szCs w:val="15"/>
              </w:rPr>
              <w:t>；机械应急启动时，应确保消防水泵在报警后</w:t>
            </w:r>
            <w:r>
              <w:rPr>
                <w:rFonts w:ascii="Times New Roman" w:eastAsiaTheme="minorEastAsia" w:hAnsi="Times New Roman"/>
                <w:kern w:val="2"/>
                <w:sz w:val="15"/>
                <w:szCs w:val="15"/>
              </w:rPr>
              <w:t>5.0min</w:t>
            </w:r>
            <w:r>
              <w:rPr>
                <w:rFonts w:ascii="Times New Roman" w:eastAsiaTheme="minorEastAsia" w:hAnsi="Times New Roman"/>
                <w:kern w:val="2"/>
                <w:sz w:val="15"/>
                <w:szCs w:val="15"/>
              </w:rPr>
              <w:t>内正常工作</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消防水泵停泵时，水锤消除设施后的压力不应超过水泵出口设计工作压力的</w:t>
            </w:r>
            <w:r>
              <w:rPr>
                <w:rFonts w:ascii="Times New Roman" w:eastAsiaTheme="minorEastAsia" w:hAnsi="Times New Roman" w:cs="Times New Roman"/>
                <w:kern w:val="2"/>
                <w:sz w:val="15"/>
                <w:szCs w:val="15"/>
              </w:rPr>
              <w:t xml:space="preserve">1.4 </w:t>
            </w:r>
            <w:r>
              <w:rPr>
                <w:rFonts w:ascii="Times New Roman" w:eastAsiaTheme="minorEastAsia" w:hAnsi="Times New Roman" w:cs="Times New Roman"/>
                <w:kern w:val="2"/>
                <w:sz w:val="15"/>
                <w:szCs w:val="15"/>
              </w:rPr>
              <w:t>倍</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消防水泵启动控制应置于自动启动挡</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采用固定和移动式流量计和压力表测试消防水泵的性能，水泵性能应满足设计要求</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稳压泵及气压水罐</w:t>
      </w:r>
    </w:p>
    <w:p w:rsidR="009846C2" w:rsidRDefault="00A433A0">
      <w:pPr>
        <w:pStyle w:val="af1"/>
        <w:widowControl w:val="0"/>
        <w:numPr>
          <w:ilvl w:val="0"/>
          <w:numId w:val="58"/>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58"/>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5.2.3</w:t>
      </w:r>
      <w:r>
        <w:rPr>
          <w:rFonts w:ascii="Times New Roman" w:eastAsia="宋体" w:hAnsi="Times New Roman" w:cs="Times New Roman"/>
          <w:kern w:val="2"/>
          <w:sz w:val="21"/>
          <w:szCs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5.2.3</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稳压泵及气压水罐验收标准和验收方法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序号</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子项名称</w:t>
            </w:r>
          </w:p>
        </w:tc>
        <w:tc>
          <w:tcPr>
            <w:tcW w:w="29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验收标准</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验收方法</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类别</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稳压泵</w:t>
            </w:r>
          </w:p>
        </w:tc>
        <w:tc>
          <w:tcPr>
            <w:tcW w:w="2916" w:type="dxa"/>
            <w:tcBorders>
              <w:bottom w:val="single" w:sz="4" w:space="0" w:color="auto"/>
            </w:tcBorders>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稳压泵的型号性能等应符合设计要求</w:t>
            </w:r>
          </w:p>
        </w:tc>
        <w:tc>
          <w:tcPr>
            <w:tcW w:w="893" w:type="dxa"/>
            <w:vMerge w:val="restart"/>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hAnsi="Times New Roman"/>
                <w:kern w:val="2"/>
                <w:sz w:val="15"/>
                <w:szCs w:val="15"/>
              </w:rPr>
              <w:t>核对设计文件，现场检查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稳压泵的控制应符合设计要求，并应有防止稳压泵频繁启动的技术措施</w:t>
            </w:r>
            <w:r>
              <w:rPr>
                <w:rFonts w:ascii="Times New Roman" w:eastAsiaTheme="minorEastAsia" w:hAnsi="Times New Roman" w:cs="Times New Roman"/>
                <w:kern w:val="2"/>
                <w:sz w:val="15"/>
                <w:szCs w:val="15"/>
              </w:rPr>
              <w:t xml:space="preserve"> </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稳压泵在</w:t>
            </w:r>
            <w:r>
              <w:rPr>
                <w:rFonts w:ascii="Times New Roman" w:eastAsiaTheme="minorEastAsia" w:hAnsi="Times New Roman" w:cs="Times New Roman"/>
                <w:kern w:val="2"/>
                <w:sz w:val="15"/>
                <w:szCs w:val="15"/>
              </w:rPr>
              <w:t>1.0h</w:t>
            </w:r>
            <w:r>
              <w:rPr>
                <w:rFonts w:ascii="Times New Roman" w:eastAsiaTheme="minorEastAsia" w:hAnsi="Times New Roman" w:cs="Times New Roman"/>
                <w:kern w:val="2"/>
                <w:sz w:val="15"/>
                <w:szCs w:val="15"/>
              </w:rPr>
              <w:t>内的启停次数应符合设计要求，并不宜大于</w:t>
            </w:r>
            <w:r>
              <w:rPr>
                <w:rFonts w:ascii="Times New Roman" w:eastAsiaTheme="minorEastAsia" w:hAnsi="Times New Roman" w:cs="Times New Roman"/>
                <w:kern w:val="2"/>
                <w:sz w:val="15"/>
                <w:szCs w:val="15"/>
              </w:rPr>
              <w:t>15</w:t>
            </w:r>
            <w:r>
              <w:rPr>
                <w:rFonts w:ascii="Times New Roman" w:eastAsiaTheme="minorEastAsia" w:hAnsi="Times New Roman" w:cs="Times New Roman"/>
                <w:kern w:val="2"/>
                <w:sz w:val="15"/>
                <w:szCs w:val="15"/>
              </w:rPr>
              <w:t>次</w:t>
            </w:r>
            <w:r>
              <w:rPr>
                <w:rFonts w:ascii="Times New Roman" w:eastAsiaTheme="minorEastAsia" w:hAnsi="Times New Roman" w:cs="Times New Roman"/>
                <w:kern w:val="2"/>
                <w:sz w:val="15"/>
                <w:szCs w:val="15"/>
              </w:rPr>
              <w:t>/h</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稳压泵供电应正常，自动手动启停应正常；关掉主电源，主、备电源应能正常切换</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restart"/>
            <w:vAlign w:val="center"/>
          </w:tcPr>
          <w:p w:rsidR="009846C2" w:rsidRDefault="00A433A0">
            <w:pPr>
              <w:tabs>
                <w:tab w:val="left" w:pos="0"/>
              </w:tabs>
              <w:topLinePunct/>
              <w:spacing w:line="300" w:lineRule="exact"/>
              <w:ind w:firstLineChars="100" w:firstLine="150"/>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气压水罐</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气压水罐有效容积、气压、水位及设计压力应符合设计要求</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气压水罐安装位置和间距、进水管及出水管方向应符合设计要求</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出水管上应设止回阀</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气压水罐的有效容积以及调节容积应符合设计要求</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宋体" w:hAnsi="Times New Roman" w:cs="Times New Roman"/>
                <w:kern w:val="2"/>
                <w:sz w:val="15"/>
                <w:szCs w:val="15"/>
              </w:rPr>
              <w:t>当气压给水设备的气压罐设置在非采暖房间时，应采取有效的防冻措施</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高位消防水箱</w:t>
      </w:r>
    </w:p>
    <w:p w:rsidR="009846C2" w:rsidRDefault="00A433A0">
      <w:pPr>
        <w:pStyle w:val="af1"/>
        <w:widowControl w:val="0"/>
        <w:numPr>
          <w:ilvl w:val="0"/>
          <w:numId w:val="59"/>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59"/>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5.2.4</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5.2.4</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高位消防水箱验收标准和验收方法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高位消防水箱</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hAnsi="Times New Roman"/>
                <w:kern w:val="2"/>
                <w:sz w:val="15"/>
                <w:szCs w:val="15"/>
              </w:rPr>
            </w:pPr>
            <w:r>
              <w:rPr>
                <w:rFonts w:ascii="Times New Roman" w:hAnsi="Times New Roman"/>
                <w:kern w:val="2"/>
                <w:sz w:val="15"/>
                <w:szCs w:val="15"/>
              </w:rPr>
              <w:t>设置位置应符合设计要求；高位消防水箱的有效容积、水位、报警水位等，应符合设计要求</w:t>
            </w:r>
            <w:r>
              <w:rPr>
                <w:rFonts w:ascii="Times New Roman" w:hAnsi="Times New Roman"/>
                <w:kern w:val="2"/>
                <w:sz w:val="15"/>
                <w:szCs w:val="15"/>
              </w:rPr>
              <w:t xml:space="preserve"> </w:t>
            </w:r>
          </w:p>
        </w:tc>
        <w:tc>
          <w:tcPr>
            <w:tcW w:w="893" w:type="dxa"/>
            <w:vMerge w:val="restart"/>
            <w:vAlign w:val="center"/>
          </w:tcPr>
          <w:p w:rsidR="009846C2" w:rsidRDefault="00A433A0">
            <w:pPr>
              <w:pStyle w:val="a7"/>
              <w:tabs>
                <w:tab w:val="left" w:pos="0"/>
              </w:tabs>
              <w:topLinePunct/>
              <w:spacing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hAnsi="Times New Roman"/>
                <w:kern w:val="2"/>
                <w:sz w:val="15"/>
                <w:szCs w:val="15"/>
              </w:rPr>
            </w:pPr>
            <w:r>
              <w:rPr>
                <w:rFonts w:ascii="Times New Roman" w:eastAsiaTheme="minorEastAsia" w:hAnsi="Times New Roman"/>
                <w:kern w:val="2"/>
                <w:sz w:val="15"/>
                <w:szCs w:val="15"/>
              </w:rPr>
              <w:t>高位消防水箱的最低有效水位应根据出水管喇叭口和防止旋流器的淹没深度确定，当采用出水管喇叭口时，喇叭口在消防水箱最低有效水位下的淹没深度不应小于</w:t>
            </w:r>
            <w:r>
              <w:rPr>
                <w:rFonts w:ascii="Times New Roman" w:eastAsiaTheme="minorEastAsia" w:hAnsi="Times New Roman"/>
                <w:kern w:val="2"/>
                <w:sz w:val="15"/>
                <w:szCs w:val="15"/>
              </w:rPr>
              <w:t>600mm</w:t>
            </w:r>
            <w:r>
              <w:rPr>
                <w:rFonts w:ascii="Times New Roman" w:eastAsiaTheme="minorEastAsia" w:hAnsi="Times New Roman"/>
                <w:kern w:val="2"/>
                <w:sz w:val="15"/>
                <w:szCs w:val="15"/>
              </w:rPr>
              <w:t>；当采用防止旋流器时不应小于</w:t>
            </w:r>
            <w:r>
              <w:rPr>
                <w:rFonts w:ascii="Times New Roman" w:eastAsiaTheme="minorEastAsia" w:hAnsi="Times New Roman"/>
                <w:kern w:val="2"/>
                <w:sz w:val="15"/>
                <w:szCs w:val="15"/>
              </w:rPr>
              <w:t xml:space="preserve">150mm </w:t>
            </w:r>
            <w:r>
              <w:rPr>
                <w:rFonts w:ascii="Times New Roman" w:eastAsiaTheme="minorEastAsia" w:hAnsi="Times New Roman"/>
                <w:kern w:val="2"/>
                <w:sz w:val="15"/>
                <w:szCs w:val="15"/>
              </w:rPr>
              <w:t>的保护高度</w:t>
            </w:r>
          </w:p>
        </w:tc>
        <w:tc>
          <w:tcPr>
            <w:tcW w:w="893" w:type="dxa"/>
            <w:vMerge/>
            <w:vAlign w:val="center"/>
          </w:tcPr>
          <w:p w:rsidR="009846C2" w:rsidRDefault="009846C2">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钢筋混凝土制作的消防水箱的进出水等管道应加设防水套管，钢板等制作的消防水箱的进出水等管道宜采用法兰连接，对有振动的管道应加设柔性接头。组合式消防水箱的进水管、出水管接头宜采用法兰连接，采用其他连接时应做防锈处理</w:t>
            </w:r>
          </w:p>
        </w:tc>
        <w:tc>
          <w:tcPr>
            <w:tcW w:w="893" w:type="dxa"/>
            <w:vMerge/>
            <w:vAlign w:val="center"/>
          </w:tcPr>
          <w:p w:rsidR="009846C2" w:rsidRDefault="009846C2">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消防水池、消防水箱的溢流管、泄水管不应与生产或生活用水的排水系统直接相连，应采用间接排水方式</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进水管的管径应满足消防水箱</w:t>
            </w:r>
            <w:r>
              <w:rPr>
                <w:rFonts w:ascii="Times New Roman" w:eastAsiaTheme="minorEastAsia" w:hAnsi="Times New Roman" w:cs="Times New Roman"/>
                <w:kern w:val="2"/>
                <w:sz w:val="15"/>
                <w:szCs w:val="15"/>
              </w:rPr>
              <w:t>8h</w:t>
            </w:r>
            <w:r>
              <w:rPr>
                <w:rFonts w:ascii="Times New Roman" w:eastAsiaTheme="minorEastAsia" w:hAnsi="Times New Roman" w:cs="Times New Roman"/>
                <w:kern w:val="2"/>
                <w:sz w:val="15"/>
                <w:szCs w:val="15"/>
              </w:rPr>
              <w:t>充满水的要求，但管径不应小于</w:t>
            </w:r>
            <w:r>
              <w:rPr>
                <w:rFonts w:ascii="Times New Roman" w:eastAsiaTheme="minorEastAsia" w:hAnsi="Times New Roman" w:cs="Times New Roman"/>
                <w:kern w:val="2"/>
                <w:sz w:val="15"/>
                <w:szCs w:val="15"/>
              </w:rPr>
              <w:t>DN32</w:t>
            </w:r>
            <w:r>
              <w:rPr>
                <w:rFonts w:ascii="Times New Roman" w:eastAsiaTheme="minorEastAsia" w:hAnsi="Times New Roman" w:cs="Times New Roman"/>
                <w:kern w:val="2"/>
                <w:sz w:val="15"/>
                <w:szCs w:val="15"/>
              </w:rPr>
              <w:t>，进水管宜</w:t>
            </w:r>
            <w:r>
              <w:rPr>
                <w:rFonts w:ascii="Times New Roman" w:eastAsiaTheme="minorEastAsia" w:hAnsi="Times New Roman" w:cs="Times New Roman"/>
                <w:kern w:val="2"/>
                <w:sz w:val="15"/>
                <w:szCs w:val="15"/>
              </w:rPr>
              <w:lastRenderedPageBreak/>
              <w:t>设置液位阀或浮球阀</w:t>
            </w:r>
            <w:r>
              <w:rPr>
                <w:rFonts w:ascii="Times New Roman" w:eastAsiaTheme="minorEastAsia" w:hAnsi="Times New Roman" w:cs="Times New Roman"/>
                <w:kern w:val="2"/>
                <w:sz w:val="15"/>
                <w:szCs w:val="15"/>
              </w:rPr>
              <w:t xml:space="preserve">; </w:t>
            </w:r>
            <w:r>
              <w:rPr>
                <w:rFonts w:ascii="Times New Roman" w:eastAsiaTheme="minorEastAsia" w:hAnsi="Times New Roman" w:cs="Times New Roman"/>
                <w:kern w:val="2"/>
                <w:sz w:val="15"/>
                <w:szCs w:val="15"/>
              </w:rPr>
              <w:t>进水管应在溢流水位以上接入，进水管口的最低点高出溢流边缘的高度应等于进水管管径，但最小不应小于</w:t>
            </w:r>
            <w:r>
              <w:rPr>
                <w:rFonts w:ascii="Times New Roman" w:eastAsiaTheme="minorEastAsia" w:hAnsi="Times New Roman" w:cs="Times New Roman"/>
                <w:kern w:val="2"/>
                <w:sz w:val="15"/>
                <w:szCs w:val="15"/>
              </w:rPr>
              <w:t>100mm</w:t>
            </w:r>
            <w:r>
              <w:rPr>
                <w:rFonts w:ascii="Times New Roman" w:eastAsiaTheme="minorEastAsia" w:hAnsi="Times New Roman" w:cs="Times New Roman"/>
                <w:kern w:val="2"/>
                <w:sz w:val="15"/>
                <w:szCs w:val="15"/>
              </w:rPr>
              <w:t>，最大不应大于</w:t>
            </w:r>
            <w:r>
              <w:rPr>
                <w:rFonts w:ascii="Times New Roman" w:eastAsiaTheme="minorEastAsia" w:hAnsi="Times New Roman" w:cs="Times New Roman"/>
                <w:kern w:val="2"/>
                <w:sz w:val="15"/>
                <w:szCs w:val="15"/>
              </w:rPr>
              <w:t>150mm</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溢流管的直径不应小于进水管直径的</w:t>
            </w:r>
            <w:r>
              <w:rPr>
                <w:rFonts w:ascii="Times New Roman" w:eastAsiaTheme="minorEastAsia" w:hAnsi="Times New Roman" w:cs="Times New Roman"/>
                <w:kern w:val="2"/>
                <w:sz w:val="15"/>
                <w:szCs w:val="15"/>
              </w:rPr>
              <w:t>2</w:t>
            </w:r>
            <w:r>
              <w:rPr>
                <w:rFonts w:ascii="Times New Roman" w:eastAsiaTheme="minorEastAsia" w:hAnsi="Times New Roman" w:cs="Times New Roman"/>
                <w:kern w:val="2"/>
                <w:sz w:val="15"/>
                <w:szCs w:val="15"/>
              </w:rPr>
              <w:t>倍，且不应小于</w:t>
            </w:r>
            <w:r>
              <w:rPr>
                <w:rFonts w:ascii="Times New Roman" w:eastAsiaTheme="minorEastAsia" w:hAnsi="Times New Roman" w:cs="Times New Roman"/>
                <w:kern w:val="2"/>
                <w:sz w:val="15"/>
                <w:szCs w:val="15"/>
              </w:rPr>
              <w:t>DN100</w:t>
            </w:r>
            <w:r>
              <w:rPr>
                <w:rFonts w:ascii="Times New Roman" w:eastAsiaTheme="minorEastAsia" w:hAnsi="Times New Roman" w:cs="Times New Roman"/>
                <w:kern w:val="2"/>
                <w:sz w:val="15"/>
                <w:szCs w:val="15"/>
              </w:rPr>
              <w:t>，溢流管的喇叭口直径不应小于溢流管直径的</w:t>
            </w:r>
            <w:r>
              <w:rPr>
                <w:rFonts w:ascii="Times New Roman" w:eastAsiaTheme="minorEastAsia" w:hAnsi="Times New Roman" w:cs="Times New Roman"/>
                <w:kern w:val="2"/>
                <w:sz w:val="15"/>
                <w:szCs w:val="15"/>
              </w:rPr>
              <w:t>1.5</w:t>
            </w:r>
            <w:r>
              <w:rPr>
                <w:rFonts w:ascii="Times New Roman" w:eastAsiaTheme="minorEastAsia" w:hAnsi="Times New Roman" w:cs="Times New Roman"/>
                <w:kern w:val="2"/>
                <w:sz w:val="15"/>
                <w:szCs w:val="15"/>
              </w:rPr>
              <w:t>倍～</w:t>
            </w:r>
            <w:r>
              <w:rPr>
                <w:rFonts w:ascii="Times New Roman" w:eastAsiaTheme="minorEastAsia" w:hAnsi="Times New Roman" w:cs="Times New Roman"/>
                <w:kern w:val="2"/>
                <w:sz w:val="15"/>
                <w:szCs w:val="15"/>
              </w:rPr>
              <w:t>2.5</w:t>
            </w:r>
            <w:r>
              <w:rPr>
                <w:rFonts w:ascii="Times New Roman" w:eastAsiaTheme="minorEastAsia" w:hAnsi="Times New Roman" w:cs="Times New Roman"/>
                <w:kern w:val="2"/>
                <w:sz w:val="15"/>
                <w:szCs w:val="15"/>
              </w:rPr>
              <w:t>倍</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高位消防水箱外壁与建筑本体结构墙面或其他池壁之间的净距，应满足施工或装配的需要，无管道的侧面，净距不宜小于</w:t>
            </w:r>
            <w:r>
              <w:rPr>
                <w:rFonts w:ascii="Times New Roman" w:eastAsiaTheme="minorEastAsia" w:hAnsi="Times New Roman" w:cs="Times New Roman"/>
                <w:kern w:val="2"/>
                <w:sz w:val="15"/>
                <w:szCs w:val="15"/>
              </w:rPr>
              <w:t>0.7m</w:t>
            </w:r>
            <w:r>
              <w:rPr>
                <w:rFonts w:ascii="Times New Roman" w:eastAsiaTheme="minorEastAsia" w:hAnsi="Times New Roman" w:cs="Times New Roman"/>
                <w:kern w:val="2"/>
                <w:sz w:val="15"/>
                <w:szCs w:val="15"/>
              </w:rPr>
              <w:t>；安装有管道的侧面，净距不宜小于</w:t>
            </w:r>
            <w:r>
              <w:rPr>
                <w:rFonts w:ascii="Times New Roman" w:eastAsiaTheme="minorEastAsia" w:hAnsi="Times New Roman" w:cs="Times New Roman"/>
                <w:kern w:val="2"/>
                <w:sz w:val="15"/>
                <w:szCs w:val="15"/>
              </w:rPr>
              <w:t xml:space="preserve"> 1.0m</w:t>
            </w:r>
            <w:r>
              <w:rPr>
                <w:rFonts w:ascii="Times New Roman" w:eastAsiaTheme="minorEastAsia" w:hAnsi="Times New Roman" w:cs="Times New Roman"/>
                <w:kern w:val="2"/>
                <w:sz w:val="15"/>
                <w:szCs w:val="15"/>
              </w:rPr>
              <w:t>，且管道外壁与建筑本体墙面之间的通道宽度不宜小于</w:t>
            </w:r>
            <w:r>
              <w:rPr>
                <w:rFonts w:ascii="Times New Roman" w:eastAsiaTheme="minorEastAsia" w:hAnsi="Times New Roman" w:cs="Times New Roman"/>
                <w:kern w:val="2"/>
                <w:sz w:val="15"/>
                <w:szCs w:val="15"/>
              </w:rPr>
              <w:t>0.6m</w:t>
            </w:r>
            <w:r>
              <w:rPr>
                <w:rFonts w:ascii="Times New Roman" w:eastAsiaTheme="minorEastAsia" w:hAnsi="Times New Roman" w:cs="Times New Roman"/>
                <w:kern w:val="2"/>
                <w:sz w:val="15"/>
                <w:szCs w:val="15"/>
              </w:rPr>
              <w:t>，设有人孔的水箱顶，其顶面与其上面的建筑物本体板底的净空不应小于</w:t>
            </w:r>
            <w:r>
              <w:rPr>
                <w:rFonts w:ascii="Times New Roman" w:eastAsiaTheme="minorEastAsia" w:hAnsi="Times New Roman" w:cs="Times New Roman"/>
                <w:kern w:val="2"/>
                <w:sz w:val="15"/>
                <w:szCs w:val="15"/>
              </w:rPr>
              <w:t>0.8m</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高位消防水箱出水管管径应满足消防给水设计流量的出水要求，且不应小于</w:t>
            </w:r>
            <w:r>
              <w:rPr>
                <w:rFonts w:ascii="Times New Roman" w:eastAsiaTheme="minorEastAsia" w:hAnsi="Times New Roman" w:cs="Times New Roman"/>
                <w:kern w:val="2"/>
                <w:sz w:val="15"/>
                <w:szCs w:val="15"/>
              </w:rPr>
              <w:t>DN100</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高位消防水箱出水管应位于高位消防水箱最低水位以下，并应设置防止消防用水进入高位消防水箱的止回阀</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高位消防水箱的进、出水管应设置带有指示启闭装置的阀门</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减压阀</w:t>
      </w:r>
    </w:p>
    <w:p w:rsidR="009846C2" w:rsidRDefault="00A433A0">
      <w:pPr>
        <w:pStyle w:val="af1"/>
        <w:widowControl w:val="0"/>
        <w:numPr>
          <w:ilvl w:val="0"/>
          <w:numId w:val="60"/>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60"/>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5.2.5</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5.2.5</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减压阀验收标准和验收方法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序号</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子项名称</w:t>
            </w:r>
          </w:p>
        </w:tc>
        <w:tc>
          <w:tcPr>
            <w:tcW w:w="29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验收标准</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验收方法</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类别</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减压阀</w:t>
            </w:r>
          </w:p>
        </w:tc>
        <w:tc>
          <w:tcPr>
            <w:tcW w:w="2916" w:type="dxa"/>
            <w:tcBorders>
              <w:bottom w:val="single" w:sz="4" w:space="0" w:color="auto"/>
            </w:tcBorders>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减压阀的型号、规格、设计压力和设计流量应符合设计要求</w:t>
            </w:r>
          </w:p>
        </w:tc>
        <w:tc>
          <w:tcPr>
            <w:tcW w:w="893" w:type="dxa"/>
            <w:vMerge w:val="restart"/>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核对设计文件，使用压力表、流量计和现场检查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减压阀阀前应有过滤器，过滤器的过滤面积和孔径应符合设计要求，减压阀的进口处应设置过滤器，过滤器的孔网直径不宜小于</w:t>
            </w:r>
            <w:r>
              <w:rPr>
                <w:rFonts w:ascii="Times New Roman" w:eastAsiaTheme="minorEastAsia" w:hAnsi="Times New Roman" w:cs="Times New Roman"/>
                <w:kern w:val="2"/>
                <w:sz w:val="15"/>
                <w:szCs w:val="15"/>
              </w:rPr>
              <w:t>4</w:t>
            </w:r>
            <w:r>
              <w:rPr>
                <w:rFonts w:ascii="Times New Roman" w:eastAsiaTheme="minorEastAsia" w:hAnsi="Times New Roman" w:cs="Times New Roman"/>
                <w:kern w:val="2"/>
                <w:sz w:val="15"/>
                <w:szCs w:val="15"/>
              </w:rPr>
              <w:t>目</w:t>
            </w:r>
            <w:r>
              <w:rPr>
                <w:rFonts w:ascii="Times New Roman" w:eastAsiaTheme="minorEastAsia" w:hAnsi="Times New Roman" w:cs="Times New Roman"/>
                <w:kern w:val="2"/>
                <w:sz w:val="15"/>
                <w:szCs w:val="15"/>
              </w:rPr>
              <w:t>/cm</w:t>
            </w:r>
            <w:r>
              <w:rPr>
                <w:rFonts w:ascii="Times New Roman" w:eastAsiaTheme="minorEastAsia" w:hAnsi="Times New Roman" w:cs="Times New Roman"/>
                <w:kern w:val="2"/>
                <w:sz w:val="15"/>
                <w:szCs w:val="15"/>
                <w:vertAlign w:val="superscript"/>
              </w:rPr>
              <w:t>2</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5</w:t>
            </w:r>
            <w:r>
              <w:rPr>
                <w:rFonts w:ascii="Times New Roman" w:eastAsiaTheme="minorEastAsia" w:hAnsi="Times New Roman" w:cs="Times New Roman"/>
                <w:kern w:val="2"/>
                <w:sz w:val="15"/>
                <w:szCs w:val="15"/>
              </w:rPr>
              <w:t>目</w:t>
            </w:r>
            <w:r>
              <w:rPr>
                <w:rFonts w:ascii="Times New Roman" w:eastAsiaTheme="minorEastAsia" w:hAnsi="Times New Roman" w:cs="Times New Roman"/>
                <w:kern w:val="2"/>
                <w:sz w:val="15"/>
                <w:szCs w:val="15"/>
              </w:rPr>
              <w:t>/cm</w:t>
            </w:r>
            <w:r>
              <w:rPr>
                <w:rFonts w:ascii="Times New Roman" w:eastAsiaTheme="minorEastAsia" w:hAnsi="Times New Roman" w:cs="Times New Roman"/>
                <w:kern w:val="2"/>
                <w:sz w:val="15"/>
                <w:szCs w:val="15"/>
                <w:vertAlign w:val="superscript"/>
              </w:rPr>
              <w:t>2</w:t>
            </w:r>
            <w:r>
              <w:rPr>
                <w:rFonts w:ascii="Times New Roman" w:eastAsiaTheme="minorEastAsia" w:hAnsi="Times New Roman" w:cs="Times New Roman"/>
                <w:kern w:val="2"/>
                <w:sz w:val="15"/>
                <w:szCs w:val="15"/>
              </w:rPr>
              <w:t>，过流面积不应小于管道截面积的</w:t>
            </w:r>
            <w:r>
              <w:rPr>
                <w:rFonts w:ascii="Times New Roman" w:eastAsiaTheme="minorEastAsia" w:hAnsi="Times New Roman" w:cs="Times New Roman"/>
                <w:kern w:val="2"/>
                <w:sz w:val="15"/>
                <w:szCs w:val="15"/>
              </w:rPr>
              <w:t>4</w:t>
            </w:r>
            <w:r>
              <w:rPr>
                <w:rFonts w:ascii="Times New Roman" w:eastAsiaTheme="minorEastAsia" w:hAnsi="Times New Roman" w:cs="Times New Roman"/>
                <w:kern w:val="2"/>
                <w:sz w:val="15"/>
                <w:szCs w:val="15"/>
              </w:rPr>
              <w:t>倍</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kern w:val="2"/>
                <w:sz w:val="15"/>
                <w:szCs w:val="15"/>
              </w:rPr>
              <w:t>减压阀前后应安装压力表；减压阀阀前阀后动静压力应符合设计要求</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减压阀处应有试验用压力排水管道</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kern w:val="2"/>
                <w:sz w:val="15"/>
                <w:szCs w:val="15"/>
              </w:rPr>
              <w:t>减压阀在小流量、设计流量和设计流量的</w:t>
            </w:r>
            <w:r>
              <w:rPr>
                <w:rFonts w:ascii="Times New Roman" w:eastAsiaTheme="minorEastAsia" w:hAnsi="Times New Roman"/>
                <w:kern w:val="2"/>
                <w:sz w:val="15"/>
                <w:szCs w:val="15"/>
              </w:rPr>
              <w:t>150%</w:t>
            </w:r>
            <w:r>
              <w:rPr>
                <w:rFonts w:ascii="Times New Roman" w:eastAsiaTheme="minorEastAsia" w:hAnsi="Times New Roman"/>
                <w:kern w:val="2"/>
                <w:sz w:val="15"/>
                <w:szCs w:val="15"/>
              </w:rPr>
              <w:t>时不应出现噪声明显增加或管道出现喘振</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减压阀的水头损失应小于设计阀后静压和动压差</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r w:rsidR="009846C2">
        <w:tc>
          <w:tcPr>
            <w:tcW w:w="416"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2916" w:type="dxa"/>
            <w:vAlign w:val="center"/>
          </w:tcPr>
          <w:p w:rsidR="009846C2" w:rsidRDefault="00A433A0">
            <w:pPr>
              <w:topLinePunct/>
              <w:spacing w:line="300" w:lineRule="exact"/>
              <w:ind w:firstLineChars="100" w:firstLine="150"/>
              <w:contextualSpacing/>
              <w:jc w:val="both"/>
              <w:rPr>
                <w:rFonts w:ascii="Times New Roman" w:eastAsia="宋体" w:hAnsi="Times New Roman" w:cs="Times New Roman"/>
                <w:sz w:val="15"/>
                <w:szCs w:val="15"/>
              </w:rPr>
            </w:pPr>
            <w:r>
              <w:rPr>
                <w:rFonts w:ascii="Times New Roman" w:eastAsiaTheme="minorEastAsia" w:hAnsi="Times New Roman" w:cs="Times New Roman"/>
                <w:kern w:val="2"/>
                <w:sz w:val="15"/>
                <w:szCs w:val="15"/>
              </w:rPr>
              <w:t>过滤器前和减压阀后应设置控制阀门</w:t>
            </w:r>
          </w:p>
        </w:tc>
        <w:tc>
          <w:tcPr>
            <w:tcW w:w="893" w:type="dxa"/>
            <w:vMerge/>
            <w:vAlign w:val="center"/>
          </w:tcPr>
          <w:p w:rsidR="009846C2" w:rsidRDefault="009846C2">
            <w:pPr>
              <w:topLinePunct/>
              <w:spacing w:line="300" w:lineRule="exact"/>
              <w:contextualSpacing/>
              <w:jc w:val="center"/>
              <w:rPr>
                <w:rFonts w:ascii="Times New Roman" w:hAnsi="Times New Roman" w:cs="Times New Roman"/>
                <w:sz w:val="15"/>
                <w:szCs w:val="15"/>
              </w:rPr>
            </w:pPr>
          </w:p>
        </w:tc>
        <w:tc>
          <w:tcPr>
            <w:tcW w:w="417" w:type="dxa"/>
            <w:vAlign w:val="center"/>
          </w:tcPr>
          <w:p w:rsidR="009846C2" w:rsidRDefault="00A433A0">
            <w:pPr>
              <w:topLinePunct/>
              <w:spacing w:line="300" w:lineRule="exact"/>
              <w:contextualSpacing/>
              <w:jc w:val="center"/>
              <w:rPr>
                <w:rFonts w:ascii="Times New Roman" w:hAnsi="Times New Roman" w:cs="Times New Roman"/>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opLinePunct/>
              <w:spacing w:line="300" w:lineRule="exact"/>
              <w:contextualSpacing/>
              <w:jc w:val="center"/>
              <w:rPr>
                <w:rFonts w:ascii="Times New Roman" w:hAnsi="Times New Roman" w:cs="Times New Roman"/>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干式消火栓系统报警阀组</w:t>
      </w:r>
    </w:p>
    <w:p w:rsidR="009846C2" w:rsidRDefault="00A433A0">
      <w:pPr>
        <w:pStyle w:val="af1"/>
        <w:widowControl w:val="0"/>
        <w:numPr>
          <w:ilvl w:val="0"/>
          <w:numId w:val="61"/>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61"/>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5.2.6</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5.2.6</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干式消火栓系统报警阀组验收标准和验收方法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干式消火栓系统报警阀组</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报警阀组的各组件应符合产品标准要求</w:t>
            </w:r>
          </w:p>
        </w:tc>
        <w:tc>
          <w:tcPr>
            <w:tcW w:w="893" w:type="dxa"/>
            <w:vMerge w:val="restart"/>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打开系统流量压力检测装置放水阀，测试的流量、压力应符合设计要求</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水力警铃的设置位置应正确。测试时，水力警铃喷嘴处压力不应小于</w:t>
            </w:r>
            <w:r>
              <w:rPr>
                <w:rFonts w:ascii="Times New Roman" w:eastAsiaTheme="minorEastAsia" w:hAnsi="Times New Roman" w:cs="Times New Roman"/>
                <w:kern w:val="2"/>
                <w:sz w:val="15"/>
                <w:szCs w:val="15"/>
              </w:rPr>
              <w:t xml:space="preserve">0.05MPa </w:t>
            </w:r>
            <w:r>
              <w:rPr>
                <w:rFonts w:ascii="Times New Roman" w:eastAsiaTheme="minorEastAsia" w:hAnsi="Times New Roman" w:cs="Times New Roman"/>
                <w:kern w:val="2"/>
                <w:sz w:val="15"/>
                <w:szCs w:val="15"/>
              </w:rPr>
              <w:t>，且距水力警铃</w:t>
            </w:r>
            <w:r>
              <w:rPr>
                <w:rFonts w:ascii="Times New Roman" w:eastAsiaTheme="minorEastAsia" w:hAnsi="Times New Roman" w:cs="Times New Roman"/>
                <w:kern w:val="2"/>
                <w:sz w:val="15"/>
                <w:szCs w:val="15"/>
              </w:rPr>
              <w:t>3m</w:t>
            </w:r>
            <w:r>
              <w:rPr>
                <w:rFonts w:ascii="Times New Roman" w:eastAsiaTheme="minorEastAsia" w:hAnsi="Times New Roman" w:cs="Times New Roman"/>
                <w:kern w:val="2"/>
                <w:sz w:val="15"/>
                <w:szCs w:val="15"/>
              </w:rPr>
              <w:t>远处警铃声声强不应小于</w:t>
            </w:r>
            <w:r>
              <w:rPr>
                <w:rFonts w:ascii="Times New Roman" w:eastAsiaTheme="minorEastAsia" w:hAnsi="Times New Roman" w:cs="Times New Roman"/>
                <w:kern w:val="2"/>
                <w:sz w:val="15"/>
                <w:szCs w:val="15"/>
              </w:rPr>
              <w:t xml:space="preserve"> </w:t>
            </w:r>
            <w:r>
              <w:rPr>
                <w:rFonts w:ascii="Times New Roman" w:eastAsiaTheme="minorEastAsia" w:hAnsi="Times New Roman" w:cs="Times New Roman"/>
                <w:kern w:val="2"/>
                <w:sz w:val="15"/>
                <w:szCs w:val="15"/>
              </w:rPr>
              <w:lastRenderedPageBreak/>
              <w:t>70dB</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打开手动试水阀动作应可靠</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与空气压缩机或火灾自动报警系统的联锁控制，应符合设计要求</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消防给水系统流量和压力</w:t>
      </w:r>
    </w:p>
    <w:p w:rsidR="009846C2" w:rsidRDefault="00A433A0">
      <w:pPr>
        <w:pStyle w:val="af1"/>
        <w:widowControl w:val="0"/>
        <w:numPr>
          <w:ilvl w:val="0"/>
          <w:numId w:val="6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6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5.2.7</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5.2.7</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消防给水系统流量和压力验收标准和验收方法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Align w:val="center"/>
          </w:tcPr>
          <w:p w:rsidR="009846C2" w:rsidRDefault="00A433A0">
            <w:pPr>
              <w:tabs>
                <w:tab w:val="left" w:pos="0"/>
              </w:tabs>
              <w:topLinePunct/>
              <w:spacing w:line="32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Align w:val="center"/>
          </w:tcPr>
          <w:p w:rsidR="009846C2" w:rsidRDefault="00A433A0">
            <w:pPr>
              <w:tabs>
                <w:tab w:val="left" w:pos="0"/>
              </w:tabs>
              <w:topLinePunct/>
              <w:spacing w:line="32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消防给水系统的流量和压力</w:t>
            </w:r>
          </w:p>
        </w:tc>
        <w:tc>
          <w:tcPr>
            <w:tcW w:w="2916" w:type="dxa"/>
            <w:vAlign w:val="center"/>
          </w:tcPr>
          <w:p w:rsidR="009846C2" w:rsidRDefault="00A433A0">
            <w:pPr>
              <w:pStyle w:val="a7"/>
              <w:tabs>
                <w:tab w:val="left" w:pos="0"/>
              </w:tabs>
              <w:topLinePunct/>
              <w:spacing w:before="0" w:beforeAutospacing="0" w:after="0" w:afterAutospacing="0" w:line="32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消防给水系统流量、压力的验收，应通过系统流量、压力检测装置和末端试水装置进行放水试验，系统流量、压力和消火栓充实水柱等应符合设计要求</w:t>
            </w:r>
          </w:p>
        </w:tc>
        <w:tc>
          <w:tcPr>
            <w:tcW w:w="893" w:type="dxa"/>
            <w:vAlign w:val="center"/>
          </w:tcPr>
          <w:p w:rsidR="009846C2" w:rsidRDefault="00A433A0">
            <w:pPr>
              <w:pStyle w:val="a7"/>
              <w:tabs>
                <w:tab w:val="left" w:pos="0"/>
              </w:tabs>
              <w:topLinePunct/>
              <w:spacing w:before="0" w:beforeAutospacing="0" w:after="0" w:afterAutospacing="0" w:line="32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核对设计文件，现场检查</w:t>
            </w:r>
          </w:p>
        </w:tc>
        <w:tc>
          <w:tcPr>
            <w:tcW w:w="417" w:type="dxa"/>
            <w:vAlign w:val="center"/>
          </w:tcPr>
          <w:p w:rsidR="009846C2" w:rsidRDefault="00A433A0">
            <w:pPr>
              <w:tabs>
                <w:tab w:val="left" w:pos="0"/>
              </w:tabs>
              <w:topLinePunct/>
              <w:spacing w:line="32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2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控制柜</w:t>
      </w:r>
    </w:p>
    <w:p w:rsidR="009846C2" w:rsidRDefault="00A433A0">
      <w:pPr>
        <w:pStyle w:val="af1"/>
        <w:widowControl w:val="0"/>
        <w:numPr>
          <w:ilvl w:val="0"/>
          <w:numId w:val="63"/>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63"/>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5.2.8</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5.2.8</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控制柜验收标准和验收方法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控制柜</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控制柜的规格、型号、数量应符合设计要求；控制柜的图纸塑封后应牢固粘贴于柜门内侧；控制柜的动作应符合设计要求；控制柜质量应符合产品标准的要求；主、备用电源自动切换装置的设置应符合设计要求</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消防水泵控制柜的安装位置应符合设计要求，设置在专用消防水泵控制室时，其防护</w:t>
            </w:r>
            <w:r>
              <w:rPr>
                <w:rFonts w:ascii="Times New Roman" w:eastAsiaTheme="minorEastAsia" w:hAnsi="Times New Roman" w:cs="Times New Roman"/>
                <w:kern w:val="2"/>
                <w:sz w:val="15"/>
                <w:szCs w:val="15"/>
              </w:rPr>
              <w:lastRenderedPageBreak/>
              <w:t>等级不应低于</w:t>
            </w:r>
            <w:r>
              <w:rPr>
                <w:rFonts w:ascii="Times New Roman" w:eastAsiaTheme="minorEastAsia" w:hAnsi="Times New Roman" w:cs="Times New Roman"/>
                <w:kern w:val="2"/>
                <w:sz w:val="15"/>
                <w:szCs w:val="15"/>
              </w:rPr>
              <w:t>IP30</w:t>
            </w:r>
            <w:r>
              <w:rPr>
                <w:rFonts w:ascii="Times New Roman" w:eastAsiaTheme="minorEastAsia" w:hAnsi="Times New Roman" w:cs="Times New Roman"/>
                <w:kern w:val="2"/>
                <w:sz w:val="15"/>
                <w:szCs w:val="15"/>
              </w:rPr>
              <w:t>；与消防水泵设置在同一空间时，其防护等级不应低于</w:t>
            </w:r>
            <w:r>
              <w:rPr>
                <w:rFonts w:ascii="Times New Roman" w:eastAsiaTheme="minorEastAsia" w:hAnsi="Times New Roman" w:cs="Times New Roman"/>
                <w:kern w:val="2"/>
                <w:sz w:val="15"/>
                <w:szCs w:val="15"/>
              </w:rPr>
              <w:t>IP55</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lastRenderedPageBreak/>
              <w:t>核对设计文件，现场检</w:t>
            </w:r>
            <w:r>
              <w:rPr>
                <w:rFonts w:ascii="Times New Roman" w:eastAsiaTheme="minorEastAsia" w:hAnsi="Times New Roman"/>
                <w:kern w:val="2"/>
                <w:sz w:val="15"/>
                <w:szCs w:val="15"/>
              </w:rPr>
              <w:lastRenderedPageBreak/>
              <w:t>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消防水泵控制柜应设置机械应急启泵功能，并应保证在控制柜内的控制线路发生故障时由有管理权限的人员在紧急时启动消防水泵。机械应急启动时，应确保消防水泵在报警后</w:t>
            </w:r>
            <w:r>
              <w:rPr>
                <w:rFonts w:ascii="Times New Roman" w:eastAsiaTheme="minorEastAsia" w:hAnsi="Times New Roman"/>
                <w:kern w:val="2"/>
                <w:sz w:val="15"/>
                <w:szCs w:val="15"/>
              </w:rPr>
              <w:t>5.0min</w:t>
            </w:r>
            <w:r>
              <w:rPr>
                <w:rFonts w:ascii="Times New Roman" w:eastAsiaTheme="minorEastAsia" w:hAnsi="Times New Roman"/>
                <w:kern w:val="2"/>
                <w:sz w:val="15"/>
                <w:szCs w:val="15"/>
              </w:rPr>
              <w:t>内正常工作</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消防水泵控制柜前面板的明显部位应设置紧急时打开柜门的装置</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消防水泵控制柜应采取防止被水淹没的措施。在高温潮湿环境下，消防水泵控制柜内应设置自动防潮除湿的装置</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控制柜的基座其水平度误差不大于</w:t>
            </w:r>
            <w:r>
              <w:rPr>
                <w:rFonts w:ascii="Times New Roman" w:eastAsiaTheme="minorEastAsia" w:hAnsi="Times New Roman" w:cs="Times New Roman"/>
                <w:kern w:val="2"/>
                <w:sz w:val="15"/>
                <w:szCs w:val="15"/>
              </w:rPr>
              <w:t>±2mm</w:t>
            </w:r>
            <w:r>
              <w:rPr>
                <w:rFonts w:ascii="Times New Roman" w:eastAsiaTheme="minorEastAsia" w:hAnsi="Times New Roman" w:cs="Times New Roman"/>
                <w:kern w:val="2"/>
                <w:sz w:val="15"/>
                <w:szCs w:val="15"/>
              </w:rPr>
              <w:t>，并应做防腐处理及防水措施</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控制柜与基座应采用不小于</w:t>
            </w:r>
            <w:r>
              <w:rPr>
                <w:rFonts w:ascii="Times New Roman" w:eastAsiaTheme="minorEastAsia" w:hAnsi="Times New Roman" w:cs="Times New Roman"/>
                <w:kern w:val="2"/>
                <w:sz w:val="15"/>
                <w:szCs w:val="15"/>
              </w:rPr>
              <w:t>Φ12mm</w:t>
            </w:r>
            <w:r>
              <w:rPr>
                <w:rFonts w:ascii="Times New Roman" w:eastAsiaTheme="minorEastAsia" w:hAnsi="Times New Roman" w:cs="Times New Roman"/>
                <w:kern w:val="2"/>
                <w:sz w:val="15"/>
                <w:szCs w:val="15"/>
              </w:rPr>
              <w:t>的螺栓固定，每只柜不应少于</w:t>
            </w:r>
            <w:r>
              <w:rPr>
                <w:rFonts w:ascii="Times New Roman" w:eastAsiaTheme="minorEastAsia" w:hAnsi="Times New Roman" w:cs="Times New Roman"/>
                <w:kern w:val="2"/>
                <w:sz w:val="15"/>
                <w:szCs w:val="15"/>
              </w:rPr>
              <w:t>4</w:t>
            </w:r>
            <w:r>
              <w:rPr>
                <w:rFonts w:ascii="Times New Roman" w:eastAsiaTheme="minorEastAsia" w:hAnsi="Times New Roman" w:cs="Times New Roman"/>
                <w:kern w:val="2"/>
                <w:sz w:val="15"/>
                <w:szCs w:val="15"/>
              </w:rPr>
              <w:t>只螺栓</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做控制柜的上下进出线口时，不应破坏控制柜的防护等级</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消火栓</w:t>
      </w:r>
    </w:p>
    <w:p w:rsidR="009846C2" w:rsidRDefault="00A433A0">
      <w:pPr>
        <w:pStyle w:val="af1"/>
        <w:widowControl w:val="0"/>
        <w:numPr>
          <w:ilvl w:val="0"/>
          <w:numId w:val="64"/>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检查数量：按数量抽查</w:t>
      </w:r>
      <w:r>
        <w:rPr>
          <w:rFonts w:ascii="Times New Roman" w:eastAsia="宋体" w:hAnsi="Times New Roman" w:cs="Times New Roman"/>
          <w:kern w:val="2"/>
          <w:sz w:val="21"/>
          <w:szCs w:val="21"/>
        </w:rPr>
        <w:t>30%</w:t>
      </w:r>
      <w:r>
        <w:rPr>
          <w:rFonts w:ascii="Times New Roman" w:eastAsia="宋体" w:hAnsi="Times New Roman" w:cs="Times New Roman"/>
          <w:kern w:val="2"/>
          <w:sz w:val="21"/>
          <w:szCs w:val="21"/>
        </w:rPr>
        <w:t>，但不应小于</w:t>
      </w:r>
      <w:r>
        <w:rPr>
          <w:rFonts w:ascii="Times New Roman" w:eastAsia="宋体" w:hAnsi="Times New Roman" w:cs="Times New Roman"/>
          <w:kern w:val="2"/>
          <w:sz w:val="21"/>
          <w:szCs w:val="21"/>
        </w:rPr>
        <w:t>10</w:t>
      </w:r>
      <w:r>
        <w:rPr>
          <w:rFonts w:ascii="Times New Roman" w:eastAsia="宋体" w:hAnsi="Times New Roman" w:cs="Times New Roman"/>
          <w:kern w:val="2"/>
          <w:sz w:val="21"/>
          <w:szCs w:val="21"/>
        </w:rPr>
        <w:t>个。</w:t>
      </w:r>
    </w:p>
    <w:p w:rsidR="009846C2" w:rsidRDefault="00A433A0">
      <w:pPr>
        <w:pStyle w:val="af1"/>
        <w:widowControl w:val="0"/>
        <w:numPr>
          <w:ilvl w:val="0"/>
          <w:numId w:val="64"/>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5.2.9</w:t>
      </w:r>
      <w:r>
        <w:rPr>
          <w:rFonts w:ascii="Times New Roman" w:eastAsia="宋体" w:hAnsi="Times New Roman" w:cs="Times New Roman"/>
          <w:kern w:val="2"/>
          <w:sz w:val="21"/>
          <w:szCs w:val="21"/>
        </w:rPr>
        <w:t>。</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5.2.9</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消火栓验收标准和验收方法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消火栓</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消火栓的设置场所、位置、规格、型号应符合设计要求</w:t>
            </w:r>
          </w:p>
        </w:tc>
        <w:tc>
          <w:tcPr>
            <w:tcW w:w="893" w:type="dxa"/>
            <w:vMerge w:val="restart"/>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地下式消火栓顶部进水口或顶部出水口应正对井口。顶部进水口或顶部出水口与消防</w:t>
            </w:r>
            <w:r>
              <w:rPr>
                <w:rFonts w:ascii="Times New Roman" w:eastAsiaTheme="minorEastAsia" w:hAnsi="Times New Roman" w:cs="Times New Roman"/>
                <w:kern w:val="2"/>
                <w:sz w:val="15"/>
                <w:szCs w:val="15"/>
              </w:rPr>
              <w:lastRenderedPageBreak/>
              <w:t>井盖底面的距离不应大于</w:t>
            </w:r>
            <w:r>
              <w:rPr>
                <w:rFonts w:ascii="Times New Roman" w:eastAsiaTheme="minorEastAsia" w:hAnsi="Times New Roman" w:cs="Times New Roman"/>
                <w:kern w:val="2"/>
                <w:sz w:val="15"/>
                <w:szCs w:val="15"/>
              </w:rPr>
              <w:t>0.4m</w:t>
            </w:r>
            <w:r>
              <w:rPr>
                <w:rFonts w:ascii="Times New Roman" w:eastAsiaTheme="minorEastAsia" w:hAnsi="Times New Roman" w:cs="Times New Roman"/>
                <w:kern w:val="2"/>
                <w:sz w:val="15"/>
                <w:szCs w:val="15"/>
              </w:rPr>
              <w:t>，井内应有足够的操作空间，并应做好防水措施；地下式室外消火栓应设置永久性固定标志</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当室外消火栓安装部位火灾时存在可能落物危险时，上方应采取防坠落物撞击的措施</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室外消火栓安装位置应符合设计要求，且不应妨碍交通，在易碰撞的地点应设置防撞设施</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室内消火栓及消防软管卷盘和轻便水龙的选型、规格应符合设计要求；室内消火栓应采用</w:t>
            </w:r>
            <w:r>
              <w:rPr>
                <w:rFonts w:ascii="Times New Roman" w:eastAsiaTheme="minorEastAsia" w:hAnsi="Times New Roman" w:cs="Times New Roman"/>
                <w:kern w:val="2"/>
                <w:sz w:val="15"/>
                <w:szCs w:val="15"/>
              </w:rPr>
              <w:t>DN65</w:t>
            </w:r>
            <w:r>
              <w:rPr>
                <w:rFonts w:ascii="Times New Roman" w:eastAsiaTheme="minorEastAsia" w:hAnsi="Times New Roman" w:cs="Times New Roman"/>
                <w:kern w:val="2"/>
                <w:sz w:val="15"/>
                <w:szCs w:val="15"/>
              </w:rPr>
              <w:t>室内消火栓，并可与消防软管卷盘或轻便水龙设置在同一箱体内</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消防电梯前室应设置室内消火栓，并应计入消火栓使用数量</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同一建筑物内设置的消火栓、消防软管卷盘和轻便水龙应采用统一规格的栓口、消防水枪和水带及配件</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室内消火栓及消防软管卷盘和轻便水龙应设置明显的永久性固定标志，当室内消火栓因美观要求需要隐蔽安装时，应有明显的标志，并应便于开启使用</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消火栓栓口出水方向宜向下或与设置消火栓的墙面成</w:t>
            </w:r>
            <w:r>
              <w:rPr>
                <w:rFonts w:ascii="Times New Roman" w:eastAsiaTheme="minorEastAsia" w:hAnsi="Times New Roman" w:cs="Times New Roman"/>
                <w:kern w:val="2"/>
                <w:sz w:val="15"/>
                <w:szCs w:val="15"/>
              </w:rPr>
              <w:t>90°</w:t>
            </w:r>
            <w:r>
              <w:rPr>
                <w:rFonts w:ascii="Times New Roman" w:eastAsiaTheme="minorEastAsia" w:hAnsi="Times New Roman" w:cs="Times New Roman"/>
                <w:kern w:val="2"/>
                <w:sz w:val="15"/>
                <w:szCs w:val="15"/>
              </w:rPr>
              <w:t>角，栓口不应安装在门轴侧</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消火栓栓口中心距地面应为</w:t>
            </w:r>
            <w:r>
              <w:rPr>
                <w:rFonts w:ascii="Times New Roman" w:eastAsiaTheme="minorEastAsia" w:hAnsi="Times New Roman" w:cs="Times New Roman"/>
                <w:kern w:val="2"/>
                <w:sz w:val="15"/>
                <w:szCs w:val="15"/>
              </w:rPr>
              <w:t>1.1m</w:t>
            </w:r>
            <w:r>
              <w:rPr>
                <w:rFonts w:ascii="Times New Roman" w:eastAsiaTheme="minorEastAsia" w:hAnsi="Times New Roman" w:cs="Times New Roman"/>
                <w:kern w:val="2"/>
                <w:sz w:val="15"/>
                <w:szCs w:val="15"/>
              </w:rPr>
              <w:t>，特殊地点的高度可特殊对待，允许偏差</w:t>
            </w:r>
            <w:r>
              <w:rPr>
                <w:rFonts w:ascii="Times New Roman" w:eastAsiaTheme="minorEastAsia" w:hAnsi="Times New Roman" w:cs="Times New Roman"/>
                <w:kern w:val="2"/>
                <w:sz w:val="15"/>
                <w:szCs w:val="15"/>
              </w:rPr>
              <w:t>±20mm</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500kV</w:t>
            </w:r>
            <w:r>
              <w:rPr>
                <w:rFonts w:ascii="Times New Roman" w:eastAsiaTheme="minorEastAsia" w:hAnsi="Times New Roman" w:cs="Times New Roman"/>
                <w:kern w:val="2"/>
                <w:sz w:val="15"/>
                <w:szCs w:val="15"/>
              </w:rPr>
              <w:t>及以上的直流换流站的主控制楼、</w:t>
            </w:r>
            <w:r>
              <w:rPr>
                <w:rFonts w:ascii="Times New Roman" w:eastAsiaTheme="minorEastAsia" w:hAnsi="Times New Roman" w:cs="Times New Roman"/>
                <w:kern w:val="2"/>
                <w:sz w:val="15"/>
                <w:szCs w:val="15"/>
              </w:rPr>
              <w:t>220kV</w:t>
            </w:r>
            <w:r>
              <w:rPr>
                <w:rFonts w:ascii="Times New Roman" w:eastAsiaTheme="minorEastAsia" w:hAnsi="Times New Roman" w:cs="Times New Roman"/>
                <w:kern w:val="2"/>
                <w:sz w:val="15"/>
                <w:szCs w:val="15"/>
              </w:rPr>
              <w:t>及以上的高压配电装置楼（有充油设备）、</w:t>
            </w:r>
            <w:r>
              <w:rPr>
                <w:rFonts w:ascii="Times New Roman" w:eastAsiaTheme="minorEastAsia" w:hAnsi="Times New Roman" w:cs="Times New Roman"/>
                <w:kern w:val="2"/>
                <w:sz w:val="15"/>
                <w:szCs w:val="15"/>
              </w:rPr>
              <w:t>220kV</w:t>
            </w:r>
            <w:r>
              <w:rPr>
                <w:rFonts w:ascii="Times New Roman" w:eastAsiaTheme="minorEastAsia" w:hAnsi="Times New Roman" w:cs="Times New Roman"/>
                <w:kern w:val="2"/>
                <w:sz w:val="15"/>
                <w:szCs w:val="15"/>
              </w:rPr>
              <w:t>及以上的户内直流开关场（有</w:t>
            </w:r>
            <w:r>
              <w:rPr>
                <w:rFonts w:ascii="Times New Roman" w:eastAsiaTheme="minorEastAsia" w:hAnsi="Times New Roman" w:cs="Times New Roman"/>
                <w:kern w:val="2"/>
                <w:sz w:val="15"/>
                <w:szCs w:val="15"/>
              </w:rPr>
              <w:lastRenderedPageBreak/>
              <w:t>充油设备）设置室内消火栓并配置喷雾水枪</w:t>
            </w:r>
          </w:p>
        </w:tc>
        <w:tc>
          <w:tcPr>
            <w:tcW w:w="893" w:type="dxa"/>
            <w:vMerge/>
            <w:vAlign w:val="center"/>
          </w:tcPr>
          <w:p w:rsidR="009846C2" w:rsidRDefault="009846C2">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2</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试验消火栓</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系统中的试验消火栓应符合设计要求；试验用消火栓栓口处应设置压力表</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消火栓箱</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消火栓的启闭阀门设置位置应便于操作使用，阀门的中心距箱侧面应为</w:t>
            </w:r>
            <w:r>
              <w:rPr>
                <w:rFonts w:ascii="Times New Roman" w:eastAsiaTheme="minorEastAsia" w:hAnsi="Times New Roman"/>
                <w:kern w:val="2"/>
                <w:sz w:val="15"/>
                <w:szCs w:val="15"/>
              </w:rPr>
              <w:t>140mm</w:t>
            </w:r>
            <w:r>
              <w:rPr>
                <w:rFonts w:ascii="Times New Roman" w:eastAsiaTheme="minorEastAsia" w:hAnsi="Times New Roman"/>
                <w:kern w:val="2"/>
                <w:sz w:val="15"/>
                <w:szCs w:val="15"/>
              </w:rPr>
              <w:t>，距箱后内表面应为</w:t>
            </w:r>
            <w:r>
              <w:rPr>
                <w:rFonts w:ascii="Times New Roman" w:eastAsiaTheme="minorEastAsia" w:hAnsi="Times New Roman"/>
                <w:kern w:val="2"/>
                <w:sz w:val="15"/>
                <w:szCs w:val="15"/>
              </w:rPr>
              <w:t>100mm</w:t>
            </w:r>
            <w:r>
              <w:rPr>
                <w:rFonts w:ascii="Times New Roman" w:eastAsiaTheme="minorEastAsia" w:hAnsi="Times New Roman"/>
                <w:kern w:val="2"/>
                <w:sz w:val="15"/>
                <w:szCs w:val="15"/>
              </w:rPr>
              <w:t>，允许偏差</w:t>
            </w:r>
            <w:r>
              <w:rPr>
                <w:rFonts w:ascii="Times New Roman" w:eastAsiaTheme="minorEastAsia" w:hAnsi="Times New Roman"/>
                <w:kern w:val="2"/>
                <w:sz w:val="15"/>
                <w:szCs w:val="15"/>
              </w:rPr>
              <w:t>±5mm</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室内消火栓箱的安装应平正、牢固，暗装的消火栓箱不应破坏隔墙的耐火性能</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箱体安装的垂直度允许偏差为</w:t>
            </w:r>
            <w:r>
              <w:rPr>
                <w:rFonts w:ascii="Times New Roman" w:eastAsiaTheme="minorEastAsia" w:hAnsi="Times New Roman"/>
                <w:kern w:val="2"/>
                <w:sz w:val="15"/>
                <w:szCs w:val="15"/>
              </w:rPr>
              <w:t>±3mm</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消火栓箱门的开启不应小于</w:t>
            </w:r>
            <w:r>
              <w:rPr>
                <w:rFonts w:ascii="Times New Roman" w:eastAsiaTheme="minorEastAsia" w:hAnsi="Times New Roman"/>
                <w:kern w:val="2"/>
                <w:sz w:val="15"/>
                <w:szCs w:val="15"/>
              </w:rPr>
              <w:t>120°</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安装消火栓水龙带，水龙带与消防水枪和快速接头绑扎好后，应根据箱内构造将水龙带放置</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双向开门消火栓箱应有耐火等级应符合设计要求，当设计没有要求时应至少满足</w:t>
            </w:r>
            <w:r>
              <w:rPr>
                <w:rFonts w:ascii="Times New Roman" w:eastAsiaTheme="minorEastAsia" w:hAnsi="Times New Roman"/>
                <w:kern w:val="2"/>
                <w:sz w:val="15"/>
                <w:szCs w:val="15"/>
              </w:rPr>
              <w:t>1h</w:t>
            </w:r>
            <w:r>
              <w:rPr>
                <w:rFonts w:ascii="Times New Roman" w:eastAsiaTheme="minorEastAsia" w:hAnsi="Times New Roman"/>
                <w:kern w:val="2"/>
                <w:sz w:val="15"/>
                <w:szCs w:val="15"/>
              </w:rPr>
              <w:t>耐火极限的要求</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消火栓箱门上应用红色字体注明</w:t>
            </w:r>
            <w:r>
              <w:rPr>
                <w:rFonts w:ascii="Times New Roman" w:eastAsiaTheme="minorEastAsia" w:hAnsi="Times New Roman"/>
                <w:kern w:val="2"/>
                <w:sz w:val="15"/>
                <w:szCs w:val="15"/>
              </w:rPr>
              <w:t>“</w:t>
            </w:r>
            <w:r>
              <w:rPr>
                <w:rFonts w:ascii="Times New Roman" w:eastAsiaTheme="minorEastAsia" w:hAnsi="Times New Roman"/>
                <w:kern w:val="2"/>
                <w:sz w:val="15"/>
                <w:szCs w:val="15"/>
              </w:rPr>
              <w:t>消火栓</w:t>
            </w:r>
            <w:r>
              <w:rPr>
                <w:rFonts w:ascii="Times New Roman" w:eastAsiaTheme="minorEastAsia" w:hAnsi="Times New Roman"/>
                <w:kern w:val="2"/>
                <w:sz w:val="15"/>
                <w:szCs w:val="15"/>
              </w:rPr>
              <w:t>”</w:t>
            </w:r>
            <w:r>
              <w:rPr>
                <w:rFonts w:ascii="Times New Roman" w:eastAsiaTheme="minorEastAsia" w:hAnsi="Times New Roman"/>
                <w:kern w:val="2"/>
                <w:sz w:val="15"/>
                <w:szCs w:val="15"/>
              </w:rPr>
              <w:t>字样</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消防水泵接合器</w:t>
      </w:r>
    </w:p>
    <w:p w:rsidR="009846C2" w:rsidRDefault="00A433A0">
      <w:pPr>
        <w:pStyle w:val="af1"/>
        <w:widowControl w:val="0"/>
        <w:numPr>
          <w:ilvl w:val="0"/>
          <w:numId w:val="65"/>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65"/>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5.2.10</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5.2.10</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消防水泵接合器验收标准和验收方法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消防水泵接合器</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消防水泵接合器的设置位置应符合设计要求</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使用流量计、压力表</w:t>
            </w:r>
            <w:r>
              <w:rPr>
                <w:rFonts w:ascii="Times New Roman" w:eastAsiaTheme="minorEastAsia" w:hAnsi="Times New Roman"/>
                <w:kern w:val="2"/>
                <w:sz w:val="15"/>
                <w:szCs w:val="15"/>
              </w:rPr>
              <w:lastRenderedPageBreak/>
              <w:t>和现场检查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防水泵接合器的安装，应按接口、本体、连接管、止回阀、安全阀、放空管、控制阀的顺序进行，止回阀的安装方向应使消防用水能从消防水泵接合器进入系统，整体式消防水泵接合器的安装，应按其使用安装说明书进行</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消火栓水泵接合器与消防通道之间不应设有妨碍消防车加压供水的障碍物</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hAnsi="Times New Roman"/>
                <w:kern w:val="2"/>
                <w:sz w:val="15"/>
                <w:szCs w:val="15"/>
              </w:rPr>
              <w:t>应安装在便于消防车接近的人行道或非机动车行驶地段，距室外消火栓或消防水池的距离宜为</w:t>
            </w:r>
            <w:r>
              <w:rPr>
                <w:rFonts w:ascii="Times New Roman" w:hAnsi="Times New Roman"/>
                <w:kern w:val="2"/>
                <w:sz w:val="15"/>
                <w:szCs w:val="15"/>
              </w:rPr>
              <w:t>15m</w:t>
            </w:r>
            <w:r>
              <w:rPr>
                <w:rFonts w:ascii="Times New Roman" w:hAnsi="Times New Roman"/>
                <w:kern w:val="2"/>
                <w:sz w:val="15"/>
                <w:szCs w:val="15"/>
              </w:rPr>
              <w:t>～</w:t>
            </w:r>
            <w:r>
              <w:rPr>
                <w:rFonts w:ascii="Times New Roman" w:hAnsi="Times New Roman"/>
                <w:kern w:val="2"/>
                <w:sz w:val="15"/>
                <w:szCs w:val="15"/>
              </w:rPr>
              <w:t>40m</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hAnsi="Times New Roman"/>
                <w:kern w:val="2"/>
                <w:sz w:val="15"/>
                <w:szCs w:val="15"/>
              </w:rPr>
            </w:pPr>
            <w:r>
              <w:rPr>
                <w:rFonts w:ascii="Times New Roman" w:hAnsi="Times New Roman"/>
                <w:kern w:val="2"/>
                <w:sz w:val="15"/>
                <w:szCs w:val="15"/>
              </w:rPr>
              <w:t>地下消防水泵接合器应采用铸有</w:t>
            </w:r>
            <w:r>
              <w:rPr>
                <w:rFonts w:ascii="Times New Roman" w:hAnsi="Times New Roman"/>
                <w:kern w:val="2"/>
                <w:sz w:val="15"/>
                <w:szCs w:val="15"/>
              </w:rPr>
              <w:t>“</w:t>
            </w:r>
            <w:r>
              <w:rPr>
                <w:rFonts w:ascii="Times New Roman" w:hAnsi="Times New Roman"/>
                <w:kern w:val="2"/>
                <w:sz w:val="15"/>
                <w:szCs w:val="15"/>
              </w:rPr>
              <w:t>消防水泵接合器</w:t>
            </w:r>
            <w:r>
              <w:rPr>
                <w:rFonts w:ascii="Times New Roman" w:hAnsi="Times New Roman"/>
                <w:kern w:val="2"/>
                <w:sz w:val="15"/>
                <w:szCs w:val="15"/>
              </w:rPr>
              <w:t>”</w:t>
            </w:r>
            <w:r>
              <w:rPr>
                <w:rFonts w:ascii="Times New Roman" w:hAnsi="Times New Roman"/>
                <w:kern w:val="2"/>
                <w:sz w:val="15"/>
                <w:szCs w:val="15"/>
              </w:rPr>
              <w:t>标志的铸铁井盖，并在附近设置指示其位置的永久性固定标志，不同消防系统应有区别</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hAnsi="Times New Roman"/>
                <w:kern w:val="2"/>
                <w:sz w:val="15"/>
                <w:szCs w:val="15"/>
              </w:rPr>
            </w:pPr>
            <w:r>
              <w:rPr>
                <w:rFonts w:ascii="Times New Roman" w:hAnsi="Times New Roman"/>
                <w:kern w:val="2"/>
                <w:sz w:val="15"/>
                <w:szCs w:val="15"/>
              </w:rPr>
              <w:t>墙壁消防水泵接合器的安装应符合设计要求。设计无要求时，其安装高度距地面宜为</w:t>
            </w:r>
            <w:r>
              <w:rPr>
                <w:rFonts w:ascii="Times New Roman" w:hAnsi="Times New Roman"/>
                <w:kern w:val="2"/>
                <w:sz w:val="15"/>
                <w:szCs w:val="15"/>
              </w:rPr>
              <w:t>0.7m</w:t>
            </w:r>
            <w:r>
              <w:rPr>
                <w:rFonts w:ascii="Times New Roman" w:hAnsi="Times New Roman"/>
                <w:kern w:val="2"/>
                <w:sz w:val="15"/>
                <w:szCs w:val="15"/>
              </w:rPr>
              <w:t>；与墙面上的门、窗、孔、洞的净距离不应小于</w:t>
            </w:r>
            <w:r>
              <w:rPr>
                <w:rFonts w:ascii="Times New Roman" w:hAnsi="Times New Roman"/>
                <w:kern w:val="2"/>
                <w:sz w:val="15"/>
                <w:szCs w:val="15"/>
              </w:rPr>
              <w:t>2.0m</w:t>
            </w:r>
            <w:r>
              <w:rPr>
                <w:rFonts w:ascii="Times New Roman" w:hAnsi="Times New Roman"/>
                <w:kern w:val="2"/>
                <w:sz w:val="15"/>
                <w:szCs w:val="15"/>
              </w:rPr>
              <w:t>，且不应安装在玻璃幕墙下方</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hAnsi="Times New Roman"/>
                <w:kern w:val="2"/>
                <w:sz w:val="15"/>
                <w:szCs w:val="15"/>
              </w:rPr>
            </w:pPr>
            <w:r>
              <w:rPr>
                <w:rFonts w:ascii="Times New Roman" w:hAnsi="Times New Roman"/>
                <w:kern w:val="2"/>
                <w:sz w:val="15"/>
                <w:szCs w:val="15"/>
              </w:rPr>
              <w:t>地下消防水泵接合器的安装，应使进水口与井盖底面的距离不大于</w:t>
            </w:r>
            <w:r>
              <w:rPr>
                <w:rFonts w:ascii="Times New Roman" w:hAnsi="Times New Roman"/>
                <w:kern w:val="2"/>
                <w:sz w:val="15"/>
                <w:szCs w:val="15"/>
              </w:rPr>
              <w:t>0.4m</w:t>
            </w:r>
            <w:r>
              <w:rPr>
                <w:rFonts w:ascii="Times New Roman" w:hAnsi="Times New Roman"/>
                <w:kern w:val="2"/>
                <w:sz w:val="15"/>
                <w:szCs w:val="15"/>
              </w:rPr>
              <w:t>，且不应小于井盖的半径</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hAnsi="Times New Roman"/>
                <w:kern w:val="2"/>
                <w:sz w:val="15"/>
                <w:szCs w:val="15"/>
              </w:rPr>
            </w:pPr>
            <w:r>
              <w:rPr>
                <w:rFonts w:ascii="Times New Roman" w:hAnsi="Times New Roman"/>
                <w:kern w:val="2"/>
                <w:sz w:val="15"/>
                <w:szCs w:val="15"/>
              </w:rPr>
              <w:t>地下消防水泵接合器井的砌筑应有防水和排水措施</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系统模拟灭火功能试验</w:t>
      </w:r>
    </w:p>
    <w:p w:rsidR="009846C2" w:rsidRDefault="00A433A0">
      <w:pPr>
        <w:pStyle w:val="af1"/>
        <w:widowControl w:val="0"/>
        <w:numPr>
          <w:ilvl w:val="0"/>
          <w:numId w:val="66"/>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66"/>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lastRenderedPageBreak/>
        <w:t>验收标准和验收方法：见表</w:t>
      </w:r>
      <w:r>
        <w:rPr>
          <w:rFonts w:ascii="Times New Roman" w:eastAsia="宋体" w:hAnsi="Times New Roman" w:cs="Times New Roman"/>
          <w:kern w:val="2"/>
          <w:sz w:val="21"/>
          <w:szCs w:val="21"/>
        </w:rPr>
        <w:t>5.2.11</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5.2.11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系统模拟灭火功能试验验收标准和验收方法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系统模拟灭火功能试验</w:t>
            </w: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流量开关、低压压力开关和报警阀压力开关等动作，应能自动启动消防水泵及与其联锁的相关设备，并应有反馈信号显示</w:t>
            </w:r>
          </w:p>
        </w:tc>
        <w:tc>
          <w:tcPr>
            <w:tcW w:w="893" w:type="dxa"/>
            <w:vMerge w:val="restart"/>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消防水泵启动后，应有反馈信号显示</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干式消火栓系统的干式报警阀的加速排气器动作后，应有反馈信号显示</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其他消防联动控制设备启动后，应有反馈信号显示</w:t>
            </w:r>
          </w:p>
        </w:tc>
        <w:tc>
          <w:tcPr>
            <w:tcW w:w="893" w:type="dxa"/>
            <w:vMerge/>
            <w:vAlign w:val="center"/>
          </w:tcPr>
          <w:p w:rsidR="009846C2" w:rsidRDefault="009846C2">
            <w:pPr>
              <w:pStyle w:val="a7"/>
              <w:tabs>
                <w:tab w:val="left" w:pos="0"/>
              </w:tabs>
              <w:topLinePunct/>
              <w:spacing w:beforeAutospacing="0" w:afterAutospacing="0" w:line="300" w:lineRule="exact"/>
              <w:ind w:firstLineChars="100" w:firstLine="150"/>
              <w:jc w:val="center"/>
              <w:rPr>
                <w:rFonts w:ascii="Times New Roman" w:eastAsiaTheme="minorEastAsia" w:hAnsi="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af1"/>
        <w:widowControl w:val="0"/>
        <w:numPr>
          <w:ilvl w:val="0"/>
          <w:numId w:val="55"/>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消防给水管网</w:t>
      </w:r>
    </w:p>
    <w:p w:rsidR="009846C2" w:rsidRDefault="00A433A0">
      <w:pPr>
        <w:pStyle w:val="af1"/>
        <w:widowControl w:val="0"/>
        <w:numPr>
          <w:ilvl w:val="0"/>
          <w:numId w:val="67"/>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检查数量：第</w:t>
      </w:r>
      <w:r>
        <w:rPr>
          <w:rFonts w:ascii="Times New Roman" w:eastAsia="宋体" w:hAnsi="Times New Roman" w:cs="Times New Roman"/>
          <w:kern w:val="2"/>
          <w:sz w:val="21"/>
          <w:szCs w:val="21"/>
        </w:rPr>
        <w:t>1</w:t>
      </w:r>
      <w:r>
        <w:rPr>
          <w:rFonts w:ascii="Times New Roman" w:eastAsia="宋体" w:hAnsi="Times New Roman" w:cs="Times New Roman"/>
          <w:kern w:val="2"/>
          <w:sz w:val="21"/>
          <w:szCs w:val="21"/>
        </w:rPr>
        <w:t>项～第</w:t>
      </w:r>
      <w:r>
        <w:rPr>
          <w:rFonts w:ascii="Times New Roman" w:eastAsia="宋体" w:hAnsi="Times New Roman" w:cs="Times New Roman"/>
          <w:kern w:val="2"/>
          <w:sz w:val="21"/>
          <w:szCs w:val="21"/>
        </w:rPr>
        <w:t>3</w:t>
      </w:r>
      <w:r>
        <w:rPr>
          <w:rFonts w:ascii="Times New Roman" w:eastAsia="宋体" w:hAnsi="Times New Roman" w:cs="Times New Roman"/>
          <w:kern w:val="2"/>
          <w:sz w:val="21"/>
          <w:szCs w:val="21"/>
        </w:rPr>
        <w:t>项全数检查；第</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项～第</w:t>
      </w:r>
      <w:r>
        <w:rPr>
          <w:rFonts w:ascii="Times New Roman" w:eastAsia="宋体" w:hAnsi="Times New Roman" w:cs="Times New Roman"/>
          <w:kern w:val="2"/>
          <w:sz w:val="21"/>
          <w:szCs w:val="21"/>
        </w:rPr>
        <w:t>7</w:t>
      </w:r>
      <w:r>
        <w:rPr>
          <w:rFonts w:ascii="Times New Roman" w:eastAsia="宋体" w:hAnsi="Times New Roman" w:cs="Times New Roman"/>
          <w:kern w:val="2"/>
          <w:sz w:val="21"/>
          <w:szCs w:val="21"/>
        </w:rPr>
        <w:t>项抽查抽查</w:t>
      </w:r>
      <w:r>
        <w:rPr>
          <w:rFonts w:ascii="Times New Roman" w:eastAsia="宋体" w:hAnsi="Times New Roman" w:cs="Times New Roman"/>
          <w:kern w:val="2"/>
          <w:sz w:val="21"/>
          <w:szCs w:val="21"/>
        </w:rPr>
        <w:t>20%</w:t>
      </w:r>
      <w:r>
        <w:rPr>
          <w:rFonts w:ascii="Times New Roman" w:eastAsia="宋体" w:hAnsi="Times New Roman" w:cs="Times New Roman"/>
          <w:kern w:val="2"/>
          <w:sz w:val="21"/>
          <w:szCs w:val="21"/>
        </w:rPr>
        <w:t>，且不应少于</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处．</w:t>
      </w:r>
    </w:p>
    <w:p w:rsidR="009846C2" w:rsidRDefault="00A433A0">
      <w:pPr>
        <w:pStyle w:val="af1"/>
        <w:widowControl w:val="0"/>
        <w:numPr>
          <w:ilvl w:val="0"/>
          <w:numId w:val="67"/>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5.2.12</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5.2.12</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消防给水管网验收标准和验收方法</w:t>
      </w:r>
    </w:p>
    <w:tbl>
      <w:tblPr>
        <w:tblW w:w="5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2"/>
        <w:gridCol w:w="2915"/>
        <w:gridCol w:w="893"/>
        <w:gridCol w:w="417"/>
        <w:gridCol w:w="417"/>
      </w:tblGrid>
      <w:tr w:rsidR="009846C2">
        <w:trPr>
          <w:tblHeader/>
        </w:trPr>
        <w:tc>
          <w:tcPr>
            <w:tcW w:w="416" w:type="dxa"/>
            <w:vAlign w:val="center"/>
          </w:tcPr>
          <w:p w:rsidR="009846C2" w:rsidRDefault="00A433A0">
            <w:pPr>
              <w:tabs>
                <w:tab w:val="left" w:pos="0"/>
              </w:tabs>
              <w:topLinePunct/>
              <w:spacing w:line="240" w:lineRule="exact"/>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2"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5"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2"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管材、管径、接头、防冻措施及管道标识</w:t>
            </w: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管道的材质、管径、接头、连接方式及采取的防冻措施，应符合设计要求，管道标识应符合设计要求</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2"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管道阀门、附件</w:t>
            </w: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管网不同部位安装的报警阀组、闸阀、止回阀、电磁阀、信号阀、水流指示器、减压孔板、节流管、减压阀、柔性接头、排水管、排气阀、泄压阀等，均应符合设计要求</w:t>
            </w:r>
          </w:p>
        </w:tc>
        <w:tc>
          <w:tcPr>
            <w:tcW w:w="893" w:type="dxa"/>
            <w:vAlign w:val="center"/>
          </w:tcPr>
          <w:p w:rsidR="009846C2" w:rsidRDefault="00A433A0">
            <w:pPr>
              <w:pStyle w:val="a7"/>
              <w:tabs>
                <w:tab w:val="left" w:pos="0"/>
              </w:tabs>
              <w:topLinePunct/>
              <w:spacing w:before="0" w:beforeAutospacing="0" w:after="0" w:afterAutospacing="0" w:line="300" w:lineRule="exact"/>
              <w:jc w:val="center"/>
              <w:rPr>
                <w:rFonts w:ascii="Times New Roman" w:eastAsiaTheme="minorEastAsia" w:hAnsi="Times New Roman"/>
                <w:kern w:val="2"/>
                <w:sz w:val="15"/>
                <w:szCs w:val="15"/>
              </w:rPr>
            </w:pPr>
            <w:r>
              <w:rPr>
                <w:rFonts w:ascii="Times New Roman" w:eastAsiaTheme="minorEastAsia" w:hAnsi="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w:t>
            </w:r>
          </w:p>
        </w:tc>
        <w:tc>
          <w:tcPr>
            <w:tcW w:w="892"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干式消火栓系统</w:t>
            </w:r>
          </w:p>
        </w:tc>
        <w:tc>
          <w:tcPr>
            <w:tcW w:w="2915"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干式消火栓系统报警阀后的管道仅应设置消火栓和有信号显示的阀门</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4</w:t>
            </w:r>
          </w:p>
        </w:tc>
        <w:tc>
          <w:tcPr>
            <w:tcW w:w="892"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架空管道安装位置要求</w:t>
            </w:r>
          </w:p>
        </w:tc>
        <w:tc>
          <w:tcPr>
            <w:tcW w:w="2915"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架空管道的安装不应影响建筑功能的正常使用，不应影响和妨碍通行以及门窗等开启</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消防给水管可能发生冰冻时，应采取防冻技术措施</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通过及敷设在有腐蚀性气体的房间内时，管外壁应刷防腐漆或缠绕防腐材料</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5</w:t>
            </w:r>
          </w:p>
        </w:tc>
        <w:tc>
          <w:tcPr>
            <w:tcW w:w="892"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架空管道穿墙体、楼板、变形缝</w:t>
            </w: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消防给水管穿过地下室外墙、构筑物墙壁以及屋面等有防水要求处时，应设防水套管</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消防给水管穿过墙体或楼板时应加设套管，套管长度不应小于墙体厚度，或应高出楼面或地面</w:t>
            </w:r>
            <w:r>
              <w:rPr>
                <w:rFonts w:ascii="Times New Roman" w:eastAsiaTheme="minorEastAsia" w:hAnsi="Times New Roman"/>
                <w:kern w:val="2"/>
                <w:sz w:val="15"/>
                <w:szCs w:val="15"/>
              </w:rPr>
              <w:t>50mm</w:t>
            </w:r>
            <w:r>
              <w:rPr>
                <w:rFonts w:ascii="Times New Roman" w:eastAsiaTheme="minorEastAsia" w:hAnsi="Times New Roman"/>
                <w:kern w:val="2"/>
                <w:sz w:val="15"/>
                <w:szCs w:val="15"/>
              </w:rPr>
              <w:t>；套管与管道的间隙应采用不燃材料填塞，管道的接口不应位于套管内</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消防给水管必须穿过伸缩缝及沉降缝时，应采用波纹管和补偿器等技术措施</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6</w:t>
            </w:r>
          </w:p>
        </w:tc>
        <w:tc>
          <w:tcPr>
            <w:tcW w:w="892"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固定支架和防晃支架</w:t>
            </w: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配水管宜在中点设一个防晃支架，但当管径小于</w:t>
            </w:r>
            <w:r>
              <w:rPr>
                <w:rFonts w:ascii="Times New Roman" w:eastAsiaTheme="minorEastAsia" w:hAnsi="Times New Roman"/>
                <w:kern w:val="2"/>
                <w:sz w:val="15"/>
                <w:szCs w:val="15"/>
              </w:rPr>
              <w:t>DN50</w:t>
            </w:r>
            <w:r>
              <w:rPr>
                <w:rFonts w:ascii="Times New Roman" w:eastAsiaTheme="minorEastAsia" w:hAnsi="Times New Roman"/>
                <w:kern w:val="2"/>
                <w:sz w:val="15"/>
                <w:szCs w:val="15"/>
              </w:rPr>
              <w:t>时可不设</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配水干管及配水管，配水支管的长度超过</w:t>
            </w:r>
            <w:r>
              <w:rPr>
                <w:rFonts w:ascii="Times New Roman" w:eastAsiaTheme="minorEastAsia" w:hAnsi="Times New Roman"/>
                <w:kern w:val="2"/>
                <w:sz w:val="15"/>
                <w:szCs w:val="15"/>
              </w:rPr>
              <w:t>15m</w:t>
            </w:r>
            <w:r>
              <w:rPr>
                <w:rFonts w:ascii="Times New Roman" w:eastAsiaTheme="minorEastAsia" w:hAnsi="Times New Roman"/>
                <w:kern w:val="2"/>
                <w:sz w:val="15"/>
                <w:szCs w:val="15"/>
              </w:rPr>
              <w:t>，每</w:t>
            </w:r>
            <w:r>
              <w:rPr>
                <w:rFonts w:ascii="Times New Roman" w:eastAsiaTheme="minorEastAsia" w:hAnsi="Times New Roman"/>
                <w:kern w:val="2"/>
                <w:sz w:val="15"/>
                <w:szCs w:val="15"/>
              </w:rPr>
              <w:t>15m</w:t>
            </w:r>
            <w:r>
              <w:rPr>
                <w:rFonts w:ascii="Times New Roman" w:eastAsiaTheme="minorEastAsia" w:hAnsi="Times New Roman"/>
                <w:kern w:val="2"/>
                <w:sz w:val="15"/>
                <w:szCs w:val="15"/>
              </w:rPr>
              <w:t>长度内应至少设</w:t>
            </w:r>
            <w:r>
              <w:rPr>
                <w:rFonts w:ascii="Times New Roman" w:eastAsiaTheme="minorEastAsia" w:hAnsi="Times New Roman"/>
                <w:kern w:val="2"/>
                <w:sz w:val="15"/>
                <w:szCs w:val="15"/>
              </w:rPr>
              <w:t>1</w:t>
            </w:r>
            <w:r>
              <w:rPr>
                <w:rFonts w:ascii="Times New Roman" w:eastAsiaTheme="minorEastAsia" w:hAnsi="Times New Roman"/>
                <w:kern w:val="2"/>
                <w:sz w:val="15"/>
                <w:szCs w:val="15"/>
              </w:rPr>
              <w:t>个防晃支架，但当管径不大于</w:t>
            </w:r>
            <w:r>
              <w:rPr>
                <w:rFonts w:ascii="Times New Roman" w:eastAsiaTheme="minorEastAsia" w:hAnsi="Times New Roman"/>
                <w:kern w:val="2"/>
                <w:sz w:val="15"/>
                <w:szCs w:val="15"/>
              </w:rPr>
              <w:t xml:space="preserve"> DN40</w:t>
            </w:r>
            <w:r>
              <w:rPr>
                <w:rFonts w:ascii="Times New Roman" w:eastAsiaTheme="minorEastAsia" w:hAnsi="Times New Roman"/>
                <w:kern w:val="2"/>
                <w:sz w:val="15"/>
                <w:szCs w:val="15"/>
              </w:rPr>
              <w:t>可不设</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管径大于</w:t>
            </w:r>
            <w:r>
              <w:rPr>
                <w:rFonts w:ascii="Times New Roman" w:eastAsiaTheme="minorEastAsia" w:hAnsi="Times New Roman"/>
                <w:kern w:val="2"/>
                <w:sz w:val="15"/>
                <w:szCs w:val="15"/>
              </w:rPr>
              <w:t>DN50</w:t>
            </w:r>
            <w:r>
              <w:rPr>
                <w:rFonts w:ascii="Times New Roman" w:eastAsiaTheme="minorEastAsia" w:hAnsi="Times New Roman"/>
                <w:kern w:val="2"/>
                <w:sz w:val="15"/>
                <w:szCs w:val="15"/>
              </w:rPr>
              <w:t>的管道拐弯、三通及四通位置处应设</w:t>
            </w:r>
            <w:r>
              <w:rPr>
                <w:rFonts w:ascii="Times New Roman" w:eastAsiaTheme="minorEastAsia" w:hAnsi="Times New Roman"/>
                <w:kern w:val="2"/>
                <w:sz w:val="15"/>
                <w:szCs w:val="15"/>
              </w:rPr>
              <w:t>1</w:t>
            </w:r>
            <w:r>
              <w:rPr>
                <w:rFonts w:ascii="Times New Roman" w:eastAsiaTheme="minorEastAsia" w:hAnsi="Times New Roman"/>
                <w:kern w:val="2"/>
                <w:sz w:val="15"/>
                <w:szCs w:val="15"/>
              </w:rPr>
              <w:t>个防晃支架</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当管道穿梁安装时，管道再用紧固件固定于混凝土结构上，宜可作为</w:t>
            </w:r>
            <w:r>
              <w:rPr>
                <w:rFonts w:ascii="Times New Roman" w:eastAsiaTheme="minorEastAsia" w:hAnsi="Times New Roman"/>
                <w:kern w:val="2"/>
                <w:sz w:val="15"/>
                <w:szCs w:val="15"/>
              </w:rPr>
              <w:t>1</w:t>
            </w:r>
            <w:r>
              <w:rPr>
                <w:rFonts w:ascii="Times New Roman" w:eastAsiaTheme="minorEastAsia" w:hAnsi="Times New Roman"/>
                <w:kern w:val="2"/>
                <w:sz w:val="15"/>
                <w:szCs w:val="15"/>
              </w:rPr>
              <w:t>个防晃支架处理</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架空管道每段管道设置的防晃支架不应少于</w:t>
            </w:r>
            <w:r>
              <w:rPr>
                <w:rFonts w:ascii="Times New Roman" w:eastAsiaTheme="minorEastAsia" w:hAnsi="Times New Roman"/>
                <w:kern w:val="2"/>
                <w:sz w:val="15"/>
                <w:szCs w:val="15"/>
              </w:rPr>
              <w:t>1</w:t>
            </w:r>
            <w:r>
              <w:rPr>
                <w:rFonts w:ascii="Times New Roman" w:eastAsiaTheme="minorEastAsia" w:hAnsi="Times New Roman"/>
                <w:kern w:val="2"/>
                <w:sz w:val="15"/>
                <w:szCs w:val="15"/>
              </w:rPr>
              <w:t>个；当管道改变方向时，应增设防晃支架</w:t>
            </w:r>
            <w:r>
              <w:rPr>
                <w:rFonts w:ascii="Times New Roman" w:eastAsiaTheme="minorEastAsia" w:hAnsi="Times New Roman"/>
                <w:kern w:val="2"/>
                <w:sz w:val="15"/>
                <w:szCs w:val="15"/>
              </w:rPr>
              <w:t>;</w:t>
            </w:r>
            <w:r>
              <w:rPr>
                <w:rFonts w:ascii="Times New Roman" w:eastAsiaTheme="minorEastAsia" w:hAnsi="Times New Roman"/>
                <w:kern w:val="2"/>
                <w:sz w:val="15"/>
                <w:szCs w:val="15"/>
              </w:rPr>
              <w:t>立管应在其始端和终端设防晃支架或采</w:t>
            </w:r>
            <w:r>
              <w:rPr>
                <w:rFonts w:ascii="Times New Roman" w:eastAsiaTheme="minorEastAsia" w:hAnsi="Times New Roman"/>
                <w:kern w:val="2"/>
                <w:sz w:val="15"/>
                <w:szCs w:val="15"/>
              </w:rPr>
              <w:lastRenderedPageBreak/>
              <w:t>用管卡固定</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7</w:t>
            </w:r>
          </w:p>
        </w:tc>
        <w:tc>
          <w:tcPr>
            <w:tcW w:w="892"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管道抗震（地震烈度在</w:t>
            </w:r>
            <w:r>
              <w:rPr>
                <w:rFonts w:ascii="Times New Roman" w:eastAsiaTheme="minorEastAsia" w:hAnsi="Times New Roman" w:cs="Times New Roman"/>
                <w:kern w:val="2"/>
                <w:sz w:val="15"/>
                <w:szCs w:val="15"/>
              </w:rPr>
              <w:t>7</w:t>
            </w:r>
            <w:r>
              <w:rPr>
                <w:rFonts w:ascii="Times New Roman" w:eastAsiaTheme="minorEastAsia" w:hAnsi="Times New Roman" w:cs="Times New Roman"/>
                <w:kern w:val="2"/>
                <w:sz w:val="15"/>
                <w:szCs w:val="15"/>
              </w:rPr>
              <w:t>度及</w:t>
            </w:r>
            <w:r>
              <w:rPr>
                <w:rFonts w:ascii="Times New Roman" w:eastAsiaTheme="minorEastAsia" w:hAnsi="Times New Roman" w:cs="Times New Roman"/>
                <w:kern w:val="2"/>
                <w:sz w:val="15"/>
                <w:szCs w:val="15"/>
              </w:rPr>
              <w:t>7</w:t>
            </w:r>
            <w:r>
              <w:rPr>
                <w:rFonts w:ascii="Times New Roman" w:eastAsiaTheme="minorEastAsia" w:hAnsi="Times New Roman" w:cs="Times New Roman"/>
                <w:kern w:val="2"/>
                <w:sz w:val="15"/>
                <w:szCs w:val="15"/>
              </w:rPr>
              <w:t>度以上时，架空管道保护要求）</w:t>
            </w: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地震区的消防给水管道宜采用沟槽连接件的柔性接头或间隙保护系统的安全可靠性</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应用支架将管道牢固地固定在建筑上</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管道应有固定部分和活动部分组成</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当系统管道穿越连接地面以上部分建筑物的地震接缝时，无论管径大小，均应设带柔性配件的管道地震保护装置</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所有穿越墙、楼板、平台以及基础的管道，包括泄水管，水泵接合器连接管及其他辅助管道的周围应留有间隙</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管道周围的间隙，</w:t>
            </w:r>
            <w:r>
              <w:rPr>
                <w:rFonts w:ascii="Times New Roman" w:eastAsiaTheme="minorEastAsia" w:hAnsi="Times New Roman"/>
                <w:kern w:val="2"/>
                <w:sz w:val="15"/>
                <w:szCs w:val="15"/>
              </w:rPr>
              <w:t>DN25</w:t>
            </w:r>
            <w:r>
              <w:rPr>
                <w:rFonts w:ascii="Times New Roman" w:hAnsi="Times New Roman"/>
                <w:kern w:val="2"/>
                <w:sz w:val="15"/>
                <w:szCs w:val="15"/>
              </w:rPr>
              <w:t>～</w:t>
            </w:r>
            <w:r>
              <w:rPr>
                <w:rFonts w:ascii="Times New Roman" w:eastAsiaTheme="minorEastAsia" w:hAnsi="Times New Roman"/>
                <w:kern w:val="2"/>
                <w:sz w:val="15"/>
                <w:szCs w:val="15"/>
              </w:rPr>
              <w:t>DN80</w:t>
            </w:r>
            <w:r>
              <w:rPr>
                <w:rFonts w:ascii="Times New Roman" w:eastAsiaTheme="minorEastAsia" w:hAnsi="Times New Roman"/>
                <w:kern w:val="2"/>
                <w:sz w:val="15"/>
                <w:szCs w:val="15"/>
              </w:rPr>
              <w:t>管径的管道，不应小于</w:t>
            </w:r>
            <w:r>
              <w:rPr>
                <w:rFonts w:ascii="Times New Roman" w:eastAsiaTheme="minorEastAsia" w:hAnsi="Times New Roman"/>
                <w:kern w:val="2"/>
                <w:sz w:val="15"/>
                <w:szCs w:val="15"/>
              </w:rPr>
              <w:t>25mm</w:t>
            </w:r>
            <w:r>
              <w:rPr>
                <w:rFonts w:ascii="Times New Roman" w:eastAsiaTheme="minorEastAsia" w:hAnsi="Times New Roman"/>
                <w:kern w:val="2"/>
                <w:sz w:val="15"/>
                <w:szCs w:val="15"/>
              </w:rPr>
              <w:t>，</w:t>
            </w:r>
            <w:r>
              <w:rPr>
                <w:rFonts w:ascii="Times New Roman" w:eastAsiaTheme="minorEastAsia" w:hAnsi="Times New Roman"/>
                <w:kern w:val="2"/>
                <w:sz w:val="15"/>
                <w:szCs w:val="15"/>
              </w:rPr>
              <w:t>DN100</w:t>
            </w:r>
            <w:r>
              <w:rPr>
                <w:rFonts w:ascii="Times New Roman" w:eastAsiaTheme="minorEastAsia" w:hAnsi="Times New Roman"/>
                <w:kern w:val="2"/>
                <w:sz w:val="15"/>
                <w:szCs w:val="15"/>
              </w:rPr>
              <w:t>及以上管径的管道，不应小于</w:t>
            </w:r>
            <w:r>
              <w:rPr>
                <w:rFonts w:ascii="Times New Roman" w:eastAsiaTheme="minorEastAsia" w:hAnsi="Times New Roman"/>
                <w:kern w:val="2"/>
                <w:sz w:val="15"/>
                <w:szCs w:val="15"/>
              </w:rPr>
              <w:t xml:space="preserve"> 50mm </w:t>
            </w:r>
            <w:r>
              <w:rPr>
                <w:rFonts w:ascii="Times New Roman" w:eastAsiaTheme="minorEastAsia" w:hAnsi="Times New Roman"/>
                <w:kern w:val="2"/>
                <w:sz w:val="15"/>
                <w:szCs w:val="15"/>
              </w:rPr>
              <w:t>；间隙内应填充腻子等防火柔性材料</w:t>
            </w: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rPr>
                <w:rFonts w:ascii="Times New Roman" w:eastAsiaTheme="minorEastAsia" w:hAnsi="Times New Roman" w:cs="Times New Roman"/>
                <w:kern w:val="2"/>
                <w:sz w:val="15"/>
                <w:szCs w:val="15"/>
              </w:rPr>
            </w:pPr>
          </w:p>
        </w:tc>
        <w:tc>
          <w:tcPr>
            <w:tcW w:w="892" w:type="dxa"/>
            <w:vMerge/>
            <w:vAlign w:val="center"/>
          </w:tcPr>
          <w:p w:rsidR="009846C2" w:rsidRDefault="009846C2">
            <w:pPr>
              <w:tabs>
                <w:tab w:val="left" w:pos="0"/>
              </w:tabs>
              <w:topLinePunct/>
              <w:spacing w:line="300" w:lineRule="exact"/>
              <w:jc w:val="both"/>
              <w:rPr>
                <w:rFonts w:ascii="Times New Roman" w:eastAsiaTheme="minorEastAsia" w:hAnsi="Times New Roman" w:cs="Times New Roman"/>
                <w:kern w:val="2"/>
                <w:sz w:val="15"/>
                <w:szCs w:val="15"/>
              </w:rPr>
            </w:pPr>
          </w:p>
        </w:tc>
        <w:tc>
          <w:tcPr>
            <w:tcW w:w="2915" w:type="dxa"/>
            <w:vAlign w:val="center"/>
          </w:tcPr>
          <w:p w:rsidR="009846C2" w:rsidRDefault="00A433A0">
            <w:pPr>
              <w:pStyle w:val="a7"/>
              <w:tabs>
                <w:tab w:val="left" w:pos="0"/>
              </w:tabs>
              <w:topLinePunct/>
              <w:spacing w:before="0" w:beforeAutospacing="0" w:after="0" w:afterAutospacing="0" w:line="300" w:lineRule="exact"/>
              <w:ind w:firstLineChars="100" w:firstLine="150"/>
              <w:jc w:val="both"/>
              <w:rPr>
                <w:rFonts w:ascii="Times New Roman" w:eastAsiaTheme="minorEastAsia" w:hAnsi="Times New Roman"/>
                <w:kern w:val="2"/>
                <w:sz w:val="15"/>
                <w:szCs w:val="15"/>
              </w:rPr>
            </w:pPr>
            <w:r>
              <w:rPr>
                <w:rFonts w:ascii="Times New Roman" w:eastAsiaTheme="minorEastAsia" w:hAnsi="Times New Roman"/>
                <w:kern w:val="2"/>
                <w:sz w:val="15"/>
                <w:szCs w:val="15"/>
              </w:rPr>
              <w:t>竖向支撑应符合下列规定</w:t>
            </w:r>
            <w:r>
              <w:rPr>
                <w:rFonts w:ascii="Times New Roman" w:eastAsiaTheme="minorEastAsia" w:hAnsi="Times New Roman"/>
                <w:kern w:val="2"/>
                <w:sz w:val="15"/>
                <w:szCs w:val="15"/>
              </w:rPr>
              <w:t>:</w:t>
            </w:r>
            <w:r>
              <w:rPr>
                <w:rFonts w:ascii="Times New Roman" w:eastAsiaTheme="minorEastAsia" w:hAnsi="Times New Roman"/>
                <w:kern w:val="2"/>
                <w:sz w:val="15"/>
                <w:szCs w:val="15"/>
              </w:rPr>
              <w:t>系统管道应有承受横向和纵向水平载荷的支撑；竖向支撑应牢固且同心，支撑的所有部件和配件应在同一直线上；对供水主管，竖向支撑的问距不应大于</w:t>
            </w:r>
            <w:r>
              <w:rPr>
                <w:rFonts w:ascii="Times New Roman" w:eastAsiaTheme="minorEastAsia" w:hAnsi="Times New Roman"/>
                <w:kern w:val="2"/>
                <w:sz w:val="15"/>
                <w:szCs w:val="15"/>
              </w:rPr>
              <w:t xml:space="preserve"> 24m</w:t>
            </w:r>
            <w:r>
              <w:rPr>
                <w:rFonts w:ascii="Times New Roman" w:eastAsiaTheme="minorEastAsia" w:hAnsi="Times New Roman"/>
                <w:kern w:val="2"/>
                <w:sz w:val="15"/>
                <w:szCs w:val="15"/>
              </w:rPr>
              <w:t>；立管的顶部应采用四个方向的支撑固定；供水主管上的横向固定支架，其间距不应大于</w:t>
            </w:r>
            <w:r>
              <w:rPr>
                <w:rFonts w:ascii="Times New Roman" w:eastAsiaTheme="minorEastAsia" w:hAnsi="Times New Roman"/>
                <w:kern w:val="2"/>
                <w:sz w:val="15"/>
                <w:szCs w:val="15"/>
              </w:rPr>
              <w:t>12m</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8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水喷雾、细水雾、自动喷水灭火系统</w:t>
      </w:r>
    </w:p>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供水水源验收标准和验收方法：见本标准</w:t>
      </w:r>
      <w:r>
        <w:rPr>
          <w:rFonts w:ascii="Times New Roman" w:eastAsia="宋体" w:hAnsi="Times New Roman" w:cs="Times New Roman"/>
          <w:kern w:val="2"/>
          <w:sz w:val="21"/>
          <w:szCs w:val="21"/>
        </w:rPr>
        <w:t>5.2.1</w:t>
      </w:r>
      <w:r>
        <w:rPr>
          <w:rFonts w:ascii="Times New Roman" w:eastAsia="宋体" w:hAnsi="Times New Roman" w:cs="Times New Roman"/>
          <w:kern w:val="2"/>
          <w:sz w:val="21"/>
          <w:szCs w:val="21"/>
        </w:rPr>
        <w:t>条。</w:t>
      </w:r>
    </w:p>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消防水泵验收标准和验收方法：见本标准</w:t>
      </w:r>
      <w:r>
        <w:rPr>
          <w:rFonts w:ascii="Times New Roman" w:eastAsia="宋体" w:hAnsi="Times New Roman" w:cs="Times New Roman"/>
          <w:kern w:val="2"/>
          <w:sz w:val="21"/>
          <w:szCs w:val="21"/>
        </w:rPr>
        <w:t>5.2.2</w:t>
      </w:r>
      <w:r>
        <w:rPr>
          <w:rFonts w:ascii="Times New Roman" w:eastAsia="宋体" w:hAnsi="Times New Roman" w:cs="Times New Roman"/>
          <w:kern w:val="2"/>
          <w:sz w:val="21"/>
          <w:szCs w:val="21"/>
        </w:rPr>
        <w:t>条。</w:t>
      </w:r>
    </w:p>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lastRenderedPageBreak/>
        <w:t>消防气压给水设备和稳压泵验收标准和验收方法：见本标准</w:t>
      </w:r>
      <w:r>
        <w:rPr>
          <w:rFonts w:ascii="Times New Roman" w:eastAsia="宋体" w:hAnsi="Times New Roman" w:cs="Times New Roman"/>
          <w:kern w:val="2"/>
          <w:sz w:val="21"/>
          <w:szCs w:val="21"/>
        </w:rPr>
        <w:t>5.2.3</w:t>
      </w:r>
      <w:r>
        <w:rPr>
          <w:rFonts w:ascii="Times New Roman" w:eastAsia="宋体" w:hAnsi="Times New Roman" w:cs="Times New Roman"/>
          <w:kern w:val="2"/>
          <w:sz w:val="21"/>
          <w:szCs w:val="21"/>
        </w:rPr>
        <w:t>条。</w:t>
      </w:r>
    </w:p>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消防水泵接合器验收标准和验收方法：见本标准</w:t>
      </w:r>
      <w:r>
        <w:rPr>
          <w:rFonts w:ascii="Times New Roman" w:eastAsia="宋体" w:hAnsi="Times New Roman" w:cs="Times New Roman"/>
          <w:kern w:val="2"/>
          <w:sz w:val="21"/>
          <w:szCs w:val="21"/>
        </w:rPr>
        <w:t>5.2.10</w:t>
      </w:r>
      <w:r>
        <w:rPr>
          <w:rFonts w:ascii="Times New Roman" w:eastAsia="宋体" w:hAnsi="Times New Roman" w:cs="Times New Roman"/>
          <w:kern w:val="2"/>
          <w:sz w:val="21"/>
          <w:szCs w:val="21"/>
        </w:rPr>
        <w:t>条。</w:t>
      </w:r>
    </w:p>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管网安装验收标准和验收方法：见本标准</w:t>
      </w:r>
      <w:r>
        <w:rPr>
          <w:rFonts w:ascii="Times New Roman" w:eastAsia="宋体" w:hAnsi="Times New Roman" w:cs="Times New Roman"/>
          <w:kern w:val="2"/>
          <w:sz w:val="21"/>
          <w:szCs w:val="21"/>
        </w:rPr>
        <w:t>5.2.12</w:t>
      </w:r>
      <w:r>
        <w:rPr>
          <w:rFonts w:ascii="Times New Roman" w:eastAsia="宋体" w:hAnsi="Times New Roman" w:cs="Times New Roman"/>
          <w:kern w:val="2"/>
          <w:sz w:val="21"/>
          <w:szCs w:val="21"/>
        </w:rPr>
        <w:t>条。</w:t>
      </w:r>
    </w:p>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喷头</w:t>
      </w:r>
    </w:p>
    <w:p w:rsidR="009846C2" w:rsidRDefault="00A433A0">
      <w:pPr>
        <w:pStyle w:val="af1"/>
        <w:widowControl w:val="0"/>
        <w:numPr>
          <w:ilvl w:val="0"/>
          <w:numId w:val="69"/>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检查数量：全数检查或抽查。</w:t>
      </w:r>
    </w:p>
    <w:p w:rsidR="009846C2" w:rsidRDefault="00A433A0">
      <w:pPr>
        <w:pStyle w:val="af1"/>
        <w:widowControl w:val="0"/>
        <w:numPr>
          <w:ilvl w:val="0"/>
          <w:numId w:val="69"/>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5.3.6</w:t>
      </w:r>
      <w:r>
        <w:rPr>
          <w:rFonts w:ascii="Times New Roman" w:eastAsia="宋体" w:hAnsi="Times New Roman" w:cs="Times New Roman"/>
          <w:kern w:val="2"/>
          <w:sz w:val="21"/>
          <w:szCs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5.3.6</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喷头验收标准和验收方法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序号</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子项名称</w:t>
            </w:r>
          </w:p>
        </w:tc>
        <w:tc>
          <w:tcPr>
            <w:tcW w:w="29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验收标准</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验收方法</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类别</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喷头</w:t>
            </w: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严禁给喷头、隐蔽式喷头的装饰盖板附加任何装饰性涂层；喷头应安装牢固、规整，喷头不得有损坏现象</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喷头设置场所、规格、型号、公称动作温度、响应时间指数</w:t>
            </w:r>
            <w:r>
              <w:rPr>
                <w:rFonts w:ascii="Times New Roman" w:eastAsia="宋体" w:hAnsi="Times New Roman" w:cs="Times New Roman"/>
                <w:kern w:val="2"/>
                <w:sz w:val="15"/>
                <w:szCs w:val="15"/>
              </w:rPr>
              <w:t>(RTI)</w:t>
            </w:r>
            <w:r>
              <w:rPr>
                <w:rFonts w:ascii="Times New Roman" w:eastAsia="宋体" w:hAnsi="Times New Roman" w:cs="Times New Roman"/>
                <w:kern w:val="2"/>
                <w:sz w:val="15"/>
                <w:szCs w:val="15"/>
              </w:rPr>
              <w:t>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喷头安装间距，喷头与楼板、墙、梁等障碍物的距离应符合设计要求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有腐蚀性气体的环境和有冰冻危险场所安装的喷头，应采取防护措施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有碰撞危险场所安装的喷头应加设防护罩</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当梁、通风管道、排管、桥架宽度大于</w:t>
            </w:r>
            <w:r>
              <w:rPr>
                <w:rFonts w:ascii="Times New Roman" w:eastAsia="宋体" w:hAnsi="Times New Roman" w:cs="Times New Roman"/>
                <w:kern w:val="2"/>
                <w:sz w:val="15"/>
                <w:szCs w:val="15"/>
              </w:rPr>
              <w:t>1.2m</w:t>
            </w:r>
            <w:r>
              <w:rPr>
                <w:rFonts w:ascii="Times New Roman" w:eastAsia="宋体" w:hAnsi="Times New Roman" w:cs="Times New Roman"/>
                <w:kern w:val="2"/>
                <w:sz w:val="15"/>
                <w:szCs w:val="15"/>
              </w:rPr>
              <w:t>时，增设的喷头应安装在其腹面以下部位</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报警阀组安装</w:t>
      </w:r>
    </w:p>
    <w:p w:rsidR="009846C2" w:rsidRDefault="00A433A0">
      <w:pPr>
        <w:pStyle w:val="af1"/>
        <w:widowControl w:val="0"/>
        <w:numPr>
          <w:ilvl w:val="0"/>
          <w:numId w:val="70"/>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70"/>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5.3.7</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lastRenderedPageBreak/>
        <w:t>表</w:t>
      </w:r>
      <w:r>
        <w:rPr>
          <w:rFonts w:ascii="Times New Roman" w:eastAsia="黑体" w:hAnsi="Times New Roman" w:cs="Times New Roman"/>
          <w:b/>
          <w:kern w:val="2"/>
          <w:sz w:val="18"/>
          <w:szCs w:val="18"/>
        </w:rPr>
        <w:t>5.3.7</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报警阀组验收标准和验收方法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报警阀组</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报警阀组安装的位置应符合设计要求；当设计无要求时，报警阀组应安装在便于操作的明显位置，距室内地面高度宜为</w:t>
            </w:r>
            <w:r>
              <w:rPr>
                <w:rFonts w:ascii="Times New Roman" w:eastAsia="宋体" w:hAnsi="Times New Roman" w:cs="Times New Roman"/>
                <w:kern w:val="2"/>
                <w:sz w:val="15"/>
                <w:szCs w:val="15"/>
              </w:rPr>
              <w:t>1.2m</w:t>
            </w:r>
            <w:r>
              <w:rPr>
                <w:rFonts w:ascii="Times New Roman" w:eastAsia="宋体" w:hAnsi="Times New Roman" w:cs="Times New Roman"/>
                <w:kern w:val="2"/>
                <w:sz w:val="15"/>
                <w:szCs w:val="15"/>
              </w:rPr>
              <w:t>；两侧与墙的距离不应小于</w:t>
            </w:r>
            <w:r>
              <w:rPr>
                <w:rFonts w:ascii="Times New Roman" w:eastAsia="宋体" w:hAnsi="Times New Roman" w:cs="Times New Roman"/>
                <w:kern w:val="2"/>
                <w:sz w:val="15"/>
                <w:szCs w:val="15"/>
              </w:rPr>
              <w:t>0.5m</w:t>
            </w:r>
            <w:r>
              <w:rPr>
                <w:rFonts w:ascii="Times New Roman" w:eastAsia="宋体" w:hAnsi="Times New Roman" w:cs="Times New Roman"/>
                <w:kern w:val="2"/>
                <w:sz w:val="15"/>
                <w:szCs w:val="15"/>
              </w:rPr>
              <w:t>；正面与墙的距离不应小于</w:t>
            </w:r>
            <w:r>
              <w:rPr>
                <w:rFonts w:ascii="Times New Roman" w:eastAsia="宋体" w:hAnsi="Times New Roman" w:cs="Times New Roman"/>
                <w:kern w:val="2"/>
                <w:sz w:val="15"/>
                <w:szCs w:val="15"/>
              </w:rPr>
              <w:t>1.2m</w:t>
            </w:r>
            <w:r>
              <w:rPr>
                <w:rFonts w:ascii="Times New Roman" w:eastAsia="宋体" w:hAnsi="Times New Roman" w:cs="Times New Roman"/>
                <w:kern w:val="2"/>
                <w:sz w:val="15"/>
                <w:szCs w:val="15"/>
              </w:rPr>
              <w:t>；报警阀组凸出部位之间的距离不应小于</w:t>
            </w:r>
            <w:r>
              <w:rPr>
                <w:rFonts w:ascii="Times New Roman" w:eastAsia="宋体" w:hAnsi="Times New Roman" w:cs="Times New Roman"/>
                <w:kern w:val="2"/>
                <w:sz w:val="15"/>
                <w:szCs w:val="15"/>
              </w:rPr>
              <w:t>0.5m</w:t>
            </w:r>
            <w:r>
              <w:rPr>
                <w:rFonts w:ascii="Times New Roman" w:eastAsia="宋体" w:hAnsi="Times New Roman" w:cs="Times New Roman"/>
                <w:kern w:val="2"/>
                <w:sz w:val="15"/>
                <w:szCs w:val="15"/>
              </w:rPr>
              <w:t>。安装报警阀组的室内地面应有排水设施，排水能力应满足报警阀调试、验收和利用试水阀门泄空系统管道的要求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打开系统流量压力检测装置放水阀，测试的流量、压力应符合设计要求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水力警铃的设置位置应正确。测试时，水力警铃喷嘴处压力不应小于</w:t>
            </w:r>
            <w:r>
              <w:rPr>
                <w:rFonts w:ascii="Times New Roman" w:eastAsia="宋体" w:hAnsi="Times New Roman" w:cs="Times New Roman"/>
                <w:kern w:val="2"/>
                <w:sz w:val="15"/>
                <w:szCs w:val="15"/>
              </w:rPr>
              <w:t>0.05MPa</w:t>
            </w:r>
            <w:r>
              <w:rPr>
                <w:rFonts w:ascii="Times New Roman" w:eastAsia="宋体" w:hAnsi="Times New Roman" w:cs="Times New Roman"/>
                <w:kern w:val="2"/>
                <w:sz w:val="15"/>
                <w:szCs w:val="15"/>
              </w:rPr>
              <w:t>，且距水力警铃</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远处警铃声声强不应小于</w:t>
            </w:r>
            <w:r>
              <w:rPr>
                <w:rFonts w:ascii="Times New Roman" w:eastAsia="宋体" w:hAnsi="Times New Roman" w:cs="Times New Roman"/>
                <w:kern w:val="2"/>
                <w:sz w:val="15"/>
                <w:szCs w:val="15"/>
              </w:rPr>
              <w:t>70dB</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打开手动试水阀或电磁阀时，雨淋阀组动作应可靠</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控制阀均应锁定在常开位置</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与空气压缩机或火灾自动报警系统的联动控制，应符合设计要求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打开末端试</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放</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水装置，当流量达到报警阀动作流量时，湿式报警阀和压力开关应及时动作，带延迟器的报警阀应在</w:t>
            </w:r>
            <w:r>
              <w:rPr>
                <w:rFonts w:ascii="Times New Roman" w:eastAsia="宋体" w:hAnsi="Times New Roman" w:cs="Times New Roman"/>
                <w:kern w:val="2"/>
                <w:sz w:val="15"/>
                <w:szCs w:val="15"/>
              </w:rPr>
              <w:t>90s</w:t>
            </w:r>
            <w:r>
              <w:rPr>
                <w:rFonts w:ascii="Times New Roman" w:eastAsia="宋体" w:hAnsi="Times New Roman" w:cs="Times New Roman"/>
                <w:kern w:val="2"/>
                <w:sz w:val="15"/>
                <w:szCs w:val="15"/>
              </w:rPr>
              <w:t>内压力开关动作，不带延迟器的报警阀应在</w:t>
            </w:r>
            <w:r>
              <w:rPr>
                <w:rFonts w:ascii="Times New Roman" w:eastAsia="宋体" w:hAnsi="Times New Roman" w:cs="Times New Roman"/>
                <w:kern w:val="2"/>
                <w:sz w:val="15"/>
                <w:szCs w:val="15"/>
              </w:rPr>
              <w:t>15s</w:t>
            </w:r>
            <w:r>
              <w:rPr>
                <w:rFonts w:ascii="Times New Roman" w:eastAsia="宋体" w:hAnsi="Times New Roman" w:cs="Times New Roman"/>
                <w:kern w:val="2"/>
                <w:sz w:val="15"/>
                <w:szCs w:val="15"/>
              </w:rPr>
              <w:t>内压力开关动作</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雨淋报警阀动作后</w:t>
            </w:r>
            <w:r>
              <w:rPr>
                <w:rFonts w:ascii="Times New Roman" w:eastAsia="宋体" w:hAnsi="Times New Roman" w:cs="Times New Roman"/>
                <w:kern w:val="2"/>
                <w:sz w:val="15"/>
                <w:szCs w:val="15"/>
              </w:rPr>
              <w:t>15s</w:t>
            </w:r>
            <w:r>
              <w:rPr>
                <w:rFonts w:ascii="Times New Roman" w:eastAsia="宋体" w:hAnsi="Times New Roman" w:cs="Times New Roman"/>
                <w:kern w:val="2"/>
                <w:sz w:val="15"/>
                <w:szCs w:val="15"/>
              </w:rPr>
              <w:t>内压力开关动作</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其他组件验收</w:t>
      </w:r>
    </w:p>
    <w:p w:rsidR="009846C2" w:rsidRDefault="00A433A0">
      <w:pPr>
        <w:pStyle w:val="af1"/>
        <w:widowControl w:val="0"/>
        <w:numPr>
          <w:ilvl w:val="0"/>
          <w:numId w:val="71"/>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lastRenderedPageBreak/>
        <w:t>检查数量：全数检查。</w:t>
      </w:r>
    </w:p>
    <w:p w:rsidR="009846C2" w:rsidRDefault="00A433A0">
      <w:pPr>
        <w:pStyle w:val="af1"/>
        <w:widowControl w:val="0"/>
        <w:numPr>
          <w:ilvl w:val="0"/>
          <w:numId w:val="71"/>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 xml:space="preserve"> 5.3.8</w:t>
      </w:r>
      <w:r>
        <w:rPr>
          <w:rFonts w:ascii="Times New Roman" w:eastAsia="宋体" w:hAnsi="Times New Roman" w:cs="Times New Roman"/>
          <w:kern w:val="2"/>
          <w:sz w:val="21"/>
          <w:szCs w:val="21"/>
        </w:rPr>
        <w:t>。</w:t>
      </w:r>
    </w:p>
    <w:p w:rsidR="009846C2" w:rsidRDefault="009846C2">
      <w:pPr>
        <w:pStyle w:val="af1"/>
        <w:widowControl w:val="0"/>
        <w:tabs>
          <w:tab w:val="left" w:pos="0"/>
        </w:tabs>
        <w:topLinePunct/>
        <w:spacing w:line="360" w:lineRule="exact"/>
        <w:ind w:left="420" w:firstLineChars="0" w:firstLine="0"/>
        <w:jc w:val="both"/>
        <w:rPr>
          <w:rFonts w:ascii="Times New Roman" w:eastAsia="宋体" w:hAnsi="Times New Roman" w:cs="Times New Roman"/>
          <w:kern w:val="2"/>
          <w:sz w:val="21"/>
          <w:szCs w:val="21"/>
        </w:rPr>
      </w:pP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5.3.8</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其他组件验收标准和验收方法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水流指示器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水流指示器应使电器元件部位竖直安装在水平管道上侧，其动作方向应和水流方向一致</w:t>
            </w:r>
            <w:r>
              <w:rPr>
                <w:rFonts w:ascii="Times New Roman" w:eastAsia="宋体" w:hAnsi="Times New Roman" w:cs="Times New Roman"/>
                <w:kern w:val="2"/>
                <w:sz w:val="15"/>
                <w:szCs w:val="15"/>
              </w:rPr>
              <w:t xml:space="preserve"> </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控制阀</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安装方向应正确，控制阀内应清洁、无堵塞、无渗漏；主要控制阀应加设启闭标志；隐蔽处的控制阀应在明显处设有指示其位置的标志</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压力开关</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压力开关应竖直安装在通往水力警铃的管道上。</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水力警铃</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水力警铃应安装在公共通道或值班室附近的外墙上，且应安装检修、测试用的阀门。水力警铃和报警阀的连接应采用热镀锌钢管，当镀锌钢管的公称直径为</w:t>
            </w:r>
            <w:r>
              <w:rPr>
                <w:rFonts w:ascii="Times New Roman" w:eastAsia="宋体" w:hAnsi="Times New Roman" w:cs="Times New Roman"/>
                <w:kern w:val="2"/>
                <w:sz w:val="15"/>
                <w:szCs w:val="15"/>
              </w:rPr>
              <w:t>20mm</w:t>
            </w:r>
            <w:r>
              <w:rPr>
                <w:rFonts w:ascii="Times New Roman" w:eastAsia="宋体" w:hAnsi="Times New Roman" w:cs="Times New Roman"/>
                <w:kern w:val="2"/>
                <w:sz w:val="15"/>
                <w:szCs w:val="15"/>
              </w:rPr>
              <w:t>时，其长度不宜大于</w:t>
            </w:r>
            <w:r>
              <w:rPr>
                <w:rFonts w:ascii="Times New Roman" w:eastAsia="宋体" w:hAnsi="Times New Roman" w:cs="Times New Roman"/>
                <w:kern w:val="2"/>
                <w:sz w:val="15"/>
                <w:szCs w:val="15"/>
              </w:rPr>
              <w:t>20m</w:t>
            </w:r>
            <w:r>
              <w:rPr>
                <w:rFonts w:ascii="Times New Roman" w:eastAsia="宋体" w:hAnsi="Times New Roman" w:cs="Times New Roman"/>
                <w:kern w:val="2"/>
                <w:sz w:val="15"/>
                <w:szCs w:val="15"/>
              </w:rPr>
              <w:t>；安装后的水力警铃启动时，警铃声强度应不小于</w:t>
            </w:r>
            <w:r>
              <w:rPr>
                <w:rFonts w:ascii="Times New Roman" w:eastAsia="宋体" w:hAnsi="Times New Roman" w:cs="Times New Roman"/>
                <w:kern w:val="2"/>
                <w:sz w:val="15"/>
                <w:szCs w:val="15"/>
              </w:rPr>
              <w:t>70dB</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末端试水装置和试水阀</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应安装在便于检查、试验、并应有相应排水能力的排水设施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信号阀</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应安装在水流指示器前的管道上，与水流指示器之间的距离不宜小于</w:t>
            </w:r>
            <w:r>
              <w:rPr>
                <w:rFonts w:ascii="Times New Roman" w:eastAsia="宋体" w:hAnsi="Times New Roman" w:cs="Times New Roman"/>
                <w:kern w:val="2"/>
                <w:sz w:val="15"/>
                <w:szCs w:val="15"/>
              </w:rPr>
              <w:t>300mm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7</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排气阀</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排气阀应安装在配水干管顶部、配水管的末管</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8</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压力开关、信号阀、水</w:t>
            </w:r>
            <w:r>
              <w:rPr>
                <w:rFonts w:ascii="Times New Roman" w:eastAsia="宋体" w:hAnsi="Times New Roman" w:cs="Times New Roman"/>
                <w:kern w:val="2"/>
                <w:sz w:val="15"/>
                <w:szCs w:val="15"/>
              </w:rPr>
              <w:lastRenderedPageBreak/>
              <w:t>流指示器的引出线</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应用防水套管锁定</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9</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多功能水泵控制阀</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水流方向应与供水管网水流方向一致</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宜水平安装，且阀盖向上</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安装自身不带压力表的多功能水泵控制阀时，应在其前后相邻部位安装压力表</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10</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倒流防止器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不应在倒流防止器的进口前安装过滤器或者使用带过滤器的倒流防止器</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宜安装在水平位置，当竖直安装时，排水口应配备专用弯头</w:t>
            </w: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倒流防止器两端应分别安装闸阀，而且至少有一端应安装挠性接头</w:t>
            </w: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倒流防止器上的泄水阀不宜反向安装，泄水阀应采取间接排水方式，其排水管不应直接与排水管（沟）连接</w:t>
            </w: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417"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widowControl w:val="0"/>
        <w:numPr>
          <w:ilvl w:val="0"/>
          <w:numId w:val="68"/>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系统模拟灭火功能试验</w:t>
      </w:r>
    </w:p>
    <w:p w:rsidR="009846C2" w:rsidRDefault="00A433A0">
      <w:pPr>
        <w:pStyle w:val="af1"/>
        <w:widowControl w:val="0"/>
        <w:numPr>
          <w:ilvl w:val="0"/>
          <w:numId w:val="7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7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 xml:space="preserve"> 5.3.9</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5.3.9</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系统模拟灭火功能试验验收标准和验收方法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系统模拟灭火功能试验</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报警阀动作，水力警铃应鸣响</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水流指示器动作，应有反馈信号显示</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压力开关动作，应启动消防水泵及与其联动的相关设备，并应有反馈信号显示</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电磁阀打开，雨淋阀应开启，并应有反馈信号显示</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消防水泵启动后，应有反馈信号显示</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加速器动作后，应有反馈信号显示</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其他消防联动控制设备启动后，应有反馈信号显示</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宋体" w:hAnsi="Times New Roman" w:cs="Times New Roman"/>
                <w:kern w:val="2"/>
                <w:sz w:val="15"/>
                <w:szCs w:val="15"/>
              </w:rPr>
            </w:pPr>
          </w:p>
        </w:tc>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泡沫灭火系统</w:t>
      </w:r>
    </w:p>
    <w:p w:rsidR="009846C2" w:rsidRDefault="00A433A0" w:rsidP="007974B4">
      <w:pPr>
        <w:pStyle w:val="af1"/>
        <w:widowControl w:val="0"/>
        <w:numPr>
          <w:ilvl w:val="0"/>
          <w:numId w:val="73"/>
        </w:numPr>
        <w:tabs>
          <w:tab w:val="left" w:pos="0"/>
        </w:tabs>
        <w:topLinePunct/>
        <w:spacing w:beforeLines="100"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泡沫灭火系统</w:t>
      </w:r>
    </w:p>
    <w:p w:rsidR="009846C2" w:rsidRDefault="00A433A0">
      <w:pPr>
        <w:pStyle w:val="af1"/>
        <w:widowControl w:val="0"/>
        <w:numPr>
          <w:ilvl w:val="0"/>
          <w:numId w:val="74"/>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泡沫灭火系统验收系统功能验收不合格则判定为系统不合格。</w:t>
      </w:r>
    </w:p>
    <w:p w:rsidR="009846C2" w:rsidRDefault="00A433A0">
      <w:pPr>
        <w:pStyle w:val="af1"/>
        <w:widowControl w:val="0"/>
        <w:numPr>
          <w:ilvl w:val="0"/>
          <w:numId w:val="74"/>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5.4.1</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5.4.1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泡沫灭火系统验收标准和验收方法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泡沫灭火系统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泡沫液储罐、泡沫比例混合器（装置）、泡沫产生装置、消防泵、泡沫消火栓、阀门、压力表、管道过滤器的规格、型号、数量、安装位置及安装质量应符合设计要求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管道及管件规格、型号、位置、坡向、坡度、连接方式及安装质量应符合设计要求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管道支、吊架、管墩位置、间距及牢固程度应符合设计要求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管道穿楼板、防火墙、变形缝处的套管尺寸和空隙的填充材料及穿变形缝时采取的保护措施应符合设计要求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管道和设备的防腐涂料种类、颜色、涂层</w:t>
            </w:r>
            <w:r>
              <w:rPr>
                <w:rFonts w:ascii="Times New Roman" w:eastAsia="宋体" w:hAnsi="Times New Roman" w:cs="Times New Roman"/>
                <w:kern w:val="2"/>
                <w:sz w:val="15"/>
                <w:szCs w:val="15"/>
              </w:rPr>
              <w:lastRenderedPageBreak/>
              <w:t>质量及防腐层的层数、厚度应符合设计要求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lastRenderedPageBreak/>
              <w:t>核对设计文</w:t>
            </w:r>
            <w:r>
              <w:rPr>
                <w:rFonts w:ascii="Times New Roman" w:eastAsiaTheme="minorEastAsia" w:hAnsi="Times New Roman" w:cs="Times New Roman"/>
                <w:kern w:val="2"/>
                <w:sz w:val="15"/>
                <w:szCs w:val="15"/>
              </w:rPr>
              <w:lastRenderedPageBreak/>
              <w:t>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消防泵房的位置和耐火等级、水池或水罐的容量及补水设施、天然水源水质和枯水期最低水位时确保用水量的措施等应符合设计要求；水位指示标志应明显</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电源负荷级别、备用动力的容量、电气设备的规格、型号、数量及安装质量应符合设计要求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低、中倍数泡沫灭火系统喷泡沫试验应满足以下要求：混合比、发泡倍数、到最远防护区或储罐的时间和湿式式联用系统水与泡沫的转换时间应符合设计要求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查看调试记录、检测证明文件</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高倍数泡沫灭火系统喷泡沫试验应满足以下要求：混合比、泡沫供给速率和自接到火灾模拟信号至开始喷泡沫的时间应符合设计要求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查看调试记录、检测证明文件</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Theme="minorEastAsia" w:hAnsi="Times New Roman"/>
          <w:kern w:val="2"/>
          <w:sz w:val="28"/>
          <w:szCs w:val="28"/>
        </w:rPr>
      </w:pPr>
      <w:r>
        <w:rPr>
          <w:rFonts w:ascii="Times New Roman" w:eastAsia="黑体" w:hAnsi="Times New Roman"/>
          <w:b w:val="0"/>
          <w:kern w:val="2"/>
          <w:sz w:val="21"/>
        </w:rPr>
        <w:t>气体灭火系统</w:t>
      </w:r>
    </w:p>
    <w:p w:rsidR="009846C2" w:rsidRDefault="00A433A0">
      <w:pPr>
        <w:pStyle w:val="af1"/>
        <w:widowControl w:val="0"/>
        <w:numPr>
          <w:ilvl w:val="2"/>
          <w:numId w:val="75"/>
        </w:numPr>
        <w:tabs>
          <w:tab w:val="left" w:pos="0"/>
        </w:tabs>
        <w:topLinePunct/>
        <w:spacing w:line="360" w:lineRule="exact"/>
        <w:ind w:firstLineChars="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气体灭火系统</w:t>
      </w:r>
    </w:p>
    <w:p w:rsidR="009846C2" w:rsidRDefault="00A433A0">
      <w:pPr>
        <w:pStyle w:val="af1"/>
        <w:numPr>
          <w:ilvl w:val="0"/>
          <w:numId w:val="76"/>
        </w:numPr>
        <w:tabs>
          <w:tab w:val="left" w:pos="0"/>
        </w:tabs>
        <w:topLinePunct/>
        <w:spacing w:line="360" w:lineRule="exact"/>
        <w:ind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w:t>
      </w:r>
    </w:p>
    <w:p w:rsidR="009846C2" w:rsidRDefault="00A433A0">
      <w:pPr>
        <w:pStyle w:val="af1"/>
        <w:numPr>
          <w:ilvl w:val="0"/>
          <w:numId w:val="77"/>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储存容器内的灭火剂重装量和储存压力</w:t>
      </w:r>
      <w:r>
        <w:rPr>
          <w:rFonts w:ascii="Times New Roman" w:eastAsiaTheme="minorEastAsia" w:hAnsi="Times New Roman" w:cs="Times New Roman"/>
          <w:kern w:val="2"/>
          <w:sz w:val="21"/>
          <w:szCs w:val="21"/>
        </w:rPr>
        <w:t xml:space="preserve">: </w:t>
      </w:r>
      <w:r>
        <w:rPr>
          <w:rFonts w:ascii="Times New Roman" w:eastAsiaTheme="minorEastAsia" w:hAnsi="Times New Roman" w:cs="Times New Roman"/>
          <w:kern w:val="2"/>
          <w:sz w:val="21"/>
          <w:szCs w:val="21"/>
        </w:rPr>
        <w:t>称重检查按储存容器全数（不足</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个的按</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个计）的</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检查；储存压力检查按储存容器全数检查；低压二氧化碳储存容器按全数检查。</w:t>
      </w:r>
    </w:p>
    <w:p w:rsidR="009846C2" w:rsidRDefault="00A433A0">
      <w:pPr>
        <w:pStyle w:val="af1"/>
        <w:numPr>
          <w:ilvl w:val="0"/>
          <w:numId w:val="77"/>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模拟启动试验：按防护区或保护对象总数（不足</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个按</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个计）的</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检查。</w:t>
      </w:r>
    </w:p>
    <w:p w:rsidR="009846C2" w:rsidRDefault="00A433A0">
      <w:pPr>
        <w:pStyle w:val="af1"/>
        <w:numPr>
          <w:ilvl w:val="0"/>
          <w:numId w:val="77"/>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lastRenderedPageBreak/>
        <w:t>模拟喷气试验：组合分配系统应不少于</w:t>
      </w:r>
      <w:r>
        <w:rPr>
          <w:rFonts w:ascii="Times New Roman" w:eastAsiaTheme="minorEastAsia" w:hAnsi="Times New Roman" w:cs="Times New Roman"/>
          <w:kern w:val="2"/>
          <w:sz w:val="21"/>
          <w:szCs w:val="21"/>
        </w:rPr>
        <w:t>1</w:t>
      </w:r>
      <w:r>
        <w:rPr>
          <w:rFonts w:ascii="Times New Roman" w:eastAsiaTheme="minorEastAsia" w:hAnsi="Times New Roman" w:cs="Times New Roman"/>
          <w:kern w:val="2"/>
          <w:sz w:val="21"/>
          <w:szCs w:val="21"/>
        </w:rPr>
        <w:t>个防护区或保护对象，柜式气体灭火装置、热气溶胶灭火装置等预制灭火系统应各取</w:t>
      </w:r>
      <w:r>
        <w:rPr>
          <w:rFonts w:ascii="Times New Roman" w:eastAsiaTheme="minorEastAsia" w:hAnsi="Times New Roman" w:cs="Times New Roman"/>
          <w:kern w:val="2"/>
          <w:sz w:val="21"/>
          <w:szCs w:val="21"/>
        </w:rPr>
        <w:t>1</w:t>
      </w:r>
      <w:r>
        <w:rPr>
          <w:rFonts w:ascii="Times New Roman" w:eastAsiaTheme="minorEastAsia" w:hAnsi="Times New Roman" w:cs="Times New Roman"/>
          <w:kern w:val="2"/>
          <w:sz w:val="21"/>
          <w:szCs w:val="21"/>
        </w:rPr>
        <w:t>套。</w:t>
      </w:r>
    </w:p>
    <w:p w:rsidR="009846C2" w:rsidRDefault="00A433A0">
      <w:pPr>
        <w:pStyle w:val="af1"/>
        <w:numPr>
          <w:ilvl w:val="0"/>
          <w:numId w:val="77"/>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其余项全数检查</w:t>
      </w:r>
    </w:p>
    <w:p w:rsidR="009846C2" w:rsidRDefault="00A433A0">
      <w:pPr>
        <w:pStyle w:val="af1"/>
        <w:numPr>
          <w:ilvl w:val="0"/>
          <w:numId w:val="76"/>
        </w:numPr>
        <w:tabs>
          <w:tab w:val="left" w:pos="0"/>
        </w:tabs>
        <w:topLinePunct/>
        <w:spacing w:line="360" w:lineRule="exact"/>
        <w:ind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5.5.1</w:t>
      </w:r>
      <w:r>
        <w:rPr>
          <w:rFonts w:ascii="Times New Roman" w:eastAsiaTheme="minorEastAsia"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5.5.1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气体灭火系统验收标准和验收方法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防护区或保护对象与储存装置间验收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防护区或保护对象的位置、用途、划分、几何尺寸、开口、通风、环境温度、可燃物的种类、防护区围护结构的耐压、耐火极限及门、窗可自行关闭装置应符合设计要求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rPr>
          <w:trHeight w:val="750"/>
        </w:trPr>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防护区下列安全设施的设置应符合设计要求：防护区的疏散通道、疏散指示标志和应急照明装置；防护区内和入口处的声光报警装置、气体喷放指示灯、入口处的安全标志；无窗或固定窗扇的地上防护区和地下防护区的排气装置；门窗设有密封条的防护区的泄压装置；专用的空气呼吸器或氧气呼吸器</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rPr>
          <w:trHeight w:val="750"/>
        </w:trPr>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储存装置间的位置、通道、耐火等级、应急照明装置、火灾报警控制装置及地下储存装置间机械排风装置应符合设计要求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现场检查、功能检查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火灾报警控制装置及联动设备应符合设计要求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现场检查、功能检查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设备和灭火剂输送管道验收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灭火剂储存容器的数量、型号和规格，位置与固定方式，油漆和标志，以及灭火剂储存容器的安装质量应符合设计要求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现场检查、测量检查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储存容器内的灭火剂充装量和储存压力应符合设计要求</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称重、液位计或压力计测量</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集流管的材料、规格、连接方式、布置及其泄压装置的泄压方向应符合设计要求</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同时还需满足以下要求：集流管上的泄压装置的泄压方向不应朝向操作面；连接储存容器与集流管间的单向阀的流向指示箭头应指向介质流动方向；集流管应固定在支、框架上，支、框架应固定牢靠，并做防腐处理；集流管外表面宜涂红色油漆</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选择阀及信号反馈装置的数量、型号、规格、位置、标志及其安装质量应符合设计要求</w:t>
            </w:r>
            <w:r>
              <w:rPr>
                <w:rFonts w:ascii="Times New Roman" w:eastAsiaTheme="minorEastAsia" w:hAnsi="Times New Roman" w:cs="Times New Roman"/>
                <w:kern w:val="2"/>
                <w:sz w:val="15"/>
                <w:szCs w:val="15"/>
              </w:rPr>
              <w:t>,</w:t>
            </w:r>
            <w:r>
              <w:rPr>
                <w:rFonts w:ascii="Times New Roman" w:hAnsi="Times New Roman" w:cs="Times New Roman"/>
                <w:kern w:val="2"/>
                <w:sz w:val="15"/>
                <w:szCs w:val="15"/>
              </w:rPr>
              <w:t xml:space="preserve"> </w:t>
            </w:r>
            <w:r>
              <w:rPr>
                <w:rFonts w:ascii="Times New Roman" w:eastAsiaTheme="minorEastAsia" w:hAnsi="Times New Roman" w:cs="Times New Roman"/>
                <w:kern w:val="2"/>
                <w:sz w:val="15"/>
                <w:szCs w:val="15"/>
              </w:rPr>
              <w:t>同时还需满足以下要求：选择阀操作手柄应安装在操作面一侧，当安装高度超过</w:t>
            </w:r>
            <w:r>
              <w:rPr>
                <w:rFonts w:ascii="Times New Roman" w:eastAsiaTheme="minorEastAsia" w:hAnsi="Times New Roman" w:cs="Times New Roman"/>
                <w:kern w:val="2"/>
                <w:sz w:val="15"/>
                <w:szCs w:val="15"/>
              </w:rPr>
              <w:t>1.7m</w:t>
            </w:r>
            <w:r>
              <w:rPr>
                <w:rFonts w:ascii="Times New Roman" w:eastAsiaTheme="minorEastAsia" w:hAnsi="Times New Roman" w:cs="Times New Roman"/>
                <w:kern w:val="2"/>
                <w:sz w:val="15"/>
                <w:szCs w:val="15"/>
              </w:rPr>
              <w:t>时应采取便于操作的措施；选择阀的流向指示箭头应指向介质流动方向；选择阀上应设置标明防护区或保护对象名称或编号的永久性标志牌，并应便于观察</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阀驱动装置的数量、型号、规格和标志，安装位置，气动驱动装置中驱动气瓶的介质名称和充装压力，以及气动驱动装置管道的规格、布置和连接方式应符合设计要求和</w:t>
            </w:r>
            <w:r>
              <w:rPr>
                <w:rFonts w:ascii="Times New Roman" w:eastAsiaTheme="minorEastAsia" w:hAnsi="Times New Roman" w:cs="Times New Roman"/>
                <w:kern w:val="2"/>
                <w:sz w:val="15"/>
                <w:szCs w:val="15"/>
              </w:rPr>
              <w:t xml:space="preserve">GB 50263-2007 </w:t>
            </w:r>
            <w:r>
              <w:rPr>
                <w:rFonts w:ascii="Times New Roman" w:eastAsiaTheme="minorEastAsia" w:hAnsi="Times New Roman" w:cs="Times New Roman"/>
                <w:kern w:val="2"/>
                <w:sz w:val="15"/>
                <w:szCs w:val="15"/>
              </w:rPr>
              <w:t>第</w:t>
            </w:r>
            <w:r>
              <w:rPr>
                <w:rFonts w:ascii="Times New Roman" w:eastAsiaTheme="minorEastAsia" w:hAnsi="Times New Roman" w:cs="Times New Roman"/>
                <w:kern w:val="2"/>
                <w:sz w:val="15"/>
                <w:szCs w:val="15"/>
              </w:rPr>
              <w:t>5.4</w:t>
            </w:r>
            <w:r>
              <w:rPr>
                <w:rFonts w:ascii="Times New Roman" w:eastAsiaTheme="minorEastAsia" w:hAnsi="Times New Roman" w:cs="Times New Roman"/>
                <w:kern w:val="2"/>
                <w:sz w:val="15"/>
                <w:szCs w:val="15"/>
              </w:rPr>
              <w:t>节的有关规定</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驱动气瓶和选择阀的机械应急手动操作处，均应有标明对应防护区或保护对象名称的永久标志；驱动气瓶的机械应急操作装置均应设安全销并加铅封，现场手动启动按钮</w:t>
            </w:r>
            <w:r>
              <w:rPr>
                <w:rFonts w:ascii="Times New Roman" w:eastAsiaTheme="minorEastAsia" w:hAnsi="Times New Roman" w:cs="Times New Roman"/>
                <w:kern w:val="2"/>
                <w:sz w:val="15"/>
                <w:szCs w:val="15"/>
              </w:rPr>
              <w:lastRenderedPageBreak/>
              <w:t>应有防护罩</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灭火剂输送管道的布置与连接方式、支架和吊架的位置及间距、穿过建筑构件及其变形缝的处理、各管段和附件的型号规格以及防腐处理和涂刷油漆颜色，应符合设计要求和</w:t>
            </w:r>
            <w:r>
              <w:rPr>
                <w:rFonts w:ascii="Times New Roman" w:eastAsiaTheme="minorEastAsia" w:hAnsi="Times New Roman" w:cs="Times New Roman"/>
                <w:kern w:val="2"/>
                <w:sz w:val="15"/>
                <w:szCs w:val="15"/>
              </w:rPr>
              <w:t xml:space="preserve">GB 50263-2007 </w:t>
            </w:r>
            <w:r>
              <w:rPr>
                <w:rFonts w:ascii="Times New Roman" w:eastAsiaTheme="minorEastAsia" w:hAnsi="Times New Roman" w:cs="Times New Roman"/>
                <w:kern w:val="2"/>
                <w:sz w:val="15"/>
                <w:szCs w:val="15"/>
              </w:rPr>
              <w:t>第</w:t>
            </w:r>
            <w:r>
              <w:rPr>
                <w:rFonts w:ascii="Times New Roman" w:eastAsiaTheme="minorEastAsia" w:hAnsi="Times New Roman" w:cs="Times New Roman"/>
                <w:kern w:val="2"/>
                <w:sz w:val="15"/>
                <w:szCs w:val="15"/>
              </w:rPr>
              <w:t>5.5</w:t>
            </w:r>
            <w:r>
              <w:rPr>
                <w:rFonts w:ascii="Times New Roman" w:eastAsiaTheme="minorEastAsia" w:hAnsi="Times New Roman" w:cs="Times New Roman"/>
                <w:kern w:val="2"/>
                <w:sz w:val="15"/>
                <w:szCs w:val="15"/>
              </w:rPr>
              <w:t>节的有关规定</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喷嘴的数量、型号、规格、安装位置和方向，应符合设计要求；安装在吊顶下的不带装饰罩的喷嘴，其连接管管端螺纹不应露出吊顶；安装在吊顶下的带装饰罩的喷嘴，其装饰罩应紧贴吊顶</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系统功能验收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系统功能验收时，应进行模拟启动试验，并合格</w:t>
            </w:r>
          </w:p>
        </w:tc>
        <w:tc>
          <w:tcPr>
            <w:tcW w:w="893" w:type="dxa"/>
            <w:vMerge w:val="restart"/>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系统功能验收时，应进行模拟喷气试验，并合格</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系统功能验收时，应对设有灭火剂备用量的系统进行模拟切换操作试验，并合格</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系统功能验收时，应对主、备用电源进行切换试验，并合格</w:t>
            </w:r>
          </w:p>
        </w:tc>
        <w:tc>
          <w:tcPr>
            <w:tcW w:w="893" w:type="dxa"/>
            <w:vMerge/>
            <w:vAlign w:val="center"/>
          </w:tcPr>
          <w:p w:rsidR="009846C2" w:rsidRDefault="009846C2">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排油注氮灭火系统</w:t>
      </w:r>
    </w:p>
    <w:p w:rsidR="009846C2" w:rsidRDefault="00A433A0" w:rsidP="007974B4">
      <w:pPr>
        <w:pStyle w:val="af1"/>
        <w:widowControl w:val="0"/>
        <w:numPr>
          <w:ilvl w:val="0"/>
          <w:numId w:val="78"/>
        </w:numPr>
        <w:tabs>
          <w:tab w:val="left" w:pos="0"/>
        </w:tabs>
        <w:topLinePunct/>
        <w:spacing w:beforeLines="100" w:line="360" w:lineRule="exact"/>
        <w:ind w:firstLineChars="0"/>
        <w:jc w:val="both"/>
        <w:rPr>
          <w:rFonts w:ascii="Times New Roman" w:eastAsia="宋体" w:hAnsi="Times New Roman" w:cs="Times New Roman"/>
          <w:kern w:val="2"/>
          <w:sz w:val="21"/>
        </w:rPr>
      </w:pPr>
      <w:r>
        <w:rPr>
          <w:rFonts w:ascii="Times New Roman" w:eastAsia="宋体" w:hAnsi="Times New Roman" w:cs="Times New Roman"/>
          <w:kern w:val="2"/>
          <w:sz w:val="21"/>
        </w:rPr>
        <w:t>排油注氮灭火系统验收</w:t>
      </w:r>
    </w:p>
    <w:p w:rsidR="009846C2" w:rsidRDefault="00A433A0">
      <w:pPr>
        <w:pStyle w:val="af1"/>
        <w:widowControl w:val="0"/>
        <w:numPr>
          <w:ilvl w:val="0"/>
          <w:numId w:val="79"/>
        </w:numPr>
        <w:tabs>
          <w:tab w:val="left" w:pos="0"/>
        </w:tabs>
        <w:topLinePunct/>
        <w:spacing w:line="360" w:lineRule="exact"/>
        <w:ind w:leftChars="90" w:left="198"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79"/>
        </w:numPr>
        <w:tabs>
          <w:tab w:val="left" w:pos="0"/>
        </w:tabs>
        <w:topLinePunct/>
        <w:spacing w:line="360" w:lineRule="exact"/>
        <w:ind w:leftChars="90" w:left="198"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质量标准和验收方法：见表</w:t>
      </w:r>
      <w:r>
        <w:rPr>
          <w:rFonts w:ascii="Times New Roman" w:eastAsia="宋体" w:hAnsi="Times New Roman" w:cs="Times New Roman"/>
          <w:kern w:val="2"/>
          <w:sz w:val="21"/>
          <w:szCs w:val="21"/>
        </w:rPr>
        <w:t>5.6.1</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5.6.1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排油注氮灭火系统验收标准和验收方法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序号</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子项名称</w:t>
            </w:r>
          </w:p>
        </w:tc>
        <w:tc>
          <w:tcPr>
            <w:tcW w:w="2916"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验收标准</w:t>
            </w:r>
          </w:p>
        </w:tc>
        <w:tc>
          <w:tcPr>
            <w:tcW w:w="893"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验收方法</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类别</w:t>
            </w:r>
          </w:p>
        </w:tc>
        <w:tc>
          <w:tcPr>
            <w:tcW w:w="417" w:type="dxa"/>
            <w:vAlign w:val="center"/>
          </w:tcPr>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子项</w:t>
            </w:r>
          </w:p>
          <w:p w:rsidR="009846C2" w:rsidRDefault="00A433A0">
            <w:pPr>
              <w:topLinePunct/>
              <w:spacing w:line="240" w:lineRule="exact"/>
              <w:contextualSpacing/>
              <w:jc w:val="center"/>
              <w:rPr>
                <w:rFonts w:ascii="Times New Roman" w:eastAsia="宋体" w:hAnsi="Times New Roman" w:cs="Times New Roman"/>
                <w:sz w:val="15"/>
                <w:szCs w:val="15"/>
              </w:rPr>
            </w:pPr>
            <w:r>
              <w:rPr>
                <w:rFonts w:ascii="Times New Roman" w:eastAsia="宋体" w:hAnsi="Times New Roman" w:cs="Times New Roman"/>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设备安装</w:t>
            </w: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排油管、注氮管的法兰连接应采用耐油密封件</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排油管和注氮管伸向消防柜的水平管道应有</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的上升坡度</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储存容器的充装压力，储存容器的充装压力不应小于设计压力，并不应大于设计压力的</w:t>
            </w:r>
            <w:r>
              <w:rPr>
                <w:rFonts w:ascii="Times New Roman" w:eastAsia="宋体" w:hAnsi="Times New Roman" w:cs="Times New Roman"/>
                <w:kern w:val="2"/>
                <w:sz w:val="15"/>
                <w:szCs w:val="15"/>
              </w:rPr>
              <w:t>1.05</w:t>
            </w:r>
            <w:r>
              <w:rPr>
                <w:rFonts w:ascii="Times New Roman" w:eastAsia="宋体" w:hAnsi="Times New Roman" w:cs="Times New Roman"/>
                <w:kern w:val="2"/>
                <w:sz w:val="15"/>
                <w:szCs w:val="15"/>
              </w:rPr>
              <w:t>倍</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组件所有外露接口均应设有防护堵、盖，且封闭良好，接口螺纹和法兰密封面无损伤</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管道应固定牢靠，管道支、吊架的最大间距：</w:t>
            </w:r>
            <w:r>
              <w:rPr>
                <w:rFonts w:ascii="Times New Roman" w:eastAsia="宋体" w:hAnsi="Times New Roman" w:cs="Times New Roman"/>
                <w:kern w:val="2"/>
                <w:sz w:val="15"/>
                <w:szCs w:val="15"/>
              </w:rPr>
              <w:t>DN25mm</w:t>
            </w:r>
            <w:r>
              <w:rPr>
                <w:rFonts w:ascii="Times New Roman" w:eastAsia="宋体" w:hAnsi="Times New Roman" w:cs="Times New Roman"/>
                <w:kern w:val="2"/>
                <w:sz w:val="15"/>
                <w:szCs w:val="15"/>
              </w:rPr>
              <w:t>管道的支吊架最大间距为</w:t>
            </w:r>
            <w:r>
              <w:rPr>
                <w:rFonts w:ascii="Times New Roman" w:eastAsia="宋体" w:hAnsi="Times New Roman" w:cs="Times New Roman"/>
                <w:kern w:val="2"/>
                <w:sz w:val="15"/>
                <w:szCs w:val="15"/>
              </w:rPr>
              <w:t>2.1m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DN100mm</w:t>
            </w:r>
            <w:r>
              <w:rPr>
                <w:rFonts w:ascii="Times New Roman" w:eastAsia="宋体" w:hAnsi="Times New Roman" w:cs="Times New Roman"/>
                <w:kern w:val="2"/>
                <w:sz w:val="15"/>
                <w:szCs w:val="15"/>
              </w:rPr>
              <w:t>管道的支吊架最大间距</w:t>
            </w:r>
            <w:r>
              <w:rPr>
                <w:rFonts w:ascii="Times New Roman" w:eastAsia="宋体" w:hAnsi="Times New Roman" w:cs="Times New Roman"/>
                <w:kern w:val="2"/>
                <w:sz w:val="15"/>
                <w:szCs w:val="15"/>
              </w:rPr>
              <w:t>4.3m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DN150mm</w:t>
            </w:r>
            <w:r>
              <w:rPr>
                <w:rFonts w:ascii="Times New Roman" w:eastAsia="宋体" w:hAnsi="Times New Roman" w:cs="Times New Roman"/>
                <w:kern w:val="2"/>
                <w:sz w:val="15"/>
                <w:szCs w:val="15"/>
              </w:rPr>
              <w:t>管道的支吊件最大间距</w:t>
            </w:r>
            <w:r>
              <w:rPr>
                <w:rFonts w:ascii="Times New Roman" w:eastAsia="宋体" w:hAnsi="Times New Roman" w:cs="Times New Roman"/>
                <w:kern w:val="2"/>
                <w:sz w:val="15"/>
                <w:szCs w:val="15"/>
              </w:rPr>
              <w:t>5.2m</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注氮管、排油管、连接法兰及相关配件，当采用钢材时应采用可靠的防锈处理措施，现场焊接处应做可靠的二次防锈处理</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注氮管离地间隙不得小于</w:t>
            </w:r>
            <w:r>
              <w:rPr>
                <w:rFonts w:ascii="Times New Roman" w:eastAsia="宋体" w:hAnsi="Times New Roman" w:cs="Times New Roman"/>
                <w:kern w:val="2"/>
                <w:sz w:val="15"/>
                <w:szCs w:val="15"/>
              </w:rPr>
              <w:t>300mm</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消防柜正面的操作距离不应小于</w:t>
            </w:r>
            <w:r>
              <w:rPr>
                <w:rFonts w:ascii="Times New Roman" w:eastAsia="宋体" w:hAnsi="Times New Roman" w:cs="Times New Roman"/>
                <w:kern w:val="2"/>
                <w:sz w:val="15"/>
                <w:szCs w:val="15"/>
              </w:rPr>
              <w:t>1.5m</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模拟试验</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模拟排油动作试验响应正常</w:t>
            </w:r>
          </w:p>
        </w:tc>
        <w:tc>
          <w:tcPr>
            <w:tcW w:w="893"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模拟注氮动作试验响应正常</w:t>
            </w:r>
          </w:p>
        </w:tc>
        <w:tc>
          <w:tcPr>
            <w:tcW w:w="893" w:type="dxa"/>
          </w:tcPr>
          <w:p w:rsidR="009846C2" w:rsidRDefault="00A433A0">
            <w:pPr>
              <w:jc w:val="center"/>
              <w:rPr>
                <w:rFonts w:ascii="Times New Roman" w:hAnsi="Times New Roman"/>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模拟自动启动响应正常</w:t>
            </w:r>
          </w:p>
        </w:tc>
        <w:tc>
          <w:tcPr>
            <w:tcW w:w="893" w:type="dxa"/>
          </w:tcPr>
          <w:p w:rsidR="009846C2" w:rsidRDefault="00A433A0">
            <w:pPr>
              <w:jc w:val="center"/>
              <w:rPr>
                <w:rFonts w:ascii="Times New Roman" w:hAnsi="Times New Roman"/>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模拟手动启动响应正常</w:t>
            </w:r>
          </w:p>
        </w:tc>
        <w:tc>
          <w:tcPr>
            <w:tcW w:w="893" w:type="dxa"/>
          </w:tcPr>
          <w:p w:rsidR="009846C2" w:rsidRDefault="00A433A0">
            <w:pPr>
              <w:jc w:val="center"/>
              <w:rPr>
                <w:rFonts w:ascii="Times New Roman" w:hAnsi="Times New Roman"/>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超细干粉灭火系统</w:t>
      </w:r>
    </w:p>
    <w:p w:rsidR="009846C2" w:rsidRDefault="00A433A0" w:rsidP="007974B4">
      <w:pPr>
        <w:pStyle w:val="af1"/>
        <w:widowControl w:val="0"/>
        <w:numPr>
          <w:ilvl w:val="0"/>
          <w:numId w:val="80"/>
        </w:numPr>
        <w:tabs>
          <w:tab w:val="left" w:pos="0"/>
        </w:tabs>
        <w:topLinePunct/>
        <w:spacing w:beforeLines="100" w:line="360" w:lineRule="exact"/>
        <w:ind w:firstLineChars="0"/>
        <w:jc w:val="both"/>
        <w:rPr>
          <w:rFonts w:ascii="Times New Roman" w:eastAsia="宋体" w:hAnsi="Times New Roman" w:cs="Times New Roman"/>
          <w:kern w:val="2"/>
          <w:sz w:val="21"/>
        </w:rPr>
      </w:pPr>
      <w:r>
        <w:rPr>
          <w:rFonts w:ascii="Times New Roman" w:eastAsia="宋体" w:hAnsi="Times New Roman" w:cs="Times New Roman"/>
          <w:kern w:val="2"/>
          <w:sz w:val="21"/>
        </w:rPr>
        <w:t>超细干粉灭火系统验收</w:t>
      </w:r>
    </w:p>
    <w:p w:rsidR="009846C2" w:rsidRDefault="00A433A0">
      <w:pPr>
        <w:pStyle w:val="af1"/>
        <w:widowControl w:val="0"/>
        <w:numPr>
          <w:ilvl w:val="0"/>
          <w:numId w:val="81"/>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lastRenderedPageBreak/>
        <w:t>第</w:t>
      </w:r>
      <w:r>
        <w:rPr>
          <w:rFonts w:ascii="Times New Roman" w:eastAsia="宋体" w:hAnsi="Times New Roman" w:cs="Times New Roman"/>
          <w:kern w:val="2"/>
          <w:sz w:val="21"/>
          <w:szCs w:val="21"/>
        </w:rPr>
        <w:t>11</w:t>
      </w:r>
      <w:r>
        <w:rPr>
          <w:rFonts w:ascii="Times New Roman" w:eastAsia="宋体" w:hAnsi="Times New Roman" w:cs="Times New Roman"/>
          <w:kern w:val="2"/>
          <w:sz w:val="21"/>
          <w:szCs w:val="21"/>
        </w:rPr>
        <w:t>项、第</w:t>
      </w:r>
      <w:r>
        <w:rPr>
          <w:rFonts w:ascii="Times New Roman" w:eastAsia="宋体" w:hAnsi="Times New Roman" w:cs="Times New Roman"/>
          <w:kern w:val="2"/>
          <w:sz w:val="21"/>
          <w:szCs w:val="21"/>
        </w:rPr>
        <w:t>12</w:t>
      </w:r>
      <w:r>
        <w:rPr>
          <w:rFonts w:ascii="Times New Roman" w:eastAsia="宋体" w:hAnsi="Times New Roman" w:cs="Times New Roman"/>
          <w:kern w:val="2"/>
          <w:sz w:val="21"/>
          <w:szCs w:val="21"/>
        </w:rPr>
        <w:t>项</w:t>
      </w:r>
      <w:r>
        <w:rPr>
          <w:rFonts w:ascii="Times New Roman" w:eastAsia="宋体" w:hAnsi="Times New Roman" w:cs="Times New Roman"/>
          <w:kern w:val="2"/>
          <w:sz w:val="21"/>
          <w:szCs w:val="21"/>
        </w:rPr>
        <w:t>,</w:t>
      </w:r>
      <w:r>
        <w:rPr>
          <w:rFonts w:ascii="Times New Roman" w:eastAsia="宋体" w:hAnsi="Times New Roman" w:cs="Times New Roman"/>
          <w:kern w:val="2"/>
          <w:sz w:val="21"/>
          <w:szCs w:val="21"/>
        </w:rPr>
        <w:t>按数量抽查</w:t>
      </w:r>
      <w:r>
        <w:rPr>
          <w:rFonts w:ascii="Times New Roman" w:eastAsia="宋体" w:hAnsi="Times New Roman" w:cs="Times New Roman"/>
          <w:kern w:val="2"/>
          <w:sz w:val="21"/>
          <w:szCs w:val="21"/>
        </w:rPr>
        <w:t>20%</w:t>
      </w:r>
      <w:r>
        <w:rPr>
          <w:rFonts w:ascii="Times New Roman" w:eastAsia="宋体" w:hAnsi="Times New Roman" w:cs="Times New Roman"/>
          <w:kern w:val="2"/>
          <w:sz w:val="21"/>
          <w:szCs w:val="21"/>
        </w:rPr>
        <w:t>，不足</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具时按</w:t>
      </w:r>
      <w:r>
        <w:rPr>
          <w:rFonts w:ascii="Times New Roman" w:eastAsia="宋体" w:hAnsi="Times New Roman" w:cs="Times New Roman"/>
          <w:kern w:val="2"/>
          <w:sz w:val="21"/>
          <w:szCs w:val="21"/>
        </w:rPr>
        <w:t>1</w:t>
      </w:r>
      <w:r>
        <w:rPr>
          <w:rFonts w:ascii="Times New Roman" w:eastAsia="宋体" w:hAnsi="Times New Roman" w:cs="Times New Roman"/>
          <w:kern w:val="2"/>
          <w:sz w:val="21"/>
          <w:szCs w:val="21"/>
        </w:rPr>
        <w:t>具抽查。</w:t>
      </w:r>
    </w:p>
    <w:p w:rsidR="009846C2" w:rsidRDefault="00A433A0">
      <w:pPr>
        <w:pStyle w:val="af1"/>
        <w:widowControl w:val="0"/>
        <w:numPr>
          <w:ilvl w:val="0"/>
          <w:numId w:val="81"/>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第</w:t>
      </w:r>
      <w:r>
        <w:rPr>
          <w:rFonts w:ascii="Times New Roman" w:eastAsia="宋体" w:hAnsi="Times New Roman" w:cs="Times New Roman"/>
          <w:kern w:val="2"/>
          <w:sz w:val="21"/>
          <w:szCs w:val="21"/>
        </w:rPr>
        <w:t>13</w:t>
      </w:r>
      <w:r>
        <w:rPr>
          <w:rFonts w:ascii="Times New Roman" w:eastAsia="宋体" w:hAnsi="Times New Roman" w:cs="Times New Roman"/>
          <w:kern w:val="2"/>
          <w:sz w:val="21"/>
          <w:szCs w:val="21"/>
        </w:rPr>
        <w:t>项，组合分配系统应不少于</w:t>
      </w:r>
      <w:r>
        <w:rPr>
          <w:rFonts w:ascii="Times New Roman" w:eastAsia="宋体" w:hAnsi="Times New Roman" w:cs="Times New Roman"/>
          <w:kern w:val="2"/>
          <w:sz w:val="21"/>
          <w:szCs w:val="21"/>
        </w:rPr>
        <w:t>1</w:t>
      </w:r>
      <w:r>
        <w:rPr>
          <w:rFonts w:ascii="Times New Roman" w:eastAsia="宋体" w:hAnsi="Times New Roman" w:cs="Times New Roman"/>
          <w:kern w:val="2"/>
          <w:sz w:val="21"/>
          <w:szCs w:val="21"/>
        </w:rPr>
        <w:t>个防护区或保护对象，柜式超细干粉灭火装置等预制灭火系统不少于</w:t>
      </w:r>
      <w:r>
        <w:rPr>
          <w:rFonts w:ascii="Times New Roman" w:eastAsia="宋体" w:hAnsi="Times New Roman" w:cs="Times New Roman"/>
          <w:kern w:val="2"/>
          <w:sz w:val="21"/>
          <w:szCs w:val="21"/>
        </w:rPr>
        <w:t>1</w:t>
      </w:r>
      <w:r>
        <w:rPr>
          <w:rFonts w:ascii="Times New Roman" w:eastAsia="宋体" w:hAnsi="Times New Roman" w:cs="Times New Roman"/>
          <w:kern w:val="2"/>
          <w:sz w:val="21"/>
          <w:szCs w:val="21"/>
        </w:rPr>
        <w:t>套。</w:t>
      </w:r>
    </w:p>
    <w:p w:rsidR="009846C2" w:rsidRDefault="00A433A0">
      <w:pPr>
        <w:pStyle w:val="af1"/>
        <w:widowControl w:val="0"/>
        <w:numPr>
          <w:ilvl w:val="0"/>
          <w:numId w:val="81"/>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其余全数检查。</w:t>
      </w:r>
    </w:p>
    <w:p w:rsidR="009846C2" w:rsidRDefault="00A433A0">
      <w:pPr>
        <w:pStyle w:val="af1"/>
        <w:widowControl w:val="0"/>
        <w:numPr>
          <w:ilvl w:val="0"/>
          <w:numId w:val="81"/>
        </w:numPr>
        <w:tabs>
          <w:tab w:val="left" w:pos="0"/>
        </w:tabs>
        <w:topLinePunct/>
        <w:spacing w:line="360" w:lineRule="exact"/>
        <w:ind w:left="0"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质量标准和验收方法：见表</w:t>
      </w:r>
      <w:r>
        <w:rPr>
          <w:rFonts w:ascii="Times New Roman" w:eastAsia="宋体" w:hAnsi="Times New Roman" w:cs="Times New Roman"/>
          <w:kern w:val="2"/>
          <w:sz w:val="21"/>
          <w:szCs w:val="21"/>
        </w:rPr>
        <w:t>5.7.1</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5.7.1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超细干粉灭火系统验收标准和验收方法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验收项目</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防护区</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防护区或保护对象的位置、用途、划分、几何尺寸、开口、通风、环境温度、可燃物的种类、防护区围护结构的耐压、耐火极限及门、窗可自行关闭装置应符合设计要求。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防护区的安全设施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护区的疏散通道、疏散指示标志和应急照明装置；入口处和防护区内的声光报警装置、入口处灭火剂释放指示灯、安全标志；无窗或固定窗扇的地上防护区和地下防护区的排气装置；门窗设有密封条的防护区的泄压口</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贮存装置间</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贮存装置间的位置、通道、耐火等级、应急照明装置应符合设计要求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火警控制系统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火灾报警控制系统及联动控制系统的安装位置及安装质量应符合设计要求。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驱动装置</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阀的数量、型号、规格、标志、安装位置，气动驱动装置中驱动气瓶的介质和充装压力，以及气动驱动装置管道的规格、布置和连接方式应符合管网灭火系统的安装要求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集流管</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集流管的材料、规格、连接方式、布置及泄压装置的泄压方向应符合集流管的安装要</w:t>
            </w:r>
            <w:r>
              <w:rPr>
                <w:rFonts w:ascii="Times New Roman" w:eastAsia="宋体" w:hAnsi="Times New Roman" w:cs="Times New Roman"/>
                <w:kern w:val="2"/>
                <w:sz w:val="15"/>
                <w:szCs w:val="15"/>
              </w:rPr>
              <w:lastRenderedPageBreak/>
              <w:t>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7</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灭火剂贮存容器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灭火剂贮存容器安装的位置、贮存容器安全阀泄压方向、贮存容器的支、框架、标志及其安装质量应符合设计要求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8</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选择阀及信号反馈装置</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选择阀及信号反馈装置的数量、型号、规格、位置、标志及其安装质量应符合设计要求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9</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灭火剂输送管道</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灭火剂输送管道的布置与连接方式，穿过建筑物构件及其变形缝的处理，支架和吊架的位置及间距，各管段和附件的型号规格以及防腐处理和涂刷油漆颜色，应符合设计要求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10</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喷头</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喷头的型号、规格、数量、安装位置和方向，应符合设计要求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11</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引发器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灭火装置的电引发器引出线的连接、热引发器引出线的连接、延时启动器的安装应符合安装要求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12</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模拟启动试验</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管网灭火系统及无管网灭火系统，功能验收时，应进行模拟启动试验，并合格</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13</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模拟喷射试验</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管网灭火系统及无管网灭火系统，功能验收时，应进行模拟喷射试验，并合格</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14</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模拟切换操作试验</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管网灭火系统功能验收，应对设有灭火剂备用量的系统进行模拟切换操作试验，并合格</w:t>
            </w: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15</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通风条件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地下防护区，无窗或固定窗扇的地上防护区，通风条件应符合设计要求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16</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声光报警及喷放指示灯</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当采用全淹没灭火方式时，防护区内及入口处应设置火灾声光报警器，防护区入口处</w:t>
            </w:r>
            <w:r>
              <w:rPr>
                <w:rFonts w:ascii="Times New Roman" w:eastAsia="宋体" w:hAnsi="Times New Roman" w:cs="Times New Roman"/>
                <w:kern w:val="2"/>
                <w:sz w:val="15"/>
                <w:szCs w:val="15"/>
              </w:rPr>
              <w:lastRenderedPageBreak/>
              <w:t>安装灭火喷放指示灯</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53"/>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lastRenderedPageBreak/>
        <w:t>建筑灭火器</w:t>
      </w:r>
    </w:p>
    <w:p w:rsidR="009846C2" w:rsidRDefault="00A433A0">
      <w:pPr>
        <w:pStyle w:val="af1"/>
        <w:widowControl w:val="0"/>
        <w:numPr>
          <w:ilvl w:val="2"/>
          <w:numId w:val="82"/>
        </w:numPr>
        <w:tabs>
          <w:tab w:val="left" w:pos="0"/>
        </w:tabs>
        <w:topLinePunct/>
        <w:spacing w:line="360" w:lineRule="exact"/>
        <w:ind w:firstLineChars="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建筑灭火器</w:t>
      </w:r>
    </w:p>
    <w:p w:rsidR="009846C2" w:rsidRDefault="00A433A0">
      <w:pPr>
        <w:pStyle w:val="af1"/>
        <w:numPr>
          <w:ilvl w:val="0"/>
          <w:numId w:val="83"/>
        </w:numPr>
        <w:tabs>
          <w:tab w:val="left" w:pos="0"/>
        </w:tabs>
        <w:topLinePunct/>
        <w:spacing w:line="360" w:lineRule="exact"/>
        <w:ind w:left="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检查数量：</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1</w:t>
      </w:r>
      <w:r>
        <w:rPr>
          <w:rFonts w:ascii="Times New Roman" w:eastAsiaTheme="minorEastAsia" w:hAnsi="Times New Roman" w:cs="Times New Roman"/>
          <w:kern w:val="2"/>
          <w:sz w:val="21"/>
          <w:szCs w:val="21"/>
        </w:rPr>
        <w:t>项：按照灭火器配置单元的总数，随机抽查</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％，并不得少于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个配置单元的，全数检查。歌舞娱乐放映游艺场所、甲乙类火灾危险性场所、文物保护单位，全数检查。</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2</w:t>
      </w:r>
      <w:r>
        <w:rPr>
          <w:rFonts w:ascii="Times New Roman" w:eastAsiaTheme="minorEastAsia" w:hAnsi="Times New Roman" w:cs="Times New Roman"/>
          <w:kern w:val="2"/>
          <w:sz w:val="21"/>
          <w:szCs w:val="21"/>
        </w:rPr>
        <w:t>项：随机抽查</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％，查看灭火器的外观质量。全数检查灭火器的合格手续。</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项：随机抽查</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4</w:t>
      </w:r>
      <w:r>
        <w:rPr>
          <w:rFonts w:ascii="Times New Roman" w:eastAsiaTheme="minorEastAsia" w:hAnsi="Times New Roman" w:cs="Times New Roman"/>
          <w:kern w:val="2"/>
          <w:sz w:val="21"/>
          <w:szCs w:val="21"/>
        </w:rPr>
        <w:t>项：按照灭火器配置单元的总数，随机抽查</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个配置单元的，全数检查。</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6</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8</w:t>
      </w:r>
      <w:r>
        <w:rPr>
          <w:rFonts w:ascii="Times New Roman" w:eastAsiaTheme="minorEastAsia" w:hAnsi="Times New Roman" w:cs="Times New Roman"/>
          <w:kern w:val="2"/>
          <w:sz w:val="21"/>
          <w:szCs w:val="21"/>
        </w:rPr>
        <w:t>项：随机抽查</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％，但不少于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个全数检查。</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7</w:t>
      </w:r>
      <w:r>
        <w:rPr>
          <w:rFonts w:ascii="Times New Roman" w:eastAsiaTheme="minorEastAsia" w:hAnsi="Times New Roman" w:cs="Times New Roman"/>
          <w:kern w:val="2"/>
          <w:sz w:val="21"/>
          <w:szCs w:val="21"/>
        </w:rPr>
        <w:t>项：随机抽查</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％，但不少于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个；少于</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个全数检查。</w:t>
      </w:r>
    </w:p>
    <w:p w:rsidR="009846C2" w:rsidRDefault="00A433A0">
      <w:pPr>
        <w:pStyle w:val="af1"/>
        <w:numPr>
          <w:ilvl w:val="0"/>
          <w:numId w:val="84"/>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其余项全数检查。</w:t>
      </w:r>
    </w:p>
    <w:p w:rsidR="009846C2" w:rsidRDefault="00A433A0">
      <w:pPr>
        <w:pStyle w:val="af1"/>
        <w:numPr>
          <w:ilvl w:val="0"/>
          <w:numId w:val="83"/>
        </w:numPr>
        <w:tabs>
          <w:tab w:val="left" w:pos="0"/>
        </w:tabs>
        <w:topLinePunct/>
        <w:spacing w:line="360" w:lineRule="exact"/>
        <w:ind w:left="0" w:firstLine="42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验收标准和验收方法：见表</w:t>
      </w:r>
      <w:r>
        <w:rPr>
          <w:rFonts w:ascii="Times New Roman" w:eastAsiaTheme="minorEastAsia" w:hAnsi="Times New Roman" w:cs="Times New Roman"/>
          <w:kern w:val="2"/>
          <w:sz w:val="21"/>
          <w:szCs w:val="21"/>
        </w:rPr>
        <w:t>5.8.1</w:t>
      </w:r>
      <w:r>
        <w:rPr>
          <w:rFonts w:ascii="Times New Roman" w:eastAsiaTheme="minorEastAsia"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5.8.1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建筑灭火器验收标准和验收方法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Align w:val="center"/>
          </w:tcPr>
          <w:p w:rsidR="009846C2" w:rsidRDefault="00A433A0">
            <w:pPr>
              <w:tabs>
                <w:tab w:val="left" w:pos="0"/>
              </w:tabs>
              <w:topLinePunct/>
              <w:spacing w:line="26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灭火器的类型、规格、灭火级别和</w:t>
            </w:r>
            <w:r>
              <w:rPr>
                <w:rFonts w:ascii="Times New Roman" w:eastAsiaTheme="minorEastAsia" w:hAnsi="Times New Roman" w:cs="Times New Roman"/>
                <w:kern w:val="2"/>
                <w:sz w:val="15"/>
                <w:szCs w:val="15"/>
              </w:rPr>
              <w:lastRenderedPageBreak/>
              <w:t>配置数量</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应符合建筑灭火器设计图纸要求。</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核对设计文件、现场检</w:t>
            </w:r>
            <w:r>
              <w:rPr>
                <w:rFonts w:ascii="Times New Roman" w:eastAsiaTheme="minorEastAsia" w:hAnsi="Times New Roman" w:cs="Times New Roman"/>
                <w:kern w:val="2"/>
                <w:sz w:val="15"/>
                <w:szCs w:val="15"/>
              </w:rPr>
              <w:lastRenderedPageBreak/>
              <w:t>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2</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灭火器的产品质量</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灭火器应有强制性产品认证证书（</w:t>
            </w:r>
            <w:r>
              <w:rPr>
                <w:rFonts w:ascii="Times New Roman" w:eastAsiaTheme="minorEastAsia" w:hAnsi="Times New Roman" w:cs="Times New Roman"/>
                <w:kern w:val="2"/>
                <w:sz w:val="15"/>
                <w:szCs w:val="15"/>
              </w:rPr>
              <w:t>3C</w:t>
            </w:r>
            <w:r>
              <w:rPr>
                <w:rFonts w:ascii="Times New Roman" w:eastAsiaTheme="minorEastAsia" w:hAnsi="Times New Roman" w:cs="Times New Roman"/>
                <w:kern w:val="2"/>
                <w:sz w:val="15"/>
                <w:szCs w:val="15"/>
              </w:rPr>
              <w:t>认证）、型式认可证书、出厂合格证；灭火器的铭牌、生产日期和维修日期等标志应齐全；灭火器筒体应无明显缺陷和机械损伤；</w:t>
            </w:r>
            <w:r>
              <w:rPr>
                <w:rFonts w:ascii="Times New Roman" w:eastAsiaTheme="minorEastAsia" w:hAnsi="Times New Roman" w:cs="Times New Roman"/>
                <w:kern w:val="2"/>
                <w:sz w:val="15"/>
                <w:szCs w:val="15"/>
              </w:rPr>
              <w:t xml:space="preserve"> </w:t>
            </w:r>
            <w:r>
              <w:rPr>
                <w:rFonts w:ascii="Times New Roman" w:eastAsiaTheme="minorEastAsia" w:hAnsi="Times New Roman" w:cs="Times New Roman"/>
                <w:kern w:val="2"/>
                <w:sz w:val="15"/>
                <w:szCs w:val="15"/>
              </w:rPr>
              <w:t>灭火器的保险装置应完好；灭火器压力指示器的指针应在绿区范围内；推车式灭火器的行驶机构应完好</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现场检查，查验产品有关质量证书</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3</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相容性</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在同一灭火器配置单元内，采用不同类型灭火器时，其灭火剂应能相容</w:t>
            </w:r>
          </w:p>
        </w:tc>
        <w:tc>
          <w:tcPr>
            <w:tcW w:w="893" w:type="dxa"/>
            <w:vAlign w:val="center"/>
          </w:tcPr>
          <w:p w:rsidR="009846C2" w:rsidRDefault="00A433A0">
            <w:pPr>
              <w:tabs>
                <w:tab w:val="left" w:pos="0"/>
              </w:tabs>
              <w:topLinePunct/>
              <w:spacing w:line="26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核对设计文件和灭火器铭牌，现场检查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4</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保护距离</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应符合现行国家标准《建筑灭火器配置设计规范》</w:t>
            </w:r>
            <w:r>
              <w:rPr>
                <w:rFonts w:ascii="Times New Roman" w:eastAsiaTheme="minorEastAsia" w:hAnsi="Times New Roman" w:cs="Times New Roman"/>
                <w:kern w:val="2"/>
                <w:sz w:val="15"/>
                <w:szCs w:val="15"/>
              </w:rPr>
              <w:t>GB 50140</w:t>
            </w:r>
            <w:r>
              <w:rPr>
                <w:rFonts w:ascii="Times New Roman" w:eastAsiaTheme="minorEastAsia" w:hAnsi="Times New Roman" w:cs="Times New Roman"/>
                <w:kern w:val="2"/>
                <w:sz w:val="15"/>
                <w:szCs w:val="15"/>
              </w:rPr>
              <w:t>第</w:t>
            </w:r>
            <w:r>
              <w:rPr>
                <w:rFonts w:ascii="Times New Roman" w:eastAsiaTheme="minorEastAsia" w:hAnsi="Times New Roman" w:cs="Times New Roman"/>
                <w:kern w:val="2"/>
                <w:sz w:val="15"/>
                <w:szCs w:val="15"/>
              </w:rPr>
              <w:t>5.2</w:t>
            </w:r>
            <w:r>
              <w:rPr>
                <w:rFonts w:ascii="Times New Roman" w:eastAsiaTheme="minorEastAsia" w:hAnsi="Times New Roman" w:cs="Times New Roman"/>
                <w:kern w:val="2"/>
                <w:sz w:val="15"/>
                <w:szCs w:val="15"/>
              </w:rPr>
              <w:t>节规定，灭火器的设置应保证配置场所的任一点都在灭火器设置点的保护范围内</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5</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灭火器的设置位置及放置要求</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灭火器设置点附近应无障碍物，取用灭火器方便，且不得影响人员安全疏散</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手提式灭火器宜设置在灭火器箱内或挂钩、托架上，或干燥、洁净的地面上</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6</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灭火器箱</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灭火器（箱）不应被遮挡、拴系或上锁</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灭火器箱的箱门开启应方便灵活，其箱门开启后不得阻挡人员安全疏散。开门型灭火器箱的箱门开启角度应不小于</w:t>
            </w:r>
            <w:r>
              <w:rPr>
                <w:rFonts w:ascii="Times New Roman" w:eastAsiaTheme="minorEastAsia" w:hAnsi="Times New Roman" w:cs="Times New Roman"/>
                <w:kern w:val="2"/>
                <w:sz w:val="15"/>
                <w:szCs w:val="15"/>
              </w:rPr>
              <w:t>175°</w:t>
            </w:r>
            <w:r>
              <w:rPr>
                <w:rFonts w:ascii="Times New Roman" w:eastAsiaTheme="minorEastAsia" w:hAnsi="Times New Roman" w:cs="Times New Roman"/>
                <w:kern w:val="2"/>
                <w:sz w:val="15"/>
                <w:szCs w:val="15"/>
              </w:rPr>
              <w:t>，翻盖型灭火器箱的翻盖开启角度应不小于</w:t>
            </w:r>
            <w:r>
              <w:rPr>
                <w:rFonts w:ascii="Times New Roman" w:eastAsiaTheme="minorEastAsia" w:hAnsi="Times New Roman" w:cs="Times New Roman"/>
                <w:kern w:val="2"/>
                <w:sz w:val="15"/>
                <w:szCs w:val="15"/>
              </w:rPr>
              <w:t>100°</w:t>
            </w:r>
            <w:r>
              <w:rPr>
                <w:rFonts w:ascii="Times New Roman" w:eastAsiaTheme="minorEastAsia" w:hAnsi="Times New Roman" w:cs="Times New Roman"/>
                <w:kern w:val="2"/>
                <w:sz w:val="15"/>
                <w:szCs w:val="15"/>
              </w:rPr>
              <w:t>，不影响取用和疏散的场合除外</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7</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灭火器的挂钩、托架设置要求</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挂钩、托架安装后，应保证可用徒手的方式便捷地取用手提式灭火器。当两具及两具以上的手提式灭火器相邻设置在挂钩、托架</w:t>
            </w:r>
            <w:r>
              <w:rPr>
                <w:rFonts w:ascii="Times New Roman" w:eastAsiaTheme="minorEastAsia" w:hAnsi="Times New Roman" w:cs="Times New Roman"/>
                <w:kern w:val="2"/>
                <w:sz w:val="15"/>
                <w:szCs w:val="15"/>
              </w:rPr>
              <w:lastRenderedPageBreak/>
              <w:t>上时，应保证可任意地取用其中一具</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8</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灭火器的设置高度要求</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嵌墙式灭火器箱及灭火器挂钩、托架的安装高度，手提式灭火器顶部离地面距离不大于</w:t>
            </w:r>
            <w:r>
              <w:rPr>
                <w:rFonts w:ascii="Times New Roman" w:eastAsiaTheme="minorEastAsia" w:hAnsi="Times New Roman" w:cs="Times New Roman"/>
                <w:kern w:val="2"/>
                <w:sz w:val="15"/>
                <w:szCs w:val="15"/>
              </w:rPr>
              <w:t>1.5m</w:t>
            </w:r>
            <w:r>
              <w:rPr>
                <w:rFonts w:ascii="Times New Roman" w:eastAsiaTheme="minorEastAsia" w:hAnsi="Times New Roman" w:cs="Times New Roman"/>
                <w:kern w:val="2"/>
                <w:sz w:val="15"/>
                <w:szCs w:val="15"/>
              </w:rPr>
              <w:t>，底部离地面距离不小于</w:t>
            </w:r>
            <w:r>
              <w:rPr>
                <w:rFonts w:ascii="Times New Roman" w:eastAsiaTheme="minorEastAsia" w:hAnsi="Times New Roman" w:cs="Times New Roman"/>
                <w:kern w:val="2"/>
                <w:sz w:val="15"/>
                <w:szCs w:val="15"/>
              </w:rPr>
              <w:t>0.08 m</w:t>
            </w:r>
            <w:r>
              <w:rPr>
                <w:rFonts w:ascii="Times New Roman" w:eastAsiaTheme="minorEastAsia" w:hAnsi="Times New Roman" w:cs="Times New Roman"/>
                <w:kern w:val="2"/>
                <w:sz w:val="15"/>
                <w:szCs w:val="15"/>
              </w:rPr>
              <w:t>的规定，其设置点与设计点的垂直偏差不应大于</w:t>
            </w:r>
            <w:r>
              <w:rPr>
                <w:rFonts w:ascii="Times New Roman" w:eastAsiaTheme="minorEastAsia" w:hAnsi="Times New Roman" w:cs="Times New Roman"/>
                <w:kern w:val="2"/>
                <w:sz w:val="15"/>
                <w:szCs w:val="15"/>
              </w:rPr>
              <w:t>0.01m</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9</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推车式灭火器的设置要求</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推车式灭火器宜设置在平坦场地，不得设置在台阶上。在没有外力作用下，推车式灭火器不得自行滑动</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推车式灭火器的设置和防止自行滑动的固定措施等均不得影响其操作使用和正常行驶移动</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10</w:t>
            </w:r>
          </w:p>
        </w:tc>
        <w:tc>
          <w:tcPr>
            <w:tcW w:w="893" w:type="dxa"/>
            <w:vMerge w:val="restart"/>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标识</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有视线障碍的设置点安装设置灭火器时，应在醒目的地方设置指示灭火器位置的发光标志</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在灭火器箱的箱体正面和灭火器设置点附近的墙面上，应设置指示灭火器位置的标志</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11</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摆放要求</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灭火器的摆放应稳固；灭火器的铭牌应朝外，灭火器的器头宜向上</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12</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环境要求</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灭火器的设置点应通风、干燥、洁净，其环境温度不得超出灭火器的使用温度范围。设置在室外和特殊场所的灭火器应采取相应的保护措施</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9846C2" w:rsidP="007974B4">
      <w:pPr>
        <w:pStyle w:val="1"/>
        <w:keepNext w:val="0"/>
        <w:keepLines w:val="0"/>
        <w:tabs>
          <w:tab w:val="left" w:pos="0"/>
        </w:tabs>
        <w:topLinePunct/>
        <w:spacing w:beforeLines="150" w:afterLines="100" w:line="360" w:lineRule="exact"/>
        <w:rPr>
          <w:rFonts w:eastAsiaTheme="minorEastAsia"/>
          <w:kern w:val="2"/>
          <w:sz w:val="28"/>
          <w:szCs w:val="28"/>
        </w:rPr>
        <w:sectPr w:rsidR="009846C2">
          <w:pgSz w:w="7938" w:h="11510"/>
          <w:pgMar w:top="1247" w:right="1021" w:bottom="907" w:left="1021" w:header="708" w:footer="708" w:gutter="0"/>
          <w:cols w:space="708"/>
          <w:docGrid w:linePitch="360"/>
        </w:sectPr>
      </w:pPr>
    </w:p>
    <w:p w:rsidR="009846C2" w:rsidRDefault="00A433A0">
      <w:pPr>
        <w:pStyle w:val="a8"/>
        <w:numPr>
          <w:ilvl w:val="0"/>
          <w:numId w:val="15"/>
        </w:numPr>
        <w:tabs>
          <w:tab w:val="left" w:pos="220"/>
        </w:tabs>
        <w:topLinePunct/>
        <w:spacing w:beforeLines="100" w:after="100" w:afterAutospacing="1"/>
        <w:ind w:left="0" w:firstLine="0"/>
        <w:rPr>
          <w:rFonts w:ascii="Times New Roman" w:eastAsiaTheme="majorEastAsia" w:hAnsi="Times New Roman"/>
          <w:sz w:val="28"/>
          <w:szCs w:val="28"/>
        </w:rPr>
      </w:pPr>
      <w:r>
        <w:rPr>
          <w:rFonts w:ascii="Times New Roman" w:eastAsiaTheme="majorEastAsia" w:hAnsi="Times New Roman"/>
          <w:sz w:val="28"/>
          <w:szCs w:val="28"/>
        </w:rPr>
        <w:lastRenderedPageBreak/>
        <w:t>通风、空气调节及防排烟系统</w:t>
      </w:r>
    </w:p>
    <w:p w:rsidR="009846C2" w:rsidRDefault="00A433A0">
      <w:pPr>
        <w:pStyle w:val="21"/>
        <w:keepNext w:val="0"/>
        <w:keepLines w:val="0"/>
        <w:numPr>
          <w:ilvl w:val="0"/>
          <w:numId w:val="85"/>
        </w:numPr>
        <w:tabs>
          <w:tab w:val="left" w:pos="0"/>
        </w:tabs>
        <w:topLinePunct/>
        <w:autoSpaceDE/>
        <w:autoSpaceDN/>
        <w:spacing w:before="100" w:beforeAutospacing="1" w:after="100" w:afterAutospacing="1" w:line="360" w:lineRule="exact"/>
        <w:jc w:val="center"/>
        <w:rPr>
          <w:rFonts w:eastAsia="黑体"/>
          <w:b w:val="0"/>
          <w:kern w:val="2"/>
          <w:sz w:val="21"/>
        </w:rPr>
      </w:pPr>
      <w:r>
        <w:rPr>
          <w:rFonts w:eastAsia="黑体"/>
          <w:b w:val="0"/>
          <w:kern w:val="2"/>
          <w:sz w:val="21"/>
        </w:rPr>
        <w:t>一般规定</w:t>
      </w:r>
    </w:p>
    <w:p w:rsidR="009846C2" w:rsidRDefault="00A433A0">
      <w:pPr>
        <w:pStyle w:val="af1"/>
        <w:widowControl w:val="0"/>
        <w:numPr>
          <w:ilvl w:val="0"/>
          <w:numId w:val="86"/>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本章适用于输变电工程的通风、空气调节及防排烟系统等消防工程施工的质量验收。</w:t>
      </w:r>
    </w:p>
    <w:p w:rsidR="009846C2" w:rsidRDefault="00A433A0">
      <w:pPr>
        <w:pStyle w:val="af1"/>
        <w:widowControl w:val="0"/>
        <w:numPr>
          <w:ilvl w:val="0"/>
          <w:numId w:val="86"/>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通风、空气调节及防排烟系统竣工后，应对系统进行消防工程的质量验收，验收不合格不得投入使用。</w:t>
      </w:r>
    </w:p>
    <w:p w:rsidR="009846C2" w:rsidRDefault="00A433A0">
      <w:pPr>
        <w:pStyle w:val="af1"/>
        <w:widowControl w:val="0"/>
        <w:numPr>
          <w:ilvl w:val="0"/>
          <w:numId w:val="86"/>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通风、空气调节及防排烟系统的设置应符合设计文件及现行国家工程建设消防技术标准的要求。</w:t>
      </w:r>
    </w:p>
    <w:p w:rsidR="009846C2" w:rsidRDefault="00A433A0">
      <w:pPr>
        <w:pStyle w:val="af1"/>
        <w:widowControl w:val="0"/>
        <w:numPr>
          <w:ilvl w:val="0"/>
          <w:numId w:val="86"/>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通风、空气调节及防排烟系统的施工质量，除应符合本标准的规定外，尚应符合现行国家标准《通风与空调工程施工质量验收规范》</w:t>
      </w:r>
      <w:r>
        <w:rPr>
          <w:rFonts w:ascii="Times New Roman" w:eastAsia="宋体" w:hAnsi="Times New Roman" w:cs="Times New Roman"/>
          <w:kern w:val="2"/>
          <w:sz w:val="21"/>
          <w:szCs w:val="21"/>
        </w:rPr>
        <w:t>GB50243</w:t>
      </w:r>
      <w:r>
        <w:rPr>
          <w:rFonts w:ascii="Times New Roman" w:eastAsia="宋体" w:hAnsi="Times New Roman" w:cs="Times New Roman"/>
          <w:kern w:val="2"/>
          <w:sz w:val="21"/>
          <w:szCs w:val="21"/>
        </w:rPr>
        <w:t>及《建筑防烟排烟系统技术标准》</w:t>
      </w:r>
      <w:r>
        <w:rPr>
          <w:rFonts w:ascii="Times New Roman" w:eastAsia="宋体" w:hAnsi="Times New Roman" w:cs="Times New Roman"/>
          <w:kern w:val="2"/>
          <w:sz w:val="21"/>
          <w:szCs w:val="21"/>
        </w:rPr>
        <w:t>GB51251</w:t>
      </w:r>
      <w:r>
        <w:rPr>
          <w:rFonts w:ascii="Times New Roman" w:eastAsia="宋体" w:hAnsi="Times New Roman" w:cs="Times New Roman"/>
          <w:kern w:val="2"/>
          <w:sz w:val="21"/>
          <w:szCs w:val="21"/>
        </w:rPr>
        <w:t>中的有关规定。</w:t>
      </w:r>
    </w:p>
    <w:p w:rsidR="009846C2" w:rsidRDefault="00A433A0">
      <w:pPr>
        <w:pStyle w:val="af1"/>
        <w:numPr>
          <w:ilvl w:val="0"/>
          <w:numId w:val="86"/>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系统的消防验收应在分项验收合格基础上进行，施工、调试记录和设施检测报告等技术资料应齐全。</w:t>
      </w:r>
    </w:p>
    <w:p w:rsidR="009846C2" w:rsidRDefault="00A433A0">
      <w:pPr>
        <w:pStyle w:val="21"/>
        <w:keepNext w:val="0"/>
        <w:keepLines w:val="0"/>
        <w:numPr>
          <w:ilvl w:val="0"/>
          <w:numId w:val="85"/>
        </w:numPr>
        <w:tabs>
          <w:tab w:val="left" w:pos="0"/>
        </w:tabs>
        <w:topLinePunct/>
        <w:autoSpaceDE/>
        <w:autoSpaceDN/>
        <w:spacing w:before="100" w:beforeAutospacing="1" w:after="100" w:afterAutospacing="1" w:line="360" w:lineRule="exact"/>
        <w:jc w:val="center"/>
        <w:rPr>
          <w:rFonts w:eastAsiaTheme="majorEastAsia"/>
          <w:b w:val="0"/>
          <w:kern w:val="2"/>
          <w:sz w:val="21"/>
        </w:rPr>
      </w:pPr>
      <w:r>
        <w:rPr>
          <w:rFonts w:eastAsia="黑体"/>
          <w:b w:val="0"/>
          <w:kern w:val="2"/>
          <w:sz w:val="21"/>
        </w:rPr>
        <w:t>通风、空气调节系统</w:t>
      </w:r>
    </w:p>
    <w:p w:rsidR="009846C2" w:rsidRDefault="00A433A0">
      <w:pPr>
        <w:pStyle w:val="af1"/>
        <w:numPr>
          <w:ilvl w:val="0"/>
          <w:numId w:val="87"/>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bookmarkStart w:id="13" w:name="_Hlk78207262"/>
      <w:r>
        <w:rPr>
          <w:rFonts w:ascii="Times New Roman" w:eastAsia="宋体" w:hAnsi="Times New Roman" w:cs="Times New Roman"/>
          <w:bCs/>
          <w:kern w:val="2"/>
          <w:sz w:val="21"/>
          <w:szCs w:val="21"/>
        </w:rPr>
        <w:t>有爆炸危险物质</w:t>
      </w:r>
      <w:r>
        <w:rPr>
          <w:rFonts w:ascii="Times New Roman" w:eastAsia="宋体" w:hAnsi="Times New Roman" w:cs="Times New Roman"/>
          <w:bCs/>
          <w:kern w:val="2"/>
          <w:sz w:val="21"/>
          <w:szCs w:val="21"/>
          <w:lang w:val="zh-CN"/>
        </w:rPr>
        <w:t>房间（</w:t>
      </w:r>
      <w:r>
        <w:rPr>
          <w:rFonts w:ascii="Times New Roman" w:eastAsia="宋体" w:hAnsi="Times New Roman" w:cs="Times New Roman"/>
          <w:bCs/>
          <w:kern w:val="2"/>
          <w:sz w:val="21"/>
          <w:szCs w:val="21"/>
        </w:rPr>
        <w:t>场所）的通风、空调系统</w:t>
      </w:r>
    </w:p>
    <w:bookmarkEnd w:id="13"/>
    <w:p w:rsidR="009846C2" w:rsidRDefault="00A433A0">
      <w:pPr>
        <w:pStyle w:val="af1"/>
        <w:widowControl w:val="0"/>
        <w:numPr>
          <w:ilvl w:val="0"/>
          <w:numId w:val="88"/>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检查数量：全数检查。</w:t>
      </w:r>
    </w:p>
    <w:p w:rsidR="009846C2" w:rsidRDefault="00A433A0">
      <w:pPr>
        <w:pStyle w:val="af1"/>
        <w:widowControl w:val="0"/>
        <w:numPr>
          <w:ilvl w:val="0"/>
          <w:numId w:val="88"/>
        </w:numPr>
        <w:tabs>
          <w:tab w:val="left" w:pos="0"/>
        </w:tabs>
        <w:topLinePunct/>
        <w:spacing w:line="360" w:lineRule="exact"/>
        <w:ind w:firstLine="420"/>
        <w:jc w:val="both"/>
        <w:rPr>
          <w:rFonts w:ascii="Times New Roman" w:eastAsia="宋体" w:hAnsi="Times New Roman" w:cs="Times New Roman"/>
          <w:kern w:val="2"/>
          <w:szCs w:val="19"/>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6.2.1</w:t>
      </w:r>
      <w:r>
        <w:rPr>
          <w:rFonts w:ascii="Times New Roman" w:eastAsia="宋体" w:hAnsi="Times New Roman" w:cs="Times New Roman"/>
          <w:kern w:val="2"/>
          <w:szCs w:val="19"/>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6.2.1  </w:t>
      </w:r>
      <w:r>
        <w:rPr>
          <w:rFonts w:ascii="Times New Roman" w:eastAsia="黑体" w:hAnsi="Times New Roman" w:cs="Times New Roman"/>
          <w:kern w:val="2"/>
          <w:sz w:val="18"/>
          <w:szCs w:val="18"/>
        </w:rPr>
        <w:t>有爆炸危险物质房间（场所）通风、空调系统验收标准和验收方法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bookmarkStart w:id="14" w:name="_Hlk78206236"/>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系统设置</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空气中含有容易起火或爆炸危险物质的房间（场所），</w:t>
            </w:r>
            <w:r>
              <w:rPr>
                <w:rFonts w:ascii="Times New Roman" w:eastAsia="宋体" w:hAnsi="Times New Roman" w:cs="Times New Roman"/>
                <w:kern w:val="2"/>
                <w:sz w:val="15"/>
                <w:szCs w:val="15"/>
              </w:rPr>
              <w:t>设置机械通风空调系统时应为</w:t>
            </w:r>
            <w:r>
              <w:rPr>
                <w:rFonts w:ascii="Times New Roman" w:eastAsia="宋体" w:hAnsi="Times New Roman" w:cs="Times New Roman"/>
                <w:kern w:val="2"/>
                <w:sz w:val="15"/>
                <w:szCs w:val="15"/>
                <w:lang w:val="zh-CN"/>
              </w:rPr>
              <w:lastRenderedPageBreak/>
              <w:t>独立的机械通风</w:t>
            </w:r>
            <w:r>
              <w:rPr>
                <w:rFonts w:ascii="Times New Roman" w:eastAsia="宋体" w:hAnsi="Times New Roman" w:cs="Times New Roman"/>
                <w:kern w:val="2"/>
                <w:sz w:val="15"/>
                <w:szCs w:val="15"/>
              </w:rPr>
              <w:t>、空调系统</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有爆炸危险的房间（场所）的排风管道，应直接排至室外</w:t>
            </w:r>
            <w:r>
              <w:rPr>
                <w:rFonts w:ascii="Times New Roman" w:eastAsia="宋体" w:hAnsi="Times New Roman" w:cs="Times New Roman"/>
                <w:kern w:val="2"/>
                <w:sz w:val="15"/>
                <w:szCs w:val="15"/>
              </w:rPr>
              <w:t>安全地点</w:t>
            </w:r>
            <w:r>
              <w:rPr>
                <w:rFonts w:ascii="Times New Roman" w:eastAsia="宋体" w:hAnsi="Times New Roman" w:cs="Times New Roman"/>
                <w:kern w:val="2"/>
                <w:sz w:val="15"/>
                <w:szCs w:val="15"/>
                <w:lang w:val="zh-CN"/>
              </w:rPr>
              <w:t>，严禁穿过防火墙和有爆炸危险的房间隔墙</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设备选型及安装</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放散有爆炸危险气体的房间（场所）应设置防爆通风设备，当送风机布置在单独分隔的通风机房内且送风干管上设置防止回流设施时，可采用普通型的通风设备</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检查防爆产品质量证明文件</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排风设备不应布置在地下或半地下建筑（室）内，排风设备应设置可靠的静电接地措施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设于有爆炸危险的房间（场所）的</w:t>
            </w:r>
            <w:r>
              <w:rPr>
                <w:rFonts w:ascii="Times New Roman" w:eastAsia="宋体" w:hAnsi="Times New Roman" w:cs="Times New Roman"/>
                <w:kern w:val="2"/>
                <w:sz w:val="15"/>
                <w:szCs w:val="15"/>
              </w:rPr>
              <w:t>空调设备，</w:t>
            </w:r>
            <w:r>
              <w:rPr>
                <w:rFonts w:ascii="Times New Roman" w:eastAsia="宋体" w:hAnsi="Times New Roman" w:cs="Times New Roman"/>
                <w:kern w:val="2"/>
                <w:sz w:val="15"/>
                <w:szCs w:val="15"/>
                <w:lang w:val="zh-CN"/>
              </w:rPr>
              <w:t>应采用防爆</w:t>
            </w:r>
            <w:r>
              <w:rPr>
                <w:rFonts w:ascii="Times New Roman" w:eastAsia="宋体" w:hAnsi="Times New Roman" w:cs="Times New Roman"/>
                <w:kern w:val="2"/>
                <w:sz w:val="15"/>
                <w:szCs w:val="15"/>
              </w:rPr>
              <w:t>型空调设备</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检查防爆产品质量证明文件</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highlight w:val="magenta"/>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bookmarkEnd w:id="14"/>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风管制作与安装</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风管采用金属管道，不应暗设</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输送含有易燃、易爆气体或安装在易燃、易爆环境的风管系统，必须设置可靠的防静电接地装置</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防火</w:t>
            </w:r>
            <w:r>
              <w:rPr>
                <w:rFonts w:ascii="Times New Roman" w:eastAsia="宋体" w:hAnsi="Times New Roman" w:cs="Times New Roman"/>
                <w:kern w:val="2"/>
                <w:sz w:val="15"/>
                <w:szCs w:val="15"/>
                <w:lang w:val="zh-CN"/>
              </w:rPr>
              <w:t>阀设置与安装</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风管在下列部位应设置公称动作温度为</w:t>
            </w:r>
            <w:r>
              <w:rPr>
                <w:rFonts w:ascii="Times New Roman" w:eastAsia="宋体" w:hAnsi="Times New Roman" w:cs="Times New Roman"/>
                <w:kern w:val="2"/>
                <w:sz w:val="15"/>
                <w:szCs w:val="15"/>
                <w:lang w:val="zh-CN"/>
              </w:rPr>
              <w:t>70</w:t>
            </w:r>
            <w:r>
              <w:rPr>
                <w:rFonts w:ascii="宋体" w:eastAsia="宋体" w:hAnsi="宋体" w:cs="宋体" w:hint="eastAsia"/>
                <w:kern w:val="2"/>
                <w:sz w:val="15"/>
                <w:szCs w:val="15"/>
                <w:lang w:val="zh-CN"/>
              </w:rPr>
              <w:t>℃</w:t>
            </w:r>
            <w:r>
              <w:rPr>
                <w:rFonts w:ascii="Times New Roman" w:eastAsia="宋体" w:hAnsi="Times New Roman" w:cs="Times New Roman"/>
                <w:kern w:val="2"/>
                <w:sz w:val="15"/>
                <w:szCs w:val="15"/>
                <w:lang w:val="zh-CN"/>
              </w:rPr>
              <w:t>的防火阀：</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1</w:t>
            </w:r>
            <w:r>
              <w:rPr>
                <w:rFonts w:ascii="Times New Roman" w:eastAsia="宋体" w:hAnsi="Times New Roman" w:cs="Times New Roman"/>
                <w:kern w:val="2"/>
                <w:sz w:val="15"/>
                <w:szCs w:val="15"/>
                <w:lang w:val="zh-CN"/>
              </w:rPr>
              <w:t>）管道穿越防火分区处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2</w:t>
            </w:r>
            <w:r>
              <w:rPr>
                <w:rFonts w:ascii="Times New Roman" w:eastAsia="宋体" w:hAnsi="Times New Roman" w:cs="Times New Roman"/>
                <w:kern w:val="2"/>
                <w:sz w:val="15"/>
                <w:szCs w:val="15"/>
                <w:lang w:val="zh-CN"/>
              </w:rPr>
              <w:t>）穿越通风、空气调节机房等重要的或火灾危险性大的房间隔墙和楼板处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3</w:t>
            </w:r>
            <w:r>
              <w:rPr>
                <w:rFonts w:ascii="Times New Roman" w:eastAsia="宋体" w:hAnsi="Times New Roman" w:cs="Times New Roman"/>
                <w:kern w:val="2"/>
                <w:sz w:val="15"/>
                <w:szCs w:val="15"/>
                <w:lang w:val="zh-CN"/>
              </w:rPr>
              <w:t>）垂直风管与每层水平风管交接处的水平管段上（竖向同一防火分区除外）</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4</w:t>
            </w:r>
            <w:r>
              <w:rPr>
                <w:rFonts w:ascii="Times New Roman" w:eastAsia="宋体" w:hAnsi="Times New Roman" w:cs="Times New Roman"/>
                <w:kern w:val="2"/>
                <w:sz w:val="15"/>
                <w:szCs w:val="15"/>
                <w:lang w:val="zh-CN"/>
              </w:rPr>
              <w:t>）穿越防火分隔处的变形缝两侧</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防火阀宜设在穿越防火隔墙的气流上游段，阀门应顺气流方向关闭；</w:t>
            </w:r>
            <w:r>
              <w:rPr>
                <w:rFonts w:ascii="Times New Roman" w:eastAsia="宋体" w:hAnsi="Times New Roman" w:cs="Times New Roman"/>
                <w:kern w:val="2"/>
                <w:sz w:val="15"/>
                <w:szCs w:val="15"/>
              </w:rPr>
              <w:t>风管穿越防火</w:t>
            </w:r>
            <w:r>
              <w:rPr>
                <w:rFonts w:ascii="Times New Roman" w:eastAsia="宋体" w:hAnsi="Times New Roman" w:cs="Times New Roman"/>
                <w:kern w:val="2"/>
                <w:sz w:val="15"/>
                <w:szCs w:val="15"/>
              </w:rPr>
              <w:lastRenderedPageBreak/>
              <w:t>墙、楼板、竖井壁所装的防火阀应贴墙、贴楼板或贴竖井壁安装，其间距应小于</w:t>
            </w:r>
            <w:r>
              <w:rPr>
                <w:rFonts w:ascii="Times New Roman" w:eastAsia="宋体" w:hAnsi="Times New Roman" w:cs="Times New Roman"/>
                <w:kern w:val="2"/>
                <w:sz w:val="15"/>
                <w:szCs w:val="15"/>
              </w:rPr>
              <w:t>200mm</w:t>
            </w:r>
            <w:r>
              <w:rPr>
                <w:rFonts w:ascii="Times New Roman" w:eastAsia="宋体" w:hAnsi="Times New Roman" w:cs="Times New Roman"/>
                <w:kern w:val="2"/>
                <w:sz w:val="15"/>
                <w:szCs w:val="15"/>
              </w:rPr>
              <w:t>，否则需做防火加强措施，阀门安装位置应有明显标识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lastRenderedPageBreak/>
              <w:t>现场检查</w:t>
            </w:r>
            <w:r>
              <w:rPr>
                <w:rFonts w:ascii="Times New Roman" w:eastAsia="宋体" w:hAnsi="Times New Roman" w:cs="Times New Roman"/>
                <w:kern w:val="2"/>
                <w:sz w:val="15"/>
                <w:szCs w:val="15"/>
                <w:lang w:val="zh-CN"/>
              </w:rPr>
              <w:t>、现场测量、</w:t>
            </w:r>
            <w:r>
              <w:rPr>
                <w:rFonts w:ascii="Times New Roman" w:eastAsia="宋体" w:hAnsi="Times New Roman" w:cs="Times New Roman"/>
                <w:kern w:val="2"/>
                <w:sz w:val="15"/>
                <w:szCs w:val="15"/>
                <w:lang w:val="zh-CN"/>
              </w:rPr>
              <w:lastRenderedPageBreak/>
              <w:t>查阅产品质量证明文件</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lastRenderedPageBreak/>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防火阀</w:t>
            </w:r>
            <w:r>
              <w:rPr>
                <w:rFonts w:ascii="Times New Roman" w:eastAsia="宋体" w:hAnsi="Times New Roman" w:cs="Times New Roman"/>
                <w:kern w:val="2"/>
                <w:sz w:val="15"/>
                <w:szCs w:val="15"/>
              </w:rPr>
              <w:t>应安装牢固，启闭灵活，动作可靠；执行机构动作灵敏，手控脱扣缆绳安装合理无死弯、死角，开启、复位动作灵活可靠</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、手动操作</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风口布置</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用于排除氢气与空气混合物时，吸风口上缘至顶棚平面或屋顶的距离不大于</w:t>
            </w:r>
            <w:r>
              <w:rPr>
                <w:rFonts w:ascii="Times New Roman" w:eastAsia="宋体" w:hAnsi="Times New Roman" w:cs="Times New Roman"/>
                <w:kern w:val="2"/>
                <w:sz w:val="15"/>
                <w:szCs w:val="15"/>
                <w:lang w:val="zh-CN"/>
              </w:rPr>
              <w:t>0.1</w:t>
            </w:r>
            <w:r>
              <w:rPr>
                <w:rFonts w:ascii="Times New Roman" w:eastAsia="宋体" w:hAnsi="Times New Roman" w:cs="Times New Roman"/>
                <w:kern w:val="2"/>
                <w:sz w:val="15"/>
                <w:szCs w:val="15"/>
                <w:lang w:val="zh-CN"/>
              </w:rPr>
              <w:t>米</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现场测量</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蓄电池室通风管出口处</w:t>
            </w:r>
            <w:r>
              <w:rPr>
                <w:rFonts w:ascii="Times New Roman" w:eastAsia="宋体" w:hAnsi="Times New Roman" w:cs="Times New Roman"/>
                <w:kern w:val="2"/>
                <w:sz w:val="15"/>
                <w:szCs w:val="15"/>
                <w:lang w:val="zh-CN"/>
              </w:rPr>
              <w:t>10m</w:t>
            </w:r>
            <w:r>
              <w:rPr>
                <w:rFonts w:ascii="Times New Roman" w:eastAsia="宋体" w:hAnsi="Times New Roman" w:cs="Times New Roman"/>
                <w:kern w:val="2"/>
                <w:sz w:val="15"/>
                <w:szCs w:val="15"/>
                <w:lang w:val="zh-CN"/>
              </w:rPr>
              <w:t>内有引爆物质场所时，则通风管的出风口至少应高出该建筑物屋顶</w:t>
            </w:r>
            <w:r>
              <w:rPr>
                <w:rFonts w:ascii="Times New Roman" w:eastAsia="宋体" w:hAnsi="Times New Roman" w:cs="Times New Roman"/>
                <w:kern w:val="2"/>
                <w:sz w:val="15"/>
                <w:szCs w:val="15"/>
                <w:lang w:val="zh-CN"/>
              </w:rPr>
              <w:t xml:space="preserve">2.0m </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核对设计文件，现场检查、现场测量</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蓄电池室排风机开关应装在蓄电池室外便于操作的位置</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numPr>
          <w:ilvl w:val="0"/>
          <w:numId w:val="87"/>
        </w:numPr>
        <w:tabs>
          <w:tab w:val="left" w:pos="0"/>
        </w:tabs>
        <w:topLinePunct/>
        <w:spacing w:line="360" w:lineRule="exact"/>
        <w:ind w:left="0" w:firstLineChars="0" w:firstLine="0"/>
        <w:jc w:val="both"/>
        <w:rPr>
          <w:rFonts w:ascii="Times New Roman" w:eastAsia="宋体" w:hAnsi="Times New Roman" w:cs="Times New Roman"/>
          <w:kern w:val="2"/>
          <w:sz w:val="21"/>
          <w:szCs w:val="21"/>
        </w:rPr>
      </w:pPr>
      <w:r>
        <w:rPr>
          <w:rFonts w:ascii="Times New Roman" w:eastAsia="宋体" w:hAnsi="Times New Roman" w:cs="Times New Roman"/>
          <w:bCs/>
          <w:kern w:val="2"/>
          <w:sz w:val="21"/>
          <w:szCs w:val="21"/>
        </w:rPr>
        <w:t>设置气体灭火系统场所的通风系统</w:t>
      </w:r>
    </w:p>
    <w:p w:rsidR="009846C2" w:rsidRDefault="00A433A0">
      <w:pPr>
        <w:pStyle w:val="af1"/>
        <w:widowControl w:val="0"/>
        <w:numPr>
          <w:ilvl w:val="0"/>
          <w:numId w:val="89"/>
        </w:numPr>
        <w:tabs>
          <w:tab w:val="left" w:pos="0"/>
        </w:tabs>
        <w:topLinePunct/>
        <w:spacing w:line="360" w:lineRule="exact"/>
        <w:ind w:firstLine="440"/>
        <w:jc w:val="both"/>
        <w:rPr>
          <w:rFonts w:ascii="Times New Roman" w:eastAsia="宋体" w:hAnsi="Times New Roman" w:cs="Times New Roman"/>
          <w:kern w:val="2"/>
          <w:szCs w:val="19"/>
        </w:rPr>
      </w:pPr>
      <w:r>
        <w:rPr>
          <w:rFonts w:ascii="Times New Roman" w:eastAsia="宋体" w:hAnsi="Times New Roman" w:cs="Times New Roman"/>
          <w:kern w:val="2"/>
          <w:szCs w:val="19"/>
        </w:rPr>
        <w:t>检查数量：全数检查。</w:t>
      </w:r>
    </w:p>
    <w:p w:rsidR="009846C2" w:rsidRDefault="00A433A0">
      <w:pPr>
        <w:pStyle w:val="af1"/>
        <w:widowControl w:val="0"/>
        <w:numPr>
          <w:ilvl w:val="0"/>
          <w:numId w:val="89"/>
        </w:numPr>
        <w:tabs>
          <w:tab w:val="left" w:pos="0"/>
        </w:tabs>
        <w:topLinePunct/>
        <w:spacing w:line="360" w:lineRule="exact"/>
        <w:ind w:firstLine="440"/>
        <w:jc w:val="both"/>
        <w:rPr>
          <w:rFonts w:ascii="Times New Roman" w:eastAsia="宋体" w:hAnsi="Times New Roman" w:cs="Times New Roman"/>
          <w:b/>
          <w:kern w:val="2"/>
          <w:szCs w:val="21"/>
        </w:rPr>
      </w:pPr>
      <w:r>
        <w:rPr>
          <w:rFonts w:ascii="Times New Roman" w:eastAsia="宋体" w:hAnsi="Times New Roman" w:cs="Times New Roman"/>
          <w:kern w:val="2"/>
          <w:szCs w:val="19"/>
        </w:rPr>
        <w:t>验收标准和验收方法：见表</w:t>
      </w:r>
      <w:r>
        <w:rPr>
          <w:rFonts w:ascii="Times New Roman" w:eastAsia="宋体" w:hAnsi="Times New Roman" w:cs="Times New Roman"/>
          <w:kern w:val="2"/>
          <w:szCs w:val="19"/>
        </w:rPr>
        <w:t>6.2.2</w:t>
      </w:r>
      <w:r>
        <w:rPr>
          <w:rFonts w:ascii="Times New Roman" w:eastAsia="宋体" w:hAnsi="Times New Roman" w:cs="Times New Roman"/>
          <w:kern w:val="2"/>
          <w:szCs w:val="19"/>
        </w:rPr>
        <w:t>。</w:t>
      </w:r>
    </w:p>
    <w:p w:rsidR="009846C2" w:rsidRDefault="00A433A0">
      <w:pPr>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6.2.2</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设置气体灭火系统场所的通风系统验收标准和验收方法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7"/>
        <w:gridCol w:w="893"/>
        <w:gridCol w:w="2916"/>
        <w:gridCol w:w="893"/>
        <w:gridCol w:w="419"/>
        <w:gridCol w:w="414"/>
      </w:tblGrid>
      <w:tr w:rsidR="009846C2">
        <w:trPr>
          <w:tblHeader/>
        </w:trPr>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9"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4"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7"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风管制作与安装</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风管采用不燃材料制作</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现场检查，查阅风管检验报告</w:t>
            </w:r>
          </w:p>
        </w:tc>
        <w:tc>
          <w:tcPr>
            <w:tcW w:w="419"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B</w:t>
            </w:r>
          </w:p>
        </w:tc>
        <w:tc>
          <w:tcPr>
            <w:tcW w:w="414"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当风管穿过需要封闭的防火墙体或楼板时，必须设置厚度不小于</w:t>
            </w:r>
            <w:r>
              <w:rPr>
                <w:rFonts w:ascii="Times New Roman" w:eastAsia="宋体" w:hAnsi="Times New Roman" w:cs="Times New Roman"/>
                <w:kern w:val="2"/>
                <w:sz w:val="15"/>
                <w:szCs w:val="15"/>
                <w:lang w:val="zh-CN"/>
              </w:rPr>
              <w:t>1.6mm</w:t>
            </w:r>
            <w:r>
              <w:rPr>
                <w:rFonts w:ascii="Times New Roman" w:eastAsia="宋体" w:hAnsi="Times New Roman" w:cs="Times New Roman"/>
                <w:kern w:val="2"/>
                <w:sz w:val="15"/>
                <w:szCs w:val="15"/>
                <w:lang w:val="zh-CN"/>
              </w:rPr>
              <w:t>的钢制防护套管；风管与防护套管之间应采用不燃柔性材料封堵严密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9"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A</w:t>
            </w:r>
          </w:p>
        </w:tc>
        <w:tc>
          <w:tcPr>
            <w:tcW w:w="414"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7"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3</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防火阀设置与安装</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风管在下列部位应设置公称动作温度为</w:t>
            </w:r>
            <w:r>
              <w:rPr>
                <w:rFonts w:ascii="Times New Roman" w:eastAsia="宋体" w:hAnsi="Times New Roman" w:cs="Times New Roman"/>
                <w:kern w:val="2"/>
                <w:sz w:val="15"/>
                <w:szCs w:val="15"/>
                <w:lang w:val="zh-CN"/>
              </w:rPr>
              <w:t>70</w:t>
            </w:r>
            <w:r>
              <w:rPr>
                <w:rFonts w:ascii="宋体" w:eastAsia="宋体" w:hAnsi="宋体" w:cs="宋体" w:hint="eastAsia"/>
                <w:kern w:val="2"/>
                <w:sz w:val="15"/>
                <w:szCs w:val="15"/>
                <w:lang w:val="zh-CN"/>
              </w:rPr>
              <w:t>℃</w:t>
            </w:r>
            <w:r>
              <w:rPr>
                <w:rFonts w:ascii="Times New Roman" w:eastAsia="宋体" w:hAnsi="Times New Roman" w:cs="Times New Roman"/>
                <w:kern w:val="2"/>
                <w:sz w:val="15"/>
                <w:szCs w:val="15"/>
                <w:lang w:val="zh-CN"/>
              </w:rPr>
              <w:t>的防火阀：</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1</w:t>
            </w:r>
            <w:r>
              <w:rPr>
                <w:rFonts w:ascii="Times New Roman" w:eastAsia="宋体" w:hAnsi="Times New Roman" w:cs="Times New Roman"/>
                <w:kern w:val="2"/>
                <w:sz w:val="15"/>
                <w:szCs w:val="15"/>
                <w:lang w:val="zh-CN"/>
              </w:rPr>
              <w:t>）管道穿越防火分区处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2</w:t>
            </w:r>
            <w:r>
              <w:rPr>
                <w:rFonts w:ascii="Times New Roman" w:eastAsia="宋体" w:hAnsi="Times New Roman" w:cs="Times New Roman"/>
                <w:kern w:val="2"/>
                <w:sz w:val="15"/>
                <w:szCs w:val="15"/>
                <w:lang w:val="zh-CN"/>
              </w:rPr>
              <w:t>）穿越通风、空气调节机房等重要的或火灾危险性大的房间隔墙和楼板处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3</w:t>
            </w:r>
            <w:r>
              <w:rPr>
                <w:rFonts w:ascii="Times New Roman" w:eastAsia="宋体" w:hAnsi="Times New Roman" w:cs="Times New Roman"/>
                <w:kern w:val="2"/>
                <w:sz w:val="15"/>
                <w:szCs w:val="15"/>
                <w:lang w:val="zh-CN"/>
              </w:rPr>
              <w:t>）垂直风管与每层水平风管交接处的水平管段上（竖向同一防火分区除外）</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4</w:t>
            </w:r>
            <w:r>
              <w:rPr>
                <w:rFonts w:ascii="Times New Roman" w:eastAsia="宋体" w:hAnsi="Times New Roman" w:cs="Times New Roman"/>
                <w:kern w:val="2"/>
                <w:sz w:val="15"/>
                <w:szCs w:val="15"/>
                <w:lang w:val="zh-CN"/>
              </w:rPr>
              <w:t>）穿越防火分隔处的变形缝两侧</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核对设计文件，现场检查</w:t>
            </w:r>
          </w:p>
        </w:tc>
        <w:tc>
          <w:tcPr>
            <w:tcW w:w="419"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A</w:t>
            </w:r>
          </w:p>
        </w:tc>
        <w:tc>
          <w:tcPr>
            <w:tcW w:w="414"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r>
      <w:tr w:rsidR="009846C2">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防火阀宜设在穿越防火隔墙的气流上游段，阀门应顺气流方向关闭；</w:t>
            </w:r>
            <w:r>
              <w:rPr>
                <w:rFonts w:ascii="Times New Roman" w:eastAsia="宋体" w:hAnsi="Times New Roman" w:cs="Times New Roman"/>
                <w:kern w:val="2"/>
                <w:sz w:val="15"/>
                <w:szCs w:val="15"/>
              </w:rPr>
              <w:t>风管穿越防火墙、楼板、竖井壁所装的防火阀应贴墙、贴楼板或贴竖井壁安装，其间距应小于</w:t>
            </w:r>
            <w:r>
              <w:rPr>
                <w:rFonts w:ascii="Times New Roman" w:eastAsia="宋体" w:hAnsi="Times New Roman" w:cs="Times New Roman"/>
                <w:kern w:val="2"/>
                <w:sz w:val="15"/>
                <w:szCs w:val="15"/>
              </w:rPr>
              <w:t>200mm</w:t>
            </w:r>
            <w:r>
              <w:rPr>
                <w:rFonts w:ascii="Times New Roman" w:eastAsia="宋体" w:hAnsi="Times New Roman" w:cs="Times New Roman"/>
                <w:kern w:val="2"/>
                <w:sz w:val="15"/>
                <w:szCs w:val="15"/>
              </w:rPr>
              <w:t>，否则需做防火加强措施，阀门安装位置应由明显标识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现场检查、现场测量、查阅产品质量证明文件</w:t>
            </w:r>
          </w:p>
        </w:tc>
        <w:tc>
          <w:tcPr>
            <w:tcW w:w="419"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A</w:t>
            </w:r>
          </w:p>
        </w:tc>
        <w:tc>
          <w:tcPr>
            <w:tcW w:w="414"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r>
      <w:tr w:rsidR="009846C2">
        <w:tc>
          <w:tcPr>
            <w:tcW w:w="417"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防火阀、排烟防火阀</w:t>
            </w:r>
            <w:r>
              <w:rPr>
                <w:rFonts w:ascii="Times New Roman" w:eastAsia="宋体" w:hAnsi="Times New Roman" w:cs="Times New Roman"/>
                <w:kern w:val="2"/>
                <w:sz w:val="15"/>
                <w:szCs w:val="15"/>
              </w:rPr>
              <w:t>应安装牢固，启闭灵活，动作可靠；执行机构动作灵敏，手控脱扣缆绳安装合理无死弯、死角，开启、复位动作灵活可靠</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现场检查、手动操作</w:t>
            </w:r>
          </w:p>
        </w:tc>
        <w:tc>
          <w:tcPr>
            <w:tcW w:w="419"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B</w:t>
            </w:r>
          </w:p>
        </w:tc>
        <w:tc>
          <w:tcPr>
            <w:tcW w:w="414"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r>
      <w:tr w:rsidR="009846C2">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喷放灭火剂前，</w:t>
            </w:r>
            <w:r>
              <w:rPr>
                <w:rFonts w:ascii="Times New Roman" w:eastAsia="宋体" w:hAnsi="Times New Roman" w:cs="Times New Roman"/>
                <w:kern w:val="2"/>
                <w:sz w:val="15"/>
                <w:szCs w:val="15"/>
              </w:rPr>
              <w:t>灭火后</w:t>
            </w:r>
            <w:r>
              <w:rPr>
                <w:rFonts w:ascii="Times New Roman" w:eastAsia="宋体" w:hAnsi="Times New Roman" w:cs="Times New Roman"/>
                <w:kern w:val="2"/>
                <w:sz w:val="15"/>
                <w:szCs w:val="15"/>
                <w:lang w:val="zh-CN"/>
              </w:rPr>
              <w:t>通风系统的风口或防火阀应能自行关闭，送、排风机应自动关闭；</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通风的手动控制装置应在室内外便于操作的地点分别设置</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9"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A</w:t>
            </w:r>
          </w:p>
        </w:tc>
        <w:tc>
          <w:tcPr>
            <w:tcW w:w="414"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numPr>
          <w:ilvl w:val="0"/>
          <w:numId w:val="87"/>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bCs/>
          <w:kern w:val="2"/>
          <w:sz w:val="21"/>
          <w:szCs w:val="21"/>
        </w:rPr>
        <w:t>排除余热、余湿的通风、空调系统</w:t>
      </w:r>
    </w:p>
    <w:p w:rsidR="009846C2" w:rsidRDefault="00A433A0">
      <w:pPr>
        <w:pStyle w:val="af1"/>
        <w:widowControl w:val="0"/>
        <w:numPr>
          <w:ilvl w:val="0"/>
          <w:numId w:val="90"/>
        </w:numPr>
        <w:tabs>
          <w:tab w:val="left" w:pos="0"/>
        </w:tabs>
        <w:topLinePunct/>
        <w:spacing w:line="360" w:lineRule="exact"/>
        <w:ind w:firstLine="440"/>
        <w:jc w:val="both"/>
        <w:rPr>
          <w:rFonts w:ascii="Times New Roman" w:eastAsia="宋体" w:hAnsi="Times New Roman" w:cs="Times New Roman"/>
          <w:kern w:val="2"/>
          <w:szCs w:val="19"/>
        </w:rPr>
      </w:pPr>
      <w:r>
        <w:rPr>
          <w:rFonts w:ascii="Times New Roman" w:eastAsia="宋体" w:hAnsi="Times New Roman" w:cs="Times New Roman"/>
          <w:kern w:val="2"/>
          <w:szCs w:val="19"/>
        </w:rPr>
        <w:t>检查数量：</w:t>
      </w:r>
      <w:r>
        <w:rPr>
          <w:rFonts w:ascii="Times New Roman" w:eastAsia="宋体" w:hAnsi="Times New Roman" w:cs="Times New Roman"/>
          <w:kern w:val="2"/>
          <w:szCs w:val="19"/>
        </w:rPr>
        <w:t>A</w:t>
      </w:r>
      <w:r>
        <w:rPr>
          <w:rFonts w:ascii="Times New Roman" w:eastAsia="宋体" w:hAnsi="Times New Roman" w:cs="Times New Roman"/>
          <w:kern w:val="2"/>
          <w:szCs w:val="19"/>
        </w:rPr>
        <w:t>类全数检查。其他部位检查不少于各系统总数的</w:t>
      </w:r>
      <w:r>
        <w:rPr>
          <w:rFonts w:ascii="Times New Roman" w:eastAsia="宋体" w:hAnsi="Times New Roman" w:cs="Times New Roman"/>
          <w:kern w:val="2"/>
          <w:szCs w:val="19"/>
        </w:rPr>
        <w:t>30%</w:t>
      </w:r>
      <w:r>
        <w:rPr>
          <w:rFonts w:ascii="Times New Roman" w:eastAsia="宋体" w:hAnsi="Times New Roman" w:cs="Times New Roman"/>
          <w:kern w:val="2"/>
          <w:szCs w:val="19"/>
        </w:rPr>
        <w:t>抽查。</w:t>
      </w:r>
    </w:p>
    <w:p w:rsidR="009846C2" w:rsidRDefault="00A433A0">
      <w:pPr>
        <w:pStyle w:val="af1"/>
        <w:widowControl w:val="0"/>
        <w:numPr>
          <w:ilvl w:val="0"/>
          <w:numId w:val="90"/>
        </w:numPr>
        <w:tabs>
          <w:tab w:val="left" w:pos="0"/>
        </w:tabs>
        <w:topLinePunct/>
        <w:spacing w:line="360" w:lineRule="exact"/>
        <w:ind w:firstLine="440"/>
        <w:jc w:val="both"/>
        <w:rPr>
          <w:rFonts w:ascii="Times New Roman" w:eastAsia="宋体" w:hAnsi="Times New Roman" w:cs="Times New Roman"/>
          <w:kern w:val="2"/>
          <w:szCs w:val="19"/>
        </w:rPr>
      </w:pPr>
      <w:r>
        <w:rPr>
          <w:rFonts w:ascii="Times New Roman" w:eastAsia="宋体" w:hAnsi="Times New Roman" w:cs="Times New Roman"/>
          <w:kern w:val="2"/>
          <w:szCs w:val="19"/>
        </w:rPr>
        <w:t>验收标准和验收方法：见表</w:t>
      </w:r>
      <w:r>
        <w:rPr>
          <w:rFonts w:ascii="Times New Roman" w:eastAsia="宋体" w:hAnsi="Times New Roman" w:cs="Times New Roman"/>
          <w:kern w:val="2"/>
          <w:szCs w:val="19"/>
        </w:rPr>
        <w:t>6.2.3</w:t>
      </w:r>
      <w:r>
        <w:rPr>
          <w:rFonts w:ascii="Times New Roman" w:eastAsia="宋体" w:hAnsi="Times New Roman" w:cs="Times New Roman"/>
          <w:kern w:val="2"/>
          <w:szCs w:val="19"/>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lastRenderedPageBreak/>
        <w:t>表</w:t>
      </w:r>
      <w:r>
        <w:rPr>
          <w:rFonts w:ascii="Times New Roman" w:eastAsia="黑体" w:hAnsi="Times New Roman" w:cs="Times New Roman"/>
          <w:kern w:val="2"/>
          <w:sz w:val="18"/>
          <w:szCs w:val="18"/>
        </w:rPr>
        <w:t xml:space="preserve">6.2.3  </w:t>
      </w:r>
      <w:r>
        <w:rPr>
          <w:rFonts w:ascii="Times New Roman" w:eastAsia="黑体" w:hAnsi="Times New Roman" w:cs="Times New Roman"/>
          <w:kern w:val="2"/>
          <w:sz w:val="18"/>
          <w:szCs w:val="18"/>
        </w:rPr>
        <w:t>排除余热、余湿的通风、空调系统验收标准和验收方法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1</w:t>
            </w:r>
          </w:p>
        </w:tc>
        <w:tc>
          <w:tcPr>
            <w:tcW w:w="893" w:type="dxa"/>
            <w:vMerge w:val="restart"/>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风管制作与安装、保温隔热</w:t>
            </w:r>
          </w:p>
        </w:tc>
        <w:tc>
          <w:tcPr>
            <w:tcW w:w="2916" w:type="dxa"/>
            <w:vAlign w:val="center"/>
          </w:tcPr>
          <w:p w:rsidR="009846C2" w:rsidRDefault="00A433A0">
            <w:pPr>
              <w:tabs>
                <w:tab w:val="left" w:pos="0"/>
              </w:tabs>
              <w:topLinePunct/>
              <w:spacing w:line="240" w:lineRule="exact"/>
              <w:ind w:firstLineChars="100" w:firstLine="150"/>
              <w:jc w:val="both"/>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风管采用不燃材料制作</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B</w:t>
            </w:r>
          </w:p>
        </w:tc>
        <w:tc>
          <w:tcPr>
            <w:tcW w:w="417" w:type="dxa"/>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lang w:val="zh-CN"/>
              </w:rPr>
            </w:pPr>
          </w:p>
        </w:tc>
        <w:tc>
          <w:tcPr>
            <w:tcW w:w="2916" w:type="dxa"/>
            <w:vAlign w:val="center"/>
          </w:tcPr>
          <w:p w:rsidR="009846C2" w:rsidRDefault="00A433A0">
            <w:pPr>
              <w:tabs>
                <w:tab w:val="left" w:pos="0"/>
              </w:tabs>
              <w:topLinePunct/>
              <w:spacing w:line="240" w:lineRule="exact"/>
              <w:ind w:firstLineChars="100" w:firstLine="150"/>
              <w:jc w:val="both"/>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当风管穿过需要封闭的防火、</w:t>
            </w:r>
            <w:r>
              <w:rPr>
                <w:rFonts w:ascii="Times New Roman" w:eastAsiaTheme="minorEastAsia" w:hAnsi="Times New Roman" w:cs="Times New Roman"/>
                <w:kern w:val="2"/>
                <w:sz w:val="15"/>
                <w:szCs w:val="15"/>
              </w:rPr>
              <w:t>防爆的墙体</w:t>
            </w:r>
            <w:r>
              <w:rPr>
                <w:rFonts w:ascii="Times New Roman" w:eastAsiaTheme="minorEastAsia" w:hAnsi="Times New Roman" w:cs="Times New Roman"/>
                <w:kern w:val="2"/>
                <w:sz w:val="15"/>
                <w:szCs w:val="15"/>
                <w:lang w:val="zh-CN"/>
              </w:rPr>
              <w:t>或楼板时，必须设置厚度不小于</w:t>
            </w:r>
            <w:r>
              <w:rPr>
                <w:rFonts w:ascii="Times New Roman" w:eastAsiaTheme="minorEastAsia" w:hAnsi="Times New Roman" w:cs="Times New Roman"/>
                <w:kern w:val="2"/>
                <w:sz w:val="15"/>
                <w:szCs w:val="15"/>
                <w:lang w:val="zh-CN"/>
              </w:rPr>
              <w:t>1.6mm</w:t>
            </w:r>
            <w:r>
              <w:rPr>
                <w:rFonts w:ascii="Times New Roman" w:eastAsiaTheme="minorEastAsia" w:hAnsi="Times New Roman" w:cs="Times New Roman"/>
                <w:kern w:val="2"/>
                <w:sz w:val="15"/>
                <w:szCs w:val="15"/>
                <w:lang w:val="zh-CN"/>
              </w:rPr>
              <w:t>的钢制防护套管；风管与防护套管之间应采用不燃柔性材料封堵严密</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A</w:t>
            </w:r>
          </w:p>
        </w:tc>
        <w:tc>
          <w:tcPr>
            <w:tcW w:w="417" w:type="dxa"/>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rPr>
            </w:pPr>
          </w:p>
        </w:tc>
        <w:tc>
          <w:tcPr>
            <w:tcW w:w="893" w:type="dxa"/>
            <w:vMerge/>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lang w:val="zh-CN"/>
              </w:rPr>
            </w:pPr>
          </w:p>
        </w:tc>
        <w:tc>
          <w:tcPr>
            <w:tcW w:w="2916" w:type="dxa"/>
            <w:vAlign w:val="center"/>
          </w:tcPr>
          <w:p w:rsidR="009846C2" w:rsidRDefault="00A433A0">
            <w:pPr>
              <w:tabs>
                <w:tab w:val="left" w:pos="0"/>
              </w:tabs>
              <w:topLinePunct/>
              <w:spacing w:line="240" w:lineRule="exact"/>
              <w:ind w:firstLineChars="100" w:firstLine="150"/>
              <w:jc w:val="both"/>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防火阀两侧各</w:t>
            </w:r>
            <w:r>
              <w:rPr>
                <w:rFonts w:ascii="Times New Roman" w:eastAsiaTheme="minorEastAsia" w:hAnsi="Times New Roman" w:cs="Times New Roman"/>
                <w:kern w:val="2"/>
                <w:sz w:val="15"/>
                <w:szCs w:val="15"/>
                <w:lang w:val="zh-CN"/>
              </w:rPr>
              <w:t>2.0m</w:t>
            </w:r>
            <w:r>
              <w:rPr>
                <w:rFonts w:ascii="Times New Roman" w:eastAsiaTheme="minorEastAsia" w:hAnsi="Times New Roman" w:cs="Times New Roman"/>
                <w:kern w:val="2"/>
                <w:sz w:val="15"/>
                <w:szCs w:val="15"/>
                <w:lang w:val="zh-CN"/>
              </w:rPr>
              <w:t>范围内的风管及其绝热材料应采用不燃材料</w:t>
            </w:r>
          </w:p>
        </w:tc>
        <w:tc>
          <w:tcPr>
            <w:tcW w:w="893" w:type="dxa"/>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Theme="minorEastAsia" w:hAnsi="Times New Roman" w:cs="Times New Roman"/>
                <w:kern w:val="2"/>
                <w:sz w:val="15"/>
                <w:szCs w:val="15"/>
                <w:lang w:val="zh-CN"/>
              </w:rPr>
              <w:t>，查阅风管、绝热材料检验报告</w:t>
            </w:r>
          </w:p>
        </w:tc>
        <w:tc>
          <w:tcPr>
            <w:tcW w:w="417"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B</w:t>
            </w:r>
          </w:p>
        </w:tc>
        <w:tc>
          <w:tcPr>
            <w:tcW w:w="417" w:type="dxa"/>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rPr>
            </w:pPr>
          </w:p>
        </w:tc>
      </w:tr>
      <w:tr w:rsidR="009846C2">
        <w:tc>
          <w:tcPr>
            <w:tcW w:w="416"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2</w:t>
            </w:r>
          </w:p>
        </w:tc>
        <w:tc>
          <w:tcPr>
            <w:tcW w:w="893" w:type="dxa"/>
            <w:vAlign w:val="center"/>
          </w:tcPr>
          <w:p w:rsidR="009846C2" w:rsidRDefault="00A433A0">
            <w:pPr>
              <w:tabs>
                <w:tab w:val="left" w:pos="0"/>
              </w:tabs>
              <w:topLinePunct/>
              <w:spacing w:line="240" w:lineRule="exact"/>
              <w:jc w:val="center"/>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lang w:val="zh-CN"/>
              </w:rPr>
              <w:t>防火阀设置与安装</w:t>
            </w:r>
          </w:p>
        </w:tc>
        <w:tc>
          <w:tcPr>
            <w:tcW w:w="2916" w:type="dxa"/>
            <w:vAlign w:val="center"/>
          </w:tcPr>
          <w:p w:rsidR="009846C2" w:rsidRDefault="00A433A0">
            <w:pPr>
              <w:tabs>
                <w:tab w:val="left" w:pos="0"/>
              </w:tabs>
              <w:topLinePunct/>
              <w:spacing w:line="240" w:lineRule="exact"/>
              <w:ind w:firstLineChars="200" w:firstLine="300"/>
              <w:jc w:val="both"/>
              <w:rPr>
                <w:rFonts w:ascii="Times New Roman" w:eastAsiaTheme="minorEastAsia" w:hAnsi="Times New Roman" w:cs="Times New Roman"/>
                <w:kern w:val="2"/>
                <w:sz w:val="15"/>
                <w:szCs w:val="15"/>
                <w:lang w:val="zh-CN"/>
              </w:rPr>
            </w:pPr>
            <w:r>
              <w:rPr>
                <w:rFonts w:ascii="Times New Roman" w:eastAsiaTheme="minorEastAsia" w:hAnsi="Times New Roman" w:cs="Times New Roman"/>
                <w:kern w:val="2"/>
                <w:sz w:val="15"/>
                <w:szCs w:val="15"/>
              </w:rPr>
              <w:t>详见本标准</w:t>
            </w:r>
            <w:r>
              <w:rPr>
                <w:rFonts w:ascii="Times New Roman" w:eastAsiaTheme="minorEastAsia" w:hAnsi="Times New Roman" w:cs="Times New Roman"/>
                <w:kern w:val="2"/>
                <w:sz w:val="15"/>
                <w:szCs w:val="15"/>
                <w:lang w:val="zh-CN"/>
              </w:rPr>
              <w:t>表</w:t>
            </w:r>
            <w:r>
              <w:rPr>
                <w:rFonts w:ascii="Times New Roman" w:eastAsiaTheme="minorEastAsia" w:hAnsi="Times New Roman" w:cs="Times New Roman"/>
                <w:kern w:val="2"/>
                <w:sz w:val="15"/>
                <w:szCs w:val="15"/>
                <w:lang w:val="zh-CN"/>
              </w:rPr>
              <w:t>6.2.</w:t>
            </w:r>
            <w:r>
              <w:rPr>
                <w:rFonts w:ascii="Times New Roman" w:eastAsiaTheme="minorEastAsia" w:hAnsi="Times New Roman" w:cs="Times New Roman"/>
                <w:kern w:val="2"/>
                <w:sz w:val="15"/>
                <w:szCs w:val="15"/>
              </w:rPr>
              <w:t>2</w:t>
            </w:r>
            <w:r>
              <w:rPr>
                <w:rFonts w:ascii="Times New Roman" w:eastAsiaTheme="minorEastAsia" w:hAnsi="Times New Roman" w:cs="Times New Roman"/>
                <w:kern w:val="2"/>
                <w:sz w:val="15"/>
                <w:szCs w:val="15"/>
              </w:rPr>
              <w:t>第</w:t>
            </w:r>
            <w:r>
              <w:rPr>
                <w:rFonts w:ascii="Times New Roman" w:eastAsiaTheme="minorEastAsia" w:hAnsi="Times New Roman" w:cs="Times New Roman"/>
                <w:kern w:val="2"/>
                <w:sz w:val="15"/>
                <w:szCs w:val="15"/>
              </w:rPr>
              <w:t>4</w:t>
            </w:r>
            <w:r>
              <w:rPr>
                <w:rFonts w:ascii="Times New Roman" w:eastAsiaTheme="minorEastAsia" w:hAnsi="Times New Roman" w:cs="Times New Roman"/>
                <w:kern w:val="2"/>
                <w:sz w:val="15"/>
                <w:szCs w:val="15"/>
              </w:rPr>
              <w:t>款</w:t>
            </w:r>
          </w:p>
        </w:tc>
        <w:tc>
          <w:tcPr>
            <w:tcW w:w="893" w:type="dxa"/>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lang w:val="zh-CN"/>
              </w:rPr>
            </w:pPr>
          </w:p>
        </w:tc>
        <w:tc>
          <w:tcPr>
            <w:tcW w:w="417" w:type="dxa"/>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lang w:val="zh-CN"/>
              </w:rPr>
            </w:pPr>
          </w:p>
        </w:tc>
        <w:tc>
          <w:tcPr>
            <w:tcW w:w="417" w:type="dxa"/>
            <w:vAlign w:val="center"/>
          </w:tcPr>
          <w:p w:rsidR="009846C2" w:rsidRDefault="009846C2">
            <w:pPr>
              <w:tabs>
                <w:tab w:val="left" w:pos="0"/>
              </w:tabs>
              <w:topLinePunct/>
              <w:spacing w:line="240" w:lineRule="exact"/>
              <w:jc w:val="center"/>
              <w:rPr>
                <w:rFonts w:ascii="Times New Roman" w:eastAsiaTheme="minorEastAsia" w:hAnsi="Times New Roman" w:cs="Times New Roman"/>
                <w:kern w:val="2"/>
                <w:sz w:val="15"/>
                <w:szCs w:val="15"/>
                <w:lang w:val="zh-CN"/>
              </w:rPr>
            </w:pPr>
          </w:p>
        </w:tc>
      </w:tr>
    </w:tbl>
    <w:p w:rsidR="009846C2" w:rsidRDefault="00A433A0">
      <w:pPr>
        <w:pStyle w:val="21"/>
        <w:keepNext w:val="0"/>
        <w:keepLines w:val="0"/>
        <w:numPr>
          <w:ilvl w:val="0"/>
          <w:numId w:val="85"/>
        </w:numPr>
        <w:tabs>
          <w:tab w:val="left" w:pos="0"/>
        </w:tabs>
        <w:topLinePunct/>
        <w:autoSpaceDE/>
        <w:autoSpaceDN/>
        <w:spacing w:before="100" w:beforeAutospacing="1" w:after="100" w:afterAutospacing="1" w:line="360" w:lineRule="exact"/>
        <w:ind w:left="0" w:firstLine="0"/>
        <w:jc w:val="center"/>
        <w:rPr>
          <w:rFonts w:eastAsia="黑体"/>
          <w:b w:val="0"/>
          <w:kern w:val="2"/>
          <w:sz w:val="21"/>
          <w:szCs w:val="22"/>
        </w:rPr>
      </w:pPr>
      <w:r>
        <w:rPr>
          <w:rFonts w:eastAsia="黑体"/>
          <w:b w:val="0"/>
          <w:kern w:val="2"/>
          <w:sz w:val="21"/>
          <w:szCs w:val="22"/>
        </w:rPr>
        <w:t>防排烟系统</w:t>
      </w:r>
    </w:p>
    <w:p w:rsidR="009846C2" w:rsidRDefault="00A433A0">
      <w:pPr>
        <w:pStyle w:val="af1"/>
        <w:numPr>
          <w:ilvl w:val="0"/>
          <w:numId w:val="91"/>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bookmarkStart w:id="15" w:name="_Hlk81756308"/>
      <w:r>
        <w:rPr>
          <w:rFonts w:ascii="Times New Roman" w:eastAsia="宋体" w:hAnsi="Times New Roman" w:cs="Times New Roman"/>
          <w:bCs/>
          <w:kern w:val="2"/>
          <w:sz w:val="21"/>
          <w:szCs w:val="21"/>
        </w:rPr>
        <w:t>防烟分区</w:t>
      </w:r>
      <w:bookmarkEnd w:id="15"/>
    </w:p>
    <w:p w:rsidR="009846C2" w:rsidRDefault="00A433A0">
      <w:pPr>
        <w:pStyle w:val="af1"/>
        <w:widowControl w:val="0"/>
        <w:numPr>
          <w:ilvl w:val="0"/>
          <w:numId w:val="9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w:t>
      </w:r>
      <w:r>
        <w:rPr>
          <w:rFonts w:ascii="Times New Roman" w:eastAsia="宋体" w:hAnsi="Times New Roman" w:cs="Times New Roman"/>
          <w:kern w:val="2"/>
          <w:sz w:val="21"/>
          <w:szCs w:val="21"/>
        </w:rPr>
        <w:t>A</w:t>
      </w:r>
      <w:r>
        <w:rPr>
          <w:rFonts w:ascii="Times New Roman" w:eastAsia="宋体" w:hAnsi="Times New Roman" w:cs="Times New Roman"/>
          <w:kern w:val="2"/>
          <w:sz w:val="21"/>
          <w:szCs w:val="21"/>
        </w:rPr>
        <w:t>类全数检查。其他部位检查不少于各系统总数的</w:t>
      </w:r>
      <w:r>
        <w:rPr>
          <w:rFonts w:ascii="Times New Roman" w:eastAsia="宋体" w:hAnsi="Times New Roman" w:cs="Times New Roman"/>
          <w:kern w:val="2"/>
          <w:sz w:val="21"/>
          <w:szCs w:val="21"/>
        </w:rPr>
        <w:t>30%</w:t>
      </w:r>
      <w:r>
        <w:rPr>
          <w:rFonts w:ascii="Times New Roman" w:eastAsia="宋体" w:hAnsi="Times New Roman" w:cs="Times New Roman"/>
          <w:kern w:val="2"/>
          <w:sz w:val="21"/>
          <w:szCs w:val="21"/>
        </w:rPr>
        <w:t>抽查。</w:t>
      </w:r>
    </w:p>
    <w:p w:rsidR="009846C2" w:rsidRDefault="00A433A0">
      <w:pPr>
        <w:pStyle w:val="af1"/>
        <w:widowControl w:val="0"/>
        <w:numPr>
          <w:ilvl w:val="0"/>
          <w:numId w:val="9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6.3.1</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6.3.1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防烟分区验收标准和验收方法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防烟分区划分</w:t>
            </w:r>
          </w:p>
        </w:tc>
        <w:tc>
          <w:tcPr>
            <w:tcW w:w="2916"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防烟分区不应跨越防火分区；设置排烟设施的建筑内，敞开楼梯穿越楼板的开口部位应设置挡烟垂壁</w:t>
            </w:r>
          </w:p>
        </w:tc>
        <w:tc>
          <w:tcPr>
            <w:tcW w:w="893"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ind w:firstLineChars="100" w:firstLine="150"/>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核对设计文件，现场检查、现场测量</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防烟分区的最大允许面积及其长边最大允许长</w:t>
            </w:r>
            <w:r>
              <w:rPr>
                <w:rFonts w:ascii="Times New Roman" w:eastAsia="宋体" w:hAnsi="Times New Roman" w:cs="Times New Roman"/>
                <w:kern w:val="2"/>
                <w:sz w:val="15"/>
                <w:szCs w:val="15"/>
              </w:rPr>
              <w:lastRenderedPageBreak/>
              <w:t>度</w:t>
            </w:r>
          </w:p>
        </w:tc>
        <w:tc>
          <w:tcPr>
            <w:tcW w:w="2916"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防烟分区的最大允许面积及其长边最大允许长度应符合设计文件及下列规定：</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）防烟分区净高不大于</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时，最大允许面积不大于</w:t>
            </w:r>
            <w:r>
              <w:rPr>
                <w:rFonts w:ascii="Times New Roman" w:eastAsia="宋体" w:hAnsi="Times New Roman" w:cs="Times New Roman"/>
                <w:kern w:val="2"/>
                <w:sz w:val="15"/>
                <w:szCs w:val="15"/>
              </w:rPr>
              <w:t>500m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，长边最大允许长度</w:t>
            </w:r>
            <w:r>
              <w:rPr>
                <w:rFonts w:ascii="Times New Roman" w:eastAsia="宋体" w:hAnsi="Times New Roman" w:cs="Times New Roman"/>
                <w:kern w:val="2"/>
                <w:sz w:val="15"/>
                <w:szCs w:val="15"/>
              </w:rPr>
              <w:lastRenderedPageBreak/>
              <w:t>24m</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）防烟分区净高</w:t>
            </w:r>
            <w:r>
              <w:rPr>
                <w:rFonts w:ascii="Times New Roman" w:eastAsia="宋体" w:hAnsi="Times New Roman" w:cs="Times New Roman"/>
                <w:kern w:val="2"/>
                <w:sz w:val="15"/>
                <w:szCs w:val="15"/>
              </w:rPr>
              <w:t>3~6m</w:t>
            </w:r>
            <w:r>
              <w:rPr>
                <w:rFonts w:ascii="Times New Roman" w:eastAsia="宋体" w:hAnsi="Times New Roman" w:cs="Times New Roman"/>
                <w:kern w:val="2"/>
                <w:sz w:val="15"/>
                <w:szCs w:val="15"/>
              </w:rPr>
              <w:t>时，最大允许面积不大于</w:t>
            </w:r>
            <w:r>
              <w:rPr>
                <w:rFonts w:ascii="Times New Roman" w:eastAsia="宋体" w:hAnsi="Times New Roman" w:cs="Times New Roman"/>
                <w:kern w:val="2"/>
                <w:sz w:val="15"/>
                <w:szCs w:val="15"/>
              </w:rPr>
              <w:t>1000m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，长边最大允许长度</w:t>
            </w:r>
            <w:r>
              <w:rPr>
                <w:rFonts w:ascii="Times New Roman" w:eastAsia="宋体" w:hAnsi="Times New Roman" w:cs="Times New Roman"/>
                <w:kern w:val="2"/>
                <w:sz w:val="15"/>
                <w:szCs w:val="15"/>
              </w:rPr>
              <w:t>36m</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）防烟分区净高大于</w:t>
            </w:r>
            <w:r>
              <w:rPr>
                <w:rFonts w:ascii="Times New Roman" w:eastAsia="宋体" w:hAnsi="Times New Roman" w:cs="Times New Roman"/>
                <w:kern w:val="2"/>
                <w:sz w:val="15"/>
                <w:szCs w:val="15"/>
              </w:rPr>
              <w:t>6m</w:t>
            </w:r>
            <w:r>
              <w:rPr>
                <w:rFonts w:ascii="Times New Roman" w:eastAsia="宋体" w:hAnsi="Times New Roman" w:cs="Times New Roman"/>
                <w:kern w:val="2"/>
                <w:sz w:val="15"/>
                <w:szCs w:val="15"/>
              </w:rPr>
              <w:t>时，最大允许面积不大于</w:t>
            </w:r>
            <w:r>
              <w:rPr>
                <w:rFonts w:ascii="Times New Roman" w:eastAsia="宋体" w:hAnsi="Times New Roman" w:cs="Times New Roman"/>
                <w:kern w:val="2"/>
                <w:sz w:val="15"/>
                <w:szCs w:val="15"/>
              </w:rPr>
              <w:t>2000m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，长边最大允许长度</w:t>
            </w:r>
            <w:r>
              <w:rPr>
                <w:rFonts w:ascii="Times New Roman" w:eastAsia="宋体" w:hAnsi="Times New Roman" w:cs="Times New Roman"/>
                <w:kern w:val="2"/>
                <w:sz w:val="15"/>
                <w:szCs w:val="15"/>
              </w:rPr>
              <w:t>60m</w:t>
            </w:r>
            <w:r>
              <w:rPr>
                <w:rFonts w:ascii="Times New Roman" w:eastAsia="宋体" w:hAnsi="Times New Roman" w:cs="Times New Roman"/>
                <w:kern w:val="2"/>
                <w:sz w:val="15"/>
                <w:szCs w:val="15"/>
              </w:rPr>
              <w:t>，具有自然对流条件时，可放宽至</w:t>
            </w:r>
            <w:r>
              <w:rPr>
                <w:rFonts w:ascii="Times New Roman" w:eastAsia="宋体" w:hAnsi="Times New Roman" w:cs="Times New Roman"/>
                <w:kern w:val="2"/>
                <w:sz w:val="15"/>
                <w:szCs w:val="15"/>
              </w:rPr>
              <w:t>75m</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r>
              <w:rPr>
                <w:rFonts w:ascii="Times New Roman" w:eastAsia="宋体" w:hAnsi="Times New Roman" w:cs="Times New Roman"/>
                <w:kern w:val="2"/>
                <w:sz w:val="15"/>
                <w:szCs w:val="15"/>
              </w:rPr>
              <w:t>）走道宽度不大于</w:t>
            </w:r>
            <w:r>
              <w:rPr>
                <w:rFonts w:ascii="Times New Roman" w:eastAsia="宋体" w:hAnsi="Times New Roman" w:cs="Times New Roman"/>
                <w:kern w:val="2"/>
                <w:sz w:val="15"/>
                <w:szCs w:val="15"/>
              </w:rPr>
              <w:t>2.5m</w:t>
            </w:r>
            <w:r>
              <w:rPr>
                <w:rFonts w:ascii="Times New Roman" w:eastAsia="宋体" w:hAnsi="Times New Roman" w:cs="Times New Roman"/>
                <w:kern w:val="2"/>
                <w:sz w:val="15"/>
                <w:szCs w:val="15"/>
              </w:rPr>
              <w:t>时，其防烟分区的长边长度不应大于</w:t>
            </w:r>
            <w:r>
              <w:rPr>
                <w:rFonts w:ascii="Times New Roman" w:eastAsia="宋体" w:hAnsi="Times New Roman" w:cs="Times New Roman"/>
                <w:kern w:val="2"/>
                <w:sz w:val="15"/>
                <w:szCs w:val="15"/>
              </w:rPr>
              <w:t>60m</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lastRenderedPageBreak/>
              <w:t>核对设计文件现场检查、现场测量</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3</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挡烟垂壁安装</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挡烟垂壁的安装应符合下列规定：</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1</w:t>
            </w:r>
            <w:r>
              <w:rPr>
                <w:rFonts w:ascii="Times New Roman" w:eastAsia="宋体" w:hAnsi="Times New Roman" w:cs="Times New Roman"/>
                <w:kern w:val="2"/>
                <w:sz w:val="15"/>
                <w:szCs w:val="15"/>
                <w:lang w:val="zh-CN"/>
              </w:rPr>
              <w:t>）型号、规格、下垂的长度和安装位置应符合设计要求，活动挡烟垂壁及其电动驱动装置和控制装置应符合有关消防产品标准的规定，其型号、规格、数量应符合设计要求，动作可靠</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2</w:t>
            </w:r>
            <w:r>
              <w:rPr>
                <w:rFonts w:ascii="Times New Roman" w:eastAsia="宋体" w:hAnsi="Times New Roman" w:cs="Times New Roman"/>
                <w:kern w:val="2"/>
                <w:sz w:val="15"/>
                <w:szCs w:val="15"/>
                <w:lang w:val="zh-CN"/>
              </w:rPr>
              <w:t>）活动挡烟垂壁与建筑结构（柱或墙）面的缝隙不应大于</w:t>
            </w:r>
            <w:r>
              <w:rPr>
                <w:rFonts w:ascii="Times New Roman" w:eastAsia="宋体" w:hAnsi="Times New Roman" w:cs="Times New Roman"/>
                <w:kern w:val="2"/>
                <w:sz w:val="15"/>
                <w:szCs w:val="15"/>
                <w:lang w:val="zh-CN"/>
              </w:rPr>
              <w:t>60mm</w:t>
            </w:r>
            <w:r>
              <w:rPr>
                <w:rFonts w:ascii="Times New Roman" w:eastAsia="宋体" w:hAnsi="Times New Roman" w:cs="Times New Roman"/>
                <w:kern w:val="2"/>
                <w:sz w:val="15"/>
                <w:szCs w:val="15"/>
                <w:lang w:val="zh-CN"/>
              </w:rPr>
              <w:t>，由两块或两块以上的挡烟垂帘组成的连续性挡烟垂壁，各块之间不应有缝隙，搭接宽度不应小于</w:t>
            </w:r>
            <w:r>
              <w:rPr>
                <w:rFonts w:ascii="Times New Roman" w:eastAsia="宋体" w:hAnsi="Times New Roman" w:cs="Times New Roman"/>
                <w:kern w:val="2"/>
                <w:sz w:val="15"/>
                <w:szCs w:val="15"/>
                <w:lang w:val="zh-CN"/>
              </w:rPr>
              <w:t>100mm</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3</w:t>
            </w:r>
            <w:r>
              <w:rPr>
                <w:rFonts w:ascii="Times New Roman" w:eastAsia="宋体" w:hAnsi="Times New Roman" w:cs="Times New Roman"/>
                <w:kern w:val="2"/>
                <w:sz w:val="15"/>
                <w:szCs w:val="15"/>
                <w:lang w:val="zh-CN"/>
              </w:rPr>
              <w:t>）活动挡烟垂壁的手动操作按钮应固定安装在距楼地面</w:t>
            </w:r>
            <w:r>
              <w:rPr>
                <w:rFonts w:ascii="Times New Roman" w:eastAsia="宋体" w:hAnsi="Times New Roman" w:cs="Times New Roman"/>
                <w:kern w:val="2"/>
                <w:sz w:val="15"/>
                <w:szCs w:val="15"/>
                <w:lang w:val="zh-CN"/>
              </w:rPr>
              <w:t>1.3m~1.5m</w:t>
            </w:r>
            <w:r>
              <w:rPr>
                <w:rFonts w:ascii="Times New Roman" w:eastAsia="宋体" w:hAnsi="Times New Roman" w:cs="Times New Roman"/>
                <w:kern w:val="2"/>
                <w:sz w:val="15"/>
                <w:szCs w:val="15"/>
                <w:lang w:val="zh-CN"/>
              </w:rPr>
              <w:t>之间便于操作、明显可见处</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系统功能</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手动操作挡烟垂壁按钮进行开启、复位试验，挡烟垂壁应灵敏、可靠地启动与到位后停止，下降高度应符合设计要求；</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模拟火灾，相应区域火灾报警后，同一防烟分区内挡烟垂壁应在</w:t>
            </w:r>
            <w:r>
              <w:rPr>
                <w:rFonts w:ascii="Times New Roman" w:eastAsia="宋体" w:hAnsi="Times New Roman" w:cs="Times New Roman"/>
                <w:kern w:val="2"/>
                <w:sz w:val="15"/>
                <w:szCs w:val="15"/>
                <w:lang w:val="zh-CN"/>
              </w:rPr>
              <w:t>60s</w:t>
            </w:r>
            <w:r>
              <w:rPr>
                <w:rFonts w:ascii="Times New Roman" w:eastAsia="宋体" w:hAnsi="Times New Roman" w:cs="Times New Roman"/>
                <w:kern w:val="2"/>
                <w:sz w:val="15"/>
                <w:szCs w:val="15"/>
                <w:lang w:val="zh-CN"/>
              </w:rPr>
              <w:t>以内联动下降到设计高度；</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lastRenderedPageBreak/>
              <w:t>挡烟垂壁下降到设计高度后应能将状态信号反馈到消防控制室</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lastRenderedPageBreak/>
              <w:t>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numPr>
          <w:ilvl w:val="0"/>
          <w:numId w:val="91"/>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bCs/>
          <w:kern w:val="2"/>
          <w:sz w:val="21"/>
          <w:szCs w:val="21"/>
        </w:rPr>
        <w:lastRenderedPageBreak/>
        <w:t>自然通风、排烟设施</w:t>
      </w:r>
    </w:p>
    <w:p w:rsidR="009846C2" w:rsidRDefault="00A433A0">
      <w:pPr>
        <w:pStyle w:val="af1"/>
        <w:widowControl w:val="0"/>
        <w:numPr>
          <w:ilvl w:val="0"/>
          <w:numId w:val="93"/>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w:t>
      </w:r>
      <w:r>
        <w:rPr>
          <w:rFonts w:ascii="Times New Roman" w:eastAsia="宋体" w:hAnsi="Times New Roman" w:cs="Times New Roman"/>
          <w:kern w:val="2"/>
          <w:sz w:val="21"/>
          <w:szCs w:val="21"/>
        </w:rPr>
        <w:t>A</w:t>
      </w:r>
      <w:r>
        <w:rPr>
          <w:rFonts w:ascii="Times New Roman" w:eastAsia="宋体" w:hAnsi="Times New Roman" w:cs="Times New Roman"/>
          <w:kern w:val="2"/>
          <w:sz w:val="21"/>
          <w:szCs w:val="21"/>
        </w:rPr>
        <w:t>类全数检查。其他部位检查不少于各系统总数的</w:t>
      </w:r>
      <w:r>
        <w:rPr>
          <w:rFonts w:ascii="Times New Roman" w:eastAsia="宋体" w:hAnsi="Times New Roman" w:cs="Times New Roman"/>
          <w:kern w:val="2"/>
          <w:sz w:val="21"/>
          <w:szCs w:val="21"/>
        </w:rPr>
        <w:t>30%</w:t>
      </w:r>
      <w:r>
        <w:rPr>
          <w:rFonts w:ascii="Times New Roman" w:eastAsia="宋体" w:hAnsi="Times New Roman" w:cs="Times New Roman"/>
          <w:kern w:val="2"/>
          <w:sz w:val="21"/>
          <w:szCs w:val="21"/>
        </w:rPr>
        <w:t>抽查。</w:t>
      </w:r>
    </w:p>
    <w:p w:rsidR="009846C2" w:rsidRDefault="00A433A0">
      <w:pPr>
        <w:pStyle w:val="af1"/>
        <w:widowControl w:val="0"/>
        <w:numPr>
          <w:ilvl w:val="0"/>
          <w:numId w:val="93"/>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6.3.2</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bookmarkStart w:id="16" w:name="_Hlk81756291"/>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6.3.2 </w:t>
      </w:r>
      <w:r>
        <w:rPr>
          <w:rFonts w:ascii="Times New Roman" w:eastAsia="黑体" w:hAnsi="Times New Roman" w:cs="Times New Roman"/>
          <w:kern w:val="2"/>
          <w:sz w:val="18"/>
          <w:szCs w:val="18"/>
        </w:rPr>
        <w:t>自然通风、排烟设施验收标准和验收方法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bookmarkStart w:id="17" w:name="_Hlk81668067"/>
            <w:bookmarkEnd w:id="16"/>
            <w:r>
              <w:rPr>
                <w:rFonts w:ascii="Times New Roman" w:eastAsia="宋体" w:hAnsi="Times New Roman" w:cs="Times New Roman"/>
                <w:kern w:val="2"/>
                <w:sz w:val="15"/>
                <w:szCs w:val="15"/>
              </w:rPr>
              <w:t>序号</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自然通风设施</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highlight w:val="yellow"/>
                <w:lang w:val="zh-CN"/>
              </w:rPr>
            </w:pPr>
            <w:r>
              <w:rPr>
                <w:rFonts w:ascii="Times New Roman" w:eastAsia="宋体" w:hAnsi="Times New Roman" w:cs="Times New Roman"/>
                <w:kern w:val="2"/>
                <w:sz w:val="15"/>
                <w:szCs w:val="15"/>
                <w:lang w:val="zh-CN"/>
              </w:rPr>
              <w:t>自然排烟设施的设置场所（部位）及其自然排烟窗</w:t>
            </w:r>
            <w:r>
              <w:rPr>
                <w:rFonts w:ascii="Times New Roman" w:eastAsia="宋体" w:hAnsi="Times New Roman" w:cs="Times New Roman"/>
                <w:kern w:val="2"/>
                <w:sz w:val="15"/>
                <w:szCs w:val="15"/>
                <w:lang w:val="zh-CN"/>
              </w:rPr>
              <w:t>(</w:t>
            </w:r>
            <w:r>
              <w:rPr>
                <w:rFonts w:ascii="Times New Roman" w:eastAsia="宋体" w:hAnsi="Times New Roman" w:cs="Times New Roman"/>
                <w:kern w:val="2"/>
                <w:sz w:val="15"/>
                <w:szCs w:val="15"/>
                <w:lang w:val="zh-CN"/>
              </w:rPr>
              <w:t>口</w:t>
            </w:r>
            <w:r>
              <w:rPr>
                <w:rFonts w:ascii="Times New Roman" w:eastAsia="宋体" w:hAnsi="Times New Roman" w:cs="Times New Roman"/>
                <w:kern w:val="2"/>
                <w:sz w:val="15"/>
                <w:szCs w:val="15"/>
                <w:lang w:val="zh-CN"/>
              </w:rPr>
              <w:t>)</w:t>
            </w:r>
            <w:r>
              <w:rPr>
                <w:rFonts w:ascii="Times New Roman" w:eastAsia="宋体" w:hAnsi="Times New Roman" w:cs="Times New Roman"/>
                <w:kern w:val="2"/>
                <w:sz w:val="15"/>
                <w:szCs w:val="15"/>
                <w:lang w:val="zh-CN"/>
              </w:rPr>
              <w:t>的面积、数量、位置应符合设计文件及现行国家工程建设消防技术标准的要求，应设置的场所（部位）无漏设</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采用自然通风方式的封闭楼梯间、防烟楼梯间，应在最高部位设置面积不小于</w:t>
            </w:r>
            <w:r>
              <w:rPr>
                <w:rFonts w:ascii="Times New Roman" w:eastAsia="宋体" w:hAnsi="Times New Roman" w:cs="Times New Roman"/>
                <w:kern w:val="2"/>
                <w:sz w:val="15"/>
                <w:szCs w:val="15"/>
              </w:rPr>
              <w:t>1.0m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的可开启外窗或开口</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当建筑物高度大于</w:t>
            </w:r>
            <w:r>
              <w:rPr>
                <w:rFonts w:ascii="Times New Roman" w:eastAsia="宋体" w:hAnsi="Times New Roman" w:cs="Times New Roman"/>
                <w:kern w:val="2"/>
                <w:sz w:val="15"/>
                <w:szCs w:val="15"/>
              </w:rPr>
              <w:t>10m</w:t>
            </w:r>
            <w:r>
              <w:rPr>
                <w:rFonts w:ascii="Times New Roman" w:eastAsia="宋体" w:hAnsi="Times New Roman" w:cs="Times New Roman"/>
                <w:kern w:val="2"/>
                <w:sz w:val="15"/>
                <w:szCs w:val="15"/>
              </w:rPr>
              <w:t>时，尚应在楼梯间的外墙上每</w:t>
            </w:r>
            <w:r>
              <w:rPr>
                <w:rFonts w:ascii="Times New Roman" w:eastAsia="宋体" w:hAnsi="Times New Roman" w:cs="Times New Roman"/>
                <w:kern w:val="2"/>
                <w:sz w:val="15"/>
                <w:szCs w:val="15"/>
              </w:rPr>
              <w:t>5</w:t>
            </w:r>
            <w:r>
              <w:rPr>
                <w:rFonts w:ascii="Times New Roman" w:eastAsia="宋体" w:hAnsi="Times New Roman" w:cs="Times New Roman"/>
                <w:kern w:val="2"/>
                <w:sz w:val="15"/>
                <w:szCs w:val="15"/>
              </w:rPr>
              <w:t>层内设置总面积不小于</w:t>
            </w:r>
            <w:r>
              <w:rPr>
                <w:rFonts w:ascii="Times New Roman" w:eastAsia="宋体" w:hAnsi="Times New Roman" w:cs="Times New Roman"/>
                <w:kern w:val="2"/>
                <w:sz w:val="15"/>
                <w:szCs w:val="15"/>
              </w:rPr>
              <w:t>2.0m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的可开启外窗或开口，且布置间隔不大于</w:t>
            </w: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层</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前室采用自然通风方式时，独立前室、消防电梯前室可开启外窗或开口的面积不应小于</w:t>
            </w:r>
            <w:r>
              <w:rPr>
                <w:rFonts w:ascii="Times New Roman" w:eastAsia="宋体" w:hAnsi="Times New Roman" w:cs="Times New Roman"/>
                <w:kern w:val="2"/>
                <w:sz w:val="15"/>
                <w:szCs w:val="15"/>
              </w:rPr>
              <w:t>2m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共用前室、合用前室不应小于</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 xml:space="preserve"> </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当地下、半地下建筑（室）的封闭楼梯间不与地上楼梯间共用且地下仅为一层时，采取自然通风方式，其首层应设置有效面积不</w:t>
            </w:r>
            <w:r>
              <w:rPr>
                <w:rFonts w:ascii="Times New Roman" w:eastAsia="宋体" w:hAnsi="Times New Roman" w:cs="Times New Roman"/>
                <w:kern w:val="2"/>
                <w:sz w:val="15"/>
                <w:szCs w:val="15"/>
              </w:rPr>
              <w:lastRenderedPageBreak/>
              <w:t>小于</w:t>
            </w:r>
            <w:r>
              <w:rPr>
                <w:rFonts w:ascii="Times New Roman" w:eastAsia="宋体" w:hAnsi="Times New Roman" w:cs="Times New Roman"/>
                <w:kern w:val="2"/>
                <w:sz w:val="15"/>
                <w:szCs w:val="15"/>
              </w:rPr>
              <w:t>1.2m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的可开启外窗或直通室外的疏散门</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核对设计文件，现场检查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可开启外窗应方便直接开启，设置在高处不便于直接开启的外窗应在距地</w:t>
            </w:r>
            <w:r>
              <w:rPr>
                <w:rFonts w:ascii="Times New Roman" w:eastAsia="宋体" w:hAnsi="Times New Roman" w:cs="Times New Roman"/>
                <w:kern w:val="2"/>
                <w:sz w:val="15"/>
                <w:szCs w:val="15"/>
                <w:lang w:val="zh-CN"/>
              </w:rPr>
              <w:t>1.3m~1.5m</w:t>
            </w:r>
            <w:r>
              <w:rPr>
                <w:rFonts w:ascii="Times New Roman" w:eastAsia="宋体" w:hAnsi="Times New Roman" w:cs="Times New Roman"/>
                <w:kern w:val="2"/>
                <w:sz w:val="15"/>
                <w:szCs w:val="15"/>
                <w:lang w:val="zh-CN"/>
              </w:rPr>
              <w:t>位置设置手动开启装置</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自然排烟设施</w:t>
            </w:r>
          </w:p>
        </w:tc>
        <w:tc>
          <w:tcPr>
            <w:tcW w:w="2916" w:type="dxa"/>
            <w:tcBorders>
              <w:top w:val="single" w:sz="8" w:space="0" w:color="000000"/>
              <w:left w:val="single" w:sz="8" w:space="0" w:color="000000"/>
              <w:bottom w:val="single" w:sz="8" w:space="0" w:color="000000"/>
              <w:right w:val="single" w:sz="8" w:space="0" w:color="000000"/>
            </w:tcBorders>
            <w:shd w:val="clear" w:color="auto" w:fill="FFFFFF"/>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防烟分区内任一点与最近的自然排烟窗（口）之间的的水平距离不应大于建筑内空间净高的</w:t>
            </w:r>
            <w:r>
              <w:rPr>
                <w:rFonts w:ascii="Times New Roman" w:eastAsia="宋体" w:hAnsi="Times New Roman" w:cs="Times New Roman"/>
                <w:kern w:val="2"/>
                <w:sz w:val="15"/>
                <w:szCs w:val="15"/>
              </w:rPr>
              <w:t>2.8</w:t>
            </w:r>
            <w:r>
              <w:rPr>
                <w:rFonts w:ascii="Times New Roman" w:eastAsia="宋体" w:hAnsi="Times New Roman" w:cs="Times New Roman"/>
                <w:kern w:val="2"/>
                <w:sz w:val="15"/>
                <w:szCs w:val="15"/>
              </w:rPr>
              <w:t>倍，当层高低于</w:t>
            </w:r>
            <w:r>
              <w:rPr>
                <w:rFonts w:ascii="Times New Roman" w:eastAsia="宋体" w:hAnsi="Times New Roman" w:cs="Times New Roman"/>
                <w:kern w:val="2"/>
                <w:sz w:val="15"/>
                <w:szCs w:val="15"/>
              </w:rPr>
              <w:t>10.7m</w:t>
            </w:r>
            <w:r>
              <w:rPr>
                <w:rFonts w:ascii="Times New Roman" w:eastAsia="宋体" w:hAnsi="Times New Roman" w:cs="Times New Roman"/>
                <w:kern w:val="2"/>
                <w:sz w:val="15"/>
                <w:szCs w:val="15"/>
              </w:rPr>
              <w:t>时，水平距离不应大于</w:t>
            </w:r>
            <w:r>
              <w:rPr>
                <w:rFonts w:ascii="Times New Roman" w:eastAsia="宋体" w:hAnsi="Times New Roman" w:cs="Times New Roman"/>
                <w:kern w:val="2"/>
                <w:sz w:val="15"/>
                <w:szCs w:val="15"/>
              </w:rPr>
              <w:t>30m</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自然排烟窗（口）应设置在顶棚上或外墙上方，当设置在外墙上时，应设置于设计文件规定的储烟仓以内，室内空间净高不大于</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的区域可设置在室内净高的</w:t>
            </w:r>
            <w:r>
              <w:rPr>
                <w:rFonts w:ascii="Times New Roman" w:eastAsia="宋体" w:hAnsi="Times New Roman" w:cs="Times New Roman"/>
                <w:kern w:val="2"/>
                <w:sz w:val="15"/>
                <w:szCs w:val="15"/>
              </w:rPr>
              <w:t>1/2</w:t>
            </w:r>
            <w:r>
              <w:rPr>
                <w:rFonts w:ascii="Times New Roman" w:eastAsia="宋体" w:hAnsi="Times New Roman" w:cs="Times New Roman"/>
                <w:kern w:val="2"/>
                <w:sz w:val="15"/>
                <w:szCs w:val="15"/>
              </w:rPr>
              <w:t>以上</w:t>
            </w:r>
          </w:p>
        </w:tc>
        <w:tc>
          <w:tcPr>
            <w:tcW w:w="893"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自然排烟窗（口）的有效排烟面积应符合消防设计文件，其允许负偏差不应大于规定值的</w:t>
            </w:r>
            <w:r>
              <w:rPr>
                <w:rFonts w:ascii="Times New Roman" w:eastAsia="宋体" w:hAnsi="Times New Roman" w:cs="Times New Roman"/>
                <w:kern w:val="2"/>
                <w:sz w:val="15"/>
                <w:szCs w:val="15"/>
              </w:rPr>
              <w:t>- 5</w:t>
            </w:r>
            <w:r>
              <w:rPr>
                <w:rFonts w:ascii="Times New Roman" w:eastAsia="宋体" w:hAnsi="Times New Roman" w:cs="Times New Roman"/>
                <w:kern w:val="2"/>
                <w:sz w:val="15"/>
                <w:szCs w:val="15"/>
              </w:rPr>
              <w:t>％</w:t>
            </w:r>
          </w:p>
        </w:tc>
        <w:tc>
          <w:tcPr>
            <w:tcW w:w="893" w:type="dxa"/>
            <w:tcBorders>
              <w:left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可开启外窗应方便直接开启，设置在高处不便于直接开启的外窗应在距地</w:t>
            </w:r>
            <w:r>
              <w:rPr>
                <w:rFonts w:ascii="Times New Roman" w:eastAsia="宋体" w:hAnsi="Times New Roman" w:cs="Times New Roman"/>
                <w:kern w:val="2"/>
                <w:sz w:val="15"/>
                <w:szCs w:val="15"/>
              </w:rPr>
              <w:t>1.3m~1.5m</w:t>
            </w:r>
            <w:r>
              <w:rPr>
                <w:rFonts w:ascii="Times New Roman" w:eastAsia="宋体" w:hAnsi="Times New Roman" w:cs="Times New Roman"/>
                <w:kern w:val="2"/>
                <w:sz w:val="15"/>
                <w:szCs w:val="15"/>
              </w:rPr>
              <w:t>位置设置手动开启装置</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bookmarkEnd w:id="17"/>
    <w:p w:rsidR="009846C2" w:rsidRDefault="00A433A0">
      <w:pPr>
        <w:pStyle w:val="af1"/>
        <w:numPr>
          <w:ilvl w:val="0"/>
          <w:numId w:val="91"/>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bCs/>
          <w:kern w:val="2"/>
          <w:sz w:val="21"/>
          <w:szCs w:val="21"/>
        </w:rPr>
        <w:t>机械防排烟系统</w:t>
      </w:r>
    </w:p>
    <w:p w:rsidR="009846C2" w:rsidRDefault="00A433A0">
      <w:pPr>
        <w:pStyle w:val="af1"/>
        <w:widowControl w:val="0"/>
        <w:numPr>
          <w:ilvl w:val="0"/>
          <w:numId w:val="94"/>
        </w:numPr>
        <w:tabs>
          <w:tab w:val="left" w:pos="0"/>
        </w:tabs>
        <w:topLinePunct/>
        <w:spacing w:line="360" w:lineRule="exact"/>
        <w:ind w:firstLine="420"/>
        <w:jc w:val="both"/>
        <w:rPr>
          <w:rFonts w:ascii="Times New Roman" w:eastAsia="宋体" w:hAnsi="Times New Roman" w:cs="Times New Roman"/>
          <w:kern w:val="2"/>
          <w:sz w:val="21"/>
          <w:szCs w:val="21"/>
        </w:rPr>
      </w:pPr>
      <w:bookmarkStart w:id="18" w:name="_Hlk78273084"/>
      <w:r>
        <w:rPr>
          <w:rFonts w:ascii="Times New Roman" w:eastAsia="宋体" w:hAnsi="Times New Roman" w:cs="Times New Roman"/>
          <w:kern w:val="2"/>
          <w:sz w:val="21"/>
          <w:szCs w:val="21"/>
        </w:rPr>
        <w:t>检查数量：</w:t>
      </w:r>
      <w:r>
        <w:rPr>
          <w:rFonts w:ascii="Times New Roman" w:eastAsia="宋体" w:hAnsi="Times New Roman" w:cs="Times New Roman"/>
          <w:kern w:val="2"/>
          <w:sz w:val="21"/>
          <w:szCs w:val="21"/>
        </w:rPr>
        <w:t>A</w:t>
      </w:r>
      <w:r>
        <w:rPr>
          <w:rFonts w:ascii="Times New Roman" w:eastAsia="宋体" w:hAnsi="Times New Roman" w:cs="Times New Roman"/>
          <w:kern w:val="2"/>
          <w:sz w:val="21"/>
          <w:szCs w:val="21"/>
        </w:rPr>
        <w:t>类全数检查。</w:t>
      </w:r>
      <w:bookmarkEnd w:id="18"/>
      <w:r>
        <w:rPr>
          <w:rFonts w:ascii="Times New Roman" w:eastAsia="宋体" w:hAnsi="Times New Roman" w:cs="Times New Roman"/>
          <w:kern w:val="2"/>
          <w:sz w:val="21"/>
          <w:szCs w:val="21"/>
        </w:rPr>
        <w:t>其他部位检查不少于各系统总数的</w:t>
      </w:r>
      <w:r>
        <w:rPr>
          <w:rFonts w:ascii="Times New Roman" w:eastAsia="宋体" w:hAnsi="Times New Roman" w:cs="Times New Roman"/>
          <w:kern w:val="2"/>
          <w:sz w:val="21"/>
          <w:szCs w:val="21"/>
        </w:rPr>
        <w:t>30%</w:t>
      </w:r>
      <w:r>
        <w:rPr>
          <w:rFonts w:ascii="Times New Roman" w:eastAsia="宋体" w:hAnsi="Times New Roman" w:cs="Times New Roman"/>
          <w:kern w:val="2"/>
          <w:sz w:val="21"/>
          <w:szCs w:val="21"/>
        </w:rPr>
        <w:t>抽查。</w:t>
      </w:r>
    </w:p>
    <w:p w:rsidR="009846C2" w:rsidRDefault="00A433A0">
      <w:pPr>
        <w:pStyle w:val="af1"/>
        <w:widowControl w:val="0"/>
        <w:numPr>
          <w:ilvl w:val="0"/>
          <w:numId w:val="94"/>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6.3.3</w:t>
      </w:r>
      <w:r>
        <w:rPr>
          <w:rFonts w:ascii="Times New Roman" w:eastAsia="宋体" w:hAnsi="Times New Roman" w:cs="Times New Roman"/>
          <w:kern w:val="2"/>
          <w:sz w:val="21"/>
          <w:szCs w:val="21"/>
        </w:rPr>
        <w:t>。</w:t>
      </w:r>
    </w:p>
    <w:p w:rsidR="009846C2" w:rsidRDefault="00A433A0">
      <w:pPr>
        <w:widowControl w:val="0"/>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6.3.3  </w:t>
      </w:r>
      <w:r>
        <w:rPr>
          <w:rFonts w:ascii="Times New Roman" w:eastAsia="黑体" w:hAnsi="Times New Roman" w:cs="Times New Roman"/>
          <w:kern w:val="2"/>
          <w:sz w:val="18"/>
          <w:szCs w:val="18"/>
        </w:rPr>
        <w:t>机械防排烟系统验收标准和验收方法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序号</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系统设置</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建筑的机械排烟系统沿水平方向布置时，每个防火分区的机械排烟系统应独立设置</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核对设计文件，现场检查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排烟系统与通风、空气调节系统合用时，当排烟口打开时，每个排烟合用系统的管道上需联动关闭的通风和空气调节系统的控制阀门不应超过</w:t>
            </w:r>
            <w:r>
              <w:rPr>
                <w:rFonts w:ascii="Times New Roman" w:eastAsia="宋体" w:hAnsi="Times New Roman" w:cs="Times New Roman"/>
                <w:kern w:val="2"/>
                <w:sz w:val="15"/>
                <w:szCs w:val="15"/>
              </w:rPr>
              <w:t>10</w:t>
            </w:r>
            <w:r>
              <w:rPr>
                <w:rFonts w:ascii="Times New Roman" w:eastAsia="宋体" w:hAnsi="Times New Roman" w:cs="Times New Roman"/>
                <w:kern w:val="2"/>
                <w:sz w:val="15"/>
                <w:szCs w:val="15"/>
              </w:rPr>
              <w:t>个</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核对设计文件，现场检查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风机的选型与安装</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风机铭牌的风量、风压、电流和电压应符合消防设计文件</w:t>
            </w:r>
          </w:p>
        </w:tc>
        <w:tc>
          <w:tcPr>
            <w:tcW w:w="893"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w:t>
            </w:r>
            <w:r>
              <w:rPr>
                <w:rFonts w:ascii="Times New Roman" w:eastAsia="宋体" w:hAnsi="Times New Roman" w:cs="Times New Roman"/>
                <w:kern w:val="2"/>
                <w:sz w:val="15"/>
                <w:szCs w:val="15"/>
                <w:lang w:val="zh-CN"/>
              </w:rPr>
              <w:t>检查风机质量证明文件</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风机应设置在专用机房内，且风机两侧应有</w:t>
            </w:r>
            <w:r>
              <w:rPr>
                <w:rFonts w:ascii="Times New Roman" w:eastAsia="宋体" w:hAnsi="Times New Roman" w:cs="Times New Roman"/>
                <w:kern w:val="2"/>
                <w:sz w:val="15"/>
                <w:szCs w:val="15"/>
              </w:rPr>
              <w:t>600mm</w:t>
            </w:r>
            <w:r>
              <w:rPr>
                <w:rFonts w:ascii="Times New Roman" w:eastAsia="宋体" w:hAnsi="Times New Roman" w:cs="Times New Roman"/>
                <w:kern w:val="2"/>
                <w:sz w:val="15"/>
                <w:szCs w:val="15"/>
              </w:rPr>
              <w:t>以上的空间。对于排烟系统与通风空气调节系统共用的系统，其排烟风机与排风风机的合用机房应符合下列规定：</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）机房内应设置自动喷水灭火系统；</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）排烟风机机房内不得设置用于机械加压送风的风机与管道；</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）风机应设在混凝土或钢架基础上，且不应设置减振装置；若排烟系统与通风空调系统共用且需要设置减振装置时，不应使用橡胶减振装置</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核对设计文件，现场检查、现场测量</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风机安装稳固，叶轮旋转方向正确，风机启动、运转平稳，无异常振动与声响</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风管制作与安装</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加压送风、机械排烟系统不应采用土建风道，风管采用不燃材料制作且内壁应光滑，当管道内壁为金属时，管道设计风速不应大于</w:t>
            </w:r>
            <w:r>
              <w:rPr>
                <w:rFonts w:ascii="Times New Roman" w:eastAsia="宋体" w:hAnsi="Times New Roman" w:cs="Times New Roman"/>
                <w:kern w:val="2"/>
                <w:sz w:val="15"/>
                <w:szCs w:val="15"/>
              </w:rPr>
              <w:t>20m/s</w:t>
            </w:r>
            <w:r>
              <w:rPr>
                <w:rFonts w:ascii="Times New Roman" w:eastAsia="宋体" w:hAnsi="Times New Roman" w:cs="Times New Roman"/>
                <w:kern w:val="2"/>
                <w:sz w:val="15"/>
                <w:szCs w:val="15"/>
              </w:rPr>
              <w:t>，当管道内壁为非金属时，管道设计风速不应大于</w:t>
            </w:r>
            <w:r>
              <w:rPr>
                <w:rFonts w:ascii="Times New Roman" w:eastAsia="宋体" w:hAnsi="Times New Roman" w:cs="Times New Roman"/>
                <w:kern w:val="2"/>
                <w:sz w:val="15"/>
                <w:szCs w:val="15"/>
              </w:rPr>
              <w:t>15m/s</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加压送风、排烟管道的设置和耐火极限应符合下列规定：</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）竖向设置的送风管道、排烟管道应独立设置在管道井内，当确有困难时，未设置在管道井内或与其他管道合用管道井的送风管道，其耐火极限不应低于</w:t>
            </w:r>
            <w:r>
              <w:rPr>
                <w:rFonts w:ascii="Times New Roman" w:eastAsia="宋体" w:hAnsi="Times New Roman" w:cs="Times New Roman"/>
                <w:kern w:val="2"/>
                <w:sz w:val="15"/>
                <w:szCs w:val="15"/>
              </w:rPr>
              <w:t>1.0h</w:t>
            </w:r>
            <w:r>
              <w:rPr>
                <w:rFonts w:ascii="Times New Roman" w:eastAsia="宋体" w:hAnsi="Times New Roman" w:cs="Times New Roman"/>
                <w:kern w:val="2"/>
                <w:sz w:val="15"/>
                <w:szCs w:val="15"/>
              </w:rPr>
              <w:t>。水平设置的送风管道，当设置在吊顶内时，其耐火极限不应低于</w:t>
            </w:r>
            <w:r>
              <w:rPr>
                <w:rFonts w:ascii="Times New Roman" w:eastAsia="宋体" w:hAnsi="Times New Roman" w:cs="Times New Roman"/>
                <w:kern w:val="2"/>
                <w:sz w:val="15"/>
                <w:szCs w:val="15"/>
              </w:rPr>
              <w:t>0.5h</w:t>
            </w:r>
            <w:r>
              <w:rPr>
                <w:rFonts w:ascii="Times New Roman" w:eastAsia="宋体" w:hAnsi="Times New Roman" w:cs="Times New Roman"/>
                <w:kern w:val="2"/>
                <w:sz w:val="15"/>
                <w:szCs w:val="15"/>
              </w:rPr>
              <w:t>；当未设置在吊顶内时，其耐火极限不应低于</w:t>
            </w:r>
            <w:r>
              <w:rPr>
                <w:rFonts w:ascii="Times New Roman" w:eastAsia="宋体" w:hAnsi="Times New Roman" w:cs="Times New Roman"/>
                <w:kern w:val="2"/>
                <w:sz w:val="15"/>
                <w:szCs w:val="15"/>
              </w:rPr>
              <w:t>1.0h</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）竖向设置的排烟管道应设置在独立的管道井内，排烟管道的耐火极限不应低于</w:t>
            </w:r>
            <w:r>
              <w:rPr>
                <w:rFonts w:ascii="Times New Roman" w:eastAsia="宋体" w:hAnsi="Times New Roman" w:cs="Times New Roman"/>
                <w:kern w:val="2"/>
                <w:sz w:val="15"/>
                <w:szCs w:val="15"/>
              </w:rPr>
              <w:t>0.5h</w:t>
            </w:r>
            <w:r>
              <w:rPr>
                <w:rFonts w:ascii="Times New Roman" w:eastAsia="宋体" w:hAnsi="Times New Roman" w:cs="Times New Roman"/>
                <w:kern w:val="2"/>
                <w:sz w:val="15"/>
                <w:szCs w:val="15"/>
              </w:rPr>
              <w:t>。水平设置的排烟管道应设置在吊顶内，其耐火极限不应低于</w:t>
            </w:r>
            <w:r>
              <w:rPr>
                <w:rFonts w:ascii="Times New Roman" w:eastAsia="宋体" w:hAnsi="Times New Roman" w:cs="Times New Roman"/>
                <w:kern w:val="2"/>
                <w:sz w:val="15"/>
                <w:szCs w:val="15"/>
              </w:rPr>
              <w:t>0.5h</w:t>
            </w:r>
            <w:r>
              <w:rPr>
                <w:rFonts w:ascii="Times New Roman" w:eastAsia="宋体" w:hAnsi="Times New Roman" w:cs="Times New Roman"/>
                <w:kern w:val="2"/>
                <w:sz w:val="15"/>
                <w:szCs w:val="15"/>
              </w:rPr>
              <w:t>；当确有困难时，可直接设置在室内，但管道的耐火极限不应小于</w:t>
            </w:r>
            <w:r>
              <w:rPr>
                <w:rFonts w:ascii="Times New Roman" w:eastAsia="宋体" w:hAnsi="Times New Roman" w:cs="Times New Roman"/>
                <w:kern w:val="2"/>
                <w:sz w:val="15"/>
                <w:szCs w:val="15"/>
              </w:rPr>
              <w:t>1.0h</w:t>
            </w:r>
            <w:r>
              <w:rPr>
                <w:rFonts w:ascii="Times New Roman" w:eastAsia="宋体" w:hAnsi="Times New Roman" w:cs="Times New Roman"/>
                <w:kern w:val="2"/>
                <w:sz w:val="15"/>
                <w:szCs w:val="15"/>
              </w:rPr>
              <w:t>。设置在走道部位吊顶内的排烟管道，以及穿越防火分区的排烟管道，其管道的耐火极限不应小于</w:t>
            </w:r>
            <w:r>
              <w:rPr>
                <w:rFonts w:ascii="Times New Roman" w:eastAsia="宋体" w:hAnsi="Times New Roman" w:cs="Times New Roman"/>
                <w:kern w:val="2"/>
                <w:sz w:val="15"/>
                <w:szCs w:val="15"/>
              </w:rPr>
              <w:t>1.0h</w:t>
            </w:r>
            <w:r>
              <w:rPr>
                <w:rFonts w:ascii="Times New Roman" w:eastAsia="宋体" w:hAnsi="Times New Roman" w:cs="Times New Roman"/>
                <w:kern w:val="2"/>
                <w:sz w:val="15"/>
                <w:szCs w:val="15"/>
              </w:rPr>
              <w:t>，设备用房的排烟管道耐火极限可不低于</w:t>
            </w:r>
            <w:r>
              <w:rPr>
                <w:rFonts w:ascii="Times New Roman" w:eastAsia="宋体" w:hAnsi="Times New Roman" w:cs="Times New Roman"/>
                <w:kern w:val="2"/>
                <w:sz w:val="15"/>
                <w:szCs w:val="15"/>
              </w:rPr>
              <w:t>0.5h</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lang w:val="zh-CN"/>
              </w:rPr>
              <w:t>现场检查，查阅风管检验报告</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吊顶内的排烟管道应采用不燃材料进行隔热，并应与可燃物保持不小于</w:t>
            </w:r>
            <w:r>
              <w:rPr>
                <w:rFonts w:ascii="Times New Roman" w:eastAsia="宋体" w:hAnsi="Times New Roman" w:cs="Times New Roman"/>
                <w:kern w:val="2"/>
                <w:sz w:val="15"/>
                <w:szCs w:val="15"/>
              </w:rPr>
              <w:t>150mm</w:t>
            </w:r>
            <w:r>
              <w:rPr>
                <w:rFonts w:ascii="Times New Roman" w:eastAsia="宋体" w:hAnsi="Times New Roman" w:cs="Times New Roman"/>
                <w:kern w:val="2"/>
                <w:sz w:val="15"/>
                <w:szCs w:val="15"/>
              </w:rPr>
              <w:t>的距离</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当风管穿过需要封闭的防火墙体或楼板时，必须设置厚度不小于</w:t>
            </w:r>
            <w:r>
              <w:rPr>
                <w:rFonts w:ascii="Times New Roman" w:eastAsia="宋体" w:hAnsi="Times New Roman" w:cs="Times New Roman"/>
                <w:kern w:val="2"/>
                <w:sz w:val="15"/>
                <w:szCs w:val="15"/>
              </w:rPr>
              <w:t>1.6mm</w:t>
            </w:r>
            <w:r>
              <w:rPr>
                <w:rFonts w:ascii="Times New Roman" w:eastAsia="宋体" w:hAnsi="Times New Roman" w:cs="Times New Roman"/>
                <w:kern w:val="2"/>
                <w:sz w:val="15"/>
                <w:szCs w:val="15"/>
              </w:rPr>
              <w:t>的钢制防护套管；风管与防护套管之间应采用不燃柔性材料封堵严密</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核对设计文件，现场检查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lang w:val="zh-CN"/>
              </w:rPr>
              <w:t>4</w:t>
            </w:r>
          </w:p>
        </w:tc>
        <w:tc>
          <w:tcPr>
            <w:tcW w:w="893"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阀门的</w:t>
            </w:r>
            <w:r>
              <w:rPr>
                <w:rFonts w:ascii="Times New Roman" w:eastAsia="宋体" w:hAnsi="Times New Roman" w:cs="Times New Roman"/>
                <w:kern w:val="2"/>
                <w:sz w:val="15"/>
                <w:szCs w:val="15"/>
                <w:lang w:val="zh-CN"/>
              </w:rPr>
              <w:t>设置与安装</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风管在下列部位应设置公称动作温度为</w:t>
            </w:r>
            <w:r>
              <w:rPr>
                <w:rFonts w:ascii="Times New Roman" w:eastAsia="宋体" w:hAnsi="Times New Roman" w:cs="Times New Roman"/>
                <w:kern w:val="2"/>
                <w:sz w:val="15"/>
                <w:szCs w:val="15"/>
              </w:rPr>
              <w:t>70</w:t>
            </w:r>
            <w:r>
              <w:rPr>
                <w:rFonts w:ascii="宋体" w:eastAsia="宋体" w:hAnsi="宋体" w:cs="宋体" w:hint="eastAsia"/>
                <w:kern w:val="2"/>
                <w:sz w:val="15"/>
                <w:szCs w:val="15"/>
              </w:rPr>
              <w:t>℃</w:t>
            </w:r>
            <w:r>
              <w:rPr>
                <w:rFonts w:ascii="Times New Roman" w:eastAsia="宋体" w:hAnsi="Times New Roman" w:cs="Times New Roman"/>
                <w:kern w:val="2"/>
                <w:sz w:val="15"/>
                <w:szCs w:val="15"/>
              </w:rPr>
              <w:t>的防火阀：</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）管道穿越防火分区处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2</w:t>
            </w:r>
            <w:r>
              <w:rPr>
                <w:rFonts w:ascii="Times New Roman" w:eastAsia="宋体" w:hAnsi="Times New Roman" w:cs="Times New Roman"/>
                <w:kern w:val="2"/>
                <w:sz w:val="15"/>
                <w:szCs w:val="15"/>
              </w:rPr>
              <w:t>）穿越通风、空气调节机房等重要的或火灾危险性大的房间隔墙和楼板处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）垂直风管与每层水平风管交接处的水平管段上（竖向同一防火分区除外）</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r>
              <w:rPr>
                <w:rFonts w:ascii="Times New Roman" w:eastAsia="宋体" w:hAnsi="Times New Roman" w:cs="Times New Roman"/>
                <w:kern w:val="2"/>
                <w:sz w:val="15"/>
                <w:szCs w:val="15"/>
              </w:rPr>
              <w:t>）穿越防火分隔处的变形缝两侧</w:t>
            </w:r>
          </w:p>
        </w:tc>
        <w:tc>
          <w:tcPr>
            <w:tcW w:w="893"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lastRenderedPageBreak/>
              <w:t>现场检查</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排烟管道下列部位应设置排烟防火阀：</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）垂直风管与每层水平风管交接处的水平管段上</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）一个排烟系统负担多个防烟分区的排烟支管上</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）排烟风机入口处</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r>
              <w:rPr>
                <w:rFonts w:ascii="Times New Roman" w:eastAsia="宋体" w:hAnsi="Times New Roman" w:cs="Times New Roman"/>
                <w:kern w:val="2"/>
                <w:sz w:val="15"/>
                <w:szCs w:val="15"/>
              </w:rPr>
              <w:t>）穿越防火分区处</w:t>
            </w:r>
          </w:p>
        </w:tc>
        <w:tc>
          <w:tcPr>
            <w:tcW w:w="893" w:type="dxa"/>
            <w:tcBorders>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现场检查、现场测量</w:t>
            </w:r>
          </w:p>
        </w:tc>
        <w:tc>
          <w:tcPr>
            <w:tcW w:w="417" w:type="dxa"/>
            <w:tcBorders>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防火阀宜设在穿越防火隔墙的气流上游段，阀门应顺气流方向关闭；</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风管穿越防火墙、楼板、竖井壁所装的防火阀应贴墙、贴楼板或贴竖井壁安装，其间距应小于</w:t>
            </w:r>
            <w:r>
              <w:rPr>
                <w:rFonts w:ascii="Times New Roman" w:eastAsia="宋体" w:hAnsi="Times New Roman" w:cs="Times New Roman"/>
                <w:kern w:val="2"/>
                <w:sz w:val="15"/>
                <w:szCs w:val="15"/>
              </w:rPr>
              <w:t>200mm</w:t>
            </w:r>
            <w:r>
              <w:rPr>
                <w:rFonts w:ascii="Times New Roman" w:eastAsia="宋体" w:hAnsi="Times New Roman" w:cs="Times New Roman"/>
                <w:kern w:val="2"/>
                <w:sz w:val="15"/>
                <w:szCs w:val="15"/>
              </w:rPr>
              <w:t>，否则需做防火加强措施，阀门安装位置应有明显标识</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现场检查、现场测量，查阅产品质量证明文件</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lang w:val="zh-CN"/>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防火阀、排烟防火阀、正压送风口、排烟口应安装牢固，启闭灵活，动作可靠；执行机构动作灵敏，手控脱扣缆绳安装合理无死弯、死角，开启、复位动作灵活可靠</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核对设计文件，现场检查</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Merge w:val="restart"/>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风口设置</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加压送风口的设置应符合下列规定：</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）除直灌式加压送风方式外，楼梯间宜每隔</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层～</w:t>
            </w: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层设一个常开式百叶送风口；</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）前室应每层设一个常闭式加压送风口，并应设手动开启装置；</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）送风口不宜设置在被门挡住的部位</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排烟口的设置尚应符合下列规定：</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）防烟分区内任一点与最近的排烟口之间的水平距离不应大于</w:t>
            </w:r>
            <w:r>
              <w:rPr>
                <w:rFonts w:ascii="Times New Roman" w:eastAsia="宋体" w:hAnsi="Times New Roman" w:cs="Times New Roman"/>
                <w:kern w:val="2"/>
                <w:sz w:val="15"/>
                <w:szCs w:val="15"/>
              </w:rPr>
              <w:t>30m</w:t>
            </w:r>
            <w:r>
              <w:rPr>
                <w:rFonts w:ascii="Times New Roman" w:eastAsia="宋体" w:hAnsi="Times New Roman" w:cs="Times New Roman"/>
                <w:kern w:val="2"/>
                <w:sz w:val="15"/>
                <w:szCs w:val="15"/>
              </w:rPr>
              <w:t>；</w:t>
            </w:r>
            <w:r>
              <w:rPr>
                <w:rFonts w:ascii="Times New Roman" w:eastAsia="宋体" w:hAnsi="Times New Roman" w:cs="Times New Roman" w:hint="eastAsia"/>
                <w:kern w:val="2"/>
                <w:sz w:val="15"/>
                <w:szCs w:val="15"/>
              </w:rPr>
              <w:t>\</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）排烟口应设在储烟仓内，但走道、室内空间净高不大于</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的区域，其排烟口可设置在其净空高度的</w:t>
            </w:r>
            <w:r>
              <w:rPr>
                <w:rFonts w:ascii="Times New Roman" w:eastAsia="宋体" w:hAnsi="Times New Roman" w:cs="Times New Roman"/>
                <w:kern w:val="2"/>
                <w:sz w:val="15"/>
                <w:szCs w:val="15"/>
              </w:rPr>
              <w:t>1/2</w:t>
            </w:r>
            <w:r>
              <w:rPr>
                <w:rFonts w:ascii="Times New Roman" w:eastAsia="宋体" w:hAnsi="Times New Roman" w:cs="Times New Roman"/>
                <w:kern w:val="2"/>
                <w:sz w:val="15"/>
                <w:szCs w:val="15"/>
              </w:rPr>
              <w:t>以上；当设置在侧墙时，吊顶与其最近边缘的距离不应大于</w:t>
            </w:r>
            <w:r>
              <w:rPr>
                <w:rFonts w:ascii="Times New Roman" w:eastAsia="宋体" w:hAnsi="Times New Roman" w:cs="Times New Roman"/>
                <w:kern w:val="2"/>
                <w:sz w:val="15"/>
                <w:szCs w:val="15"/>
              </w:rPr>
              <w:t>0.5m</w:t>
            </w:r>
            <w:r>
              <w:rPr>
                <w:rFonts w:ascii="Times New Roman" w:eastAsia="宋体" w:hAnsi="Times New Roman" w:cs="Times New Roman"/>
                <w:kern w:val="2"/>
                <w:sz w:val="15"/>
                <w:szCs w:val="15"/>
              </w:rPr>
              <w:t>；</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）火灾时由火灾自动报警系统联动开启排烟区域的排烟阀或排烟口，应在现场设置手动开启装置；</w:t>
            </w:r>
          </w:p>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r>
              <w:rPr>
                <w:rFonts w:ascii="Times New Roman" w:eastAsia="宋体" w:hAnsi="Times New Roman" w:cs="Times New Roman"/>
                <w:kern w:val="2"/>
                <w:sz w:val="15"/>
                <w:szCs w:val="15"/>
              </w:rPr>
              <w:t>）排烟口的设置宜使烟流方向与人员疏散方向相反，排烟口与附近安全出口相邻边缘之间的水平距离不应小于</w:t>
            </w:r>
            <w:r>
              <w:rPr>
                <w:rFonts w:ascii="Times New Roman" w:eastAsia="宋体" w:hAnsi="Times New Roman" w:cs="Times New Roman"/>
                <w:kern w:val="2"/>
                <w:sz w:val="15"/>
                <w:szCs w:val="15"/>
              </w:rPr>
              <w:t>1.5m</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压送风机的进风口不应与排烟风机的出风口设在同一面上。当确有困难时，送风机的进风口与排烟风机的出风口应分开布置，且竖向布置时，送风机的进风口应设置在排烟出口的下方，其两者边缘最小垂直距离不应小于</w:t>
            </w:r>
            <w:r>
              <w:rPr>
                <w:rFonts w:ascii="Times New Roman" w:eastAsia="宋体" w:hAnsi="Times New Roman" w:cs="Times New Roman"/>
                <w:kern w:val="2"/>
                <w:sz w:val="15"/>
                <w:szCs w:val="15"/>
              </w:rPr>
              <w:t>6m</w:t>
            </w:r>
            <w:r>
              <w:rPr>
                <w:rFonts w:ascii="Times New Roman" w:eastAsia="宋体" w:hAnsi="Times New Roman" w:cs="Times New Roman"/>
                <w:kern w:val="2"/>
                <w:sz w:val="15"/>
                <w:szCs w:val="15"/>
              </w:rPr>
              <w:t>；水平布置时，两者边缘最小水平距离不应小于</w:t>
            </w:r>
            <w:r>
              <w:rPr>
                <w:rFonts w:ascii="Times New Roman" w:eastAsia="宋体" w:hAnsi="Times New Roman" w:cs="Times New Roman"/>
                <w:kern w:val="2"/>
                <w:sz w:val="15"/>
                <w:szCs w:val="15"/>
              </w:rPr>
              <w:t>20m</w:t>
            </w:r>
          </w:p>
        </w:tc>
        <w:tc>
          <w:tcPr>
            <w:tcW w:w="893"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8" w:space="0" w:color="000000"/>
              <w:left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补风系统可采用疏散外门、手动或自动可开启外窗等自然进风方式以及机械送风方式。防火门、窗不得用作补风设施；当补风口与排烟口设置在同一防烟分区时，补风口应设在储烟仓下沿以下；机械补风口与排烟口水平距离不应少于</w:t>
            </w:r>
            <w:r>
              <w:rPr>
                <w:rFonts w:ascii="Times New Roman" w:eastAsia="宋体" w:hAnsi="Times New Roman" w:cs="Times New Roman"/>
                <w:kern w:val="2"/>
                <w:sz w:val="15"/>
                <w:szCs w:val="15"/>
              </w:rPr>
              <w:t>5</w:t>
            </w:r>
            <w:r>
              <w:rPr>
                <w:rFonts w:ascii="Times New Roman" w:eastAsia="宋体" w:hAnsi="Times New Roman" w:cs="Times New Roman" w:hint="eastAsia"/>
                <w:kern w:val="2"/>
                <w:sz w:val="15"/>
                <w:szCs w:val="15"/>
              </w:rPr>
              <w:t>.0</w:t>
            </w:r>
            <w:r>
              <w:rPr>
                <w:rFonts w:ascii="Times New Roman" w:eastAsia="宋体" w:hAnsi="Times New Roman" w:cs="Times New Roman"/>
                <w:kern w:val="2"/>
                <w:sz w:val="15"/>
                <w:szCs w:val="15"/>
              </w:rPr>
              <w:t>m</w:t>
            </w:r>
          </w:p>
        </w:tc>
        <w:tc>
          <w:tcPr>
            <w:tcW w:w="893"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核对设计文件，现场检查、现场测量</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设置机械加</w:t>
            </w:r>
            <w:r>
              <w:rPr>
                <w:rFonts w:ascii="Times New Roman" w:eastAsia="宋体" w:hAnsi="Times New Roman" w:cs="Times New Roman"/>
                <w:kern w:val="2"/>
                <w:sz w:val="15"/>
                <w:szCs w:val="15"/>
              </w:rPr>
              <w:lastRenderedPageBreak/>
              <w:t>压送风的封闭楼梯间、防烟楼梯间的固定窗</w:t>
            </w:r>
          </w:p>
        </w:tc>
        <w:tc>
          <w:tcPr>
            <w:tcW w:w="291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设置机械加压送风系统的封闭楼梯间、防</w:t>
            </w:r>
            <w:r>
              <w:rPr>
                <w:rFonts w:ascii="Times New Roman" w:eastAsia="宋体" w:hAnsi="Times New Roman" w:cs="Times New Roman"/>
                <w:kern w:val="2"/>
                <w:sz w:val="15"/>
                <w:szCs w:val="15"/>
              </w:rPr>
              <w:lastRenderedPageBreak/>
              <w:t>烟楼梯间，尚应在其顶部设置不小于</w:t>
            </w:r>
            <w:r>
              <w:rPr>
                <w:rFonts w:ascii="Times New Roman" w:eastAsia="宋体" w:hAnsi="Times New Roman" w:cs="Times New Roman"/>
                <w:kern w:val="2"/>
                <w:sz w:val="15"/>
                <w:szCs w:val="15"/>
              </w:rPr>
              <w:t>1m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的固定窗。靠外墙的防烟楼梯间，尚应在其外墙上每</w:t>
            </w:r>
            <w:r>
              <w:rPr>
                <w:rFonts w:ascii="Times New Roman" w:eastAsia="宋体" w:hAnsi="Times New Roman" w:cs="Times New Roman"/>
                <w:kern w:val="2"/>
                <w:sz w:val="15"/>
                <w:szCs w:val="15"/>
              </w:rPr>
              <w:t>5</w:t>
            </w:r>
            <w:r>
              <w:rPr>
                <w:rFonts w:ascii="Times New Roman" w:eastAsia="宋体" w:hAnsi="Times New Roman" w:cs="Times New Roman"/>
                <w:kern w:val="2"/>
                <w:sz w:val="15"/>
                <w:szCs w:val="15"/>
              </w:rPr>
              <w:t>层内设置总面积不小于</w:t>
            </w:r>
            <w:r>
              <w:rPr>
                <w:rFonts w:ascii="Times New Roman" w:eastAsia="宋体" w:hAnsi="Times New Roman" w:cs="Times New Roman"/>
                <w:kern w:val="2"/>
                <w:sz w:val="15"/>
                <w:szCs w:val="15"/>
              </w:rPr>
              <w:t>2m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的固定窗</w:t>
            </w:r>
          </w:p>
        </w:tc>
        <w:tc>
          <w:tcPr>
            <w:tcW w:w="8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r>
              <w:rPr>
                <w:rFonts w:ascii="Times New Roman" w:eastAsia="宋体" w:hAnsi="Times New Roman" w:cs="Times New Roman"/>
                <w:kern w:val="2"/>
                <w:sz w:val="15"/>
                <w:szCs w:val="15"/>
              </w:rPr>
              <w:lastRenderedPageBreak/>
              <w:t>现场测量</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A</w:t>
            </w:r>
          </w:p>
        </w:tc>
        <w:tc>
          <w:tcPr>
            <w:tcW w:w="4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af1"/>
        <w:numPr>
          <w:ilvl w:val="0"/>
          <w:numId w:val="91"/>
        </w:numPr>
        <w:tabs>
          <w:tab w:val="left" w:pos="0"/>
        </w:tabs>
        <w:topLinePunct/>
        <w:spacing w:line="360" w:lineRule="exact"/>
        <w:ind w:left="0" w:firstLineChars="0" w:firstLine="0"/>
        <w:jc w:val="both"/>
        <w:rPr>
          <w:rFonts w:ascii="Times New Roman" w:eastAsia="宋体" w:hAnsi="Times New Roman" w:cs="Times New Roman"/>
          <w:bCs/>
          <w:kern w:val="2"/>
          <w:sz w:val="21"/>
          <w:szCs w:val="21"/>
        </w:rPr>
      </w:pPr>
      <w:r>
        <w:rPr>
          <w:rFonts w:ascii="Times New Roman" w:eastAsia="宋体" w:hAnsi="Times New Roman" w:cs="Times New Roman"/>
          <w:bCs/>
          <w:kern w:val="2"/>
          <w:sz w:val="21"/>
          <w:szCs w:val="21"/>
        </w:rPr>
        <w:lastRenderedPageBreak/>
        <w:t>系统功能</w:t>
      </w:r>
    </w:p>
    <w:p w:rsidR="009846C2" w:rsidRDefault="00A433A0">
      <w:pPr>
        <w:pStyle w:val="af1"/>
        <w:widowControl w:val="0"/>
        <w:numPr>
          <w:ilvl w:val="0"/>
          <w:numId w:val="95"/>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w:t>
      </w:r>
      <w:r>
        <w:rPr>
          <w:rFonts w:ascii="Times New Roman" w:eastAsia="宋体" w:hAnsi="Times New Roman" w:cs="Times New Roman"/>
          <w:kern w:val="2"/>
          <w:sz w:val="21"/>
          <w:szCs w:val="21"/>
        </w:rPr>
        <w:t>A</w:t>
      </w:r>
      <w:r>
        <w:rPr>
          <w:rFonts w:ascii="Times New Roman" w:eastAsia="宋体" w:hAnsi="Times New Roman" w:cs="Times New Roman"/>
          <w:kern w:val="2"/>
          <w:sz w:val="21"/>
          <w:szCs w:val="21"/>
        </w:rPr>
        <w:t>类全数检查。其他部位检查不少于各系统总数的</w:t>
      </w:r>
      <w:r>
        <w:rPr>
          <w:rFonts w:ascii="Times New Roman" w:eastAsia="宋体" w:hAnsi="Times New Roman" w:cs="Times New Roman"/>
          <w:kern w:val="2"/>
          <w:sz w:val="21"/>
          <w:szCs w:val="21"/>
        </w:rPr>
        <w:t>30%</w:t>
      </w:r>
      <w:r>
        <w:rPr>
          <w:rFonts w:ascii="Times New Roman" w:eastAsia="宋体" w:hAnsi="Times New Roman" w:cs="Times New Roman"/>
          <w:kern w:val="2"/>
          <w:sz w:val="21"/>
          <w:szCs w:val="21"/>
        </w:rPr>
        <w:t>抽查。</w:t>
      </w:r>
    </w:p>
    <w:p w:rsidR="009846C2" w:rsidRDefault="00A433A0">
      <w:pPr>
        <w:pStyle w:val="af1"/>
        <w:widowControl w:val="0"/>
        <w:numPr>
          <w:ilvl w:val="0"/>
          <w:numId w:val="95"/>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验收标准和验收方法：见表</w:t>
      </w:r>
      <w:r>
        <w:rPr>
          <w:rFonts w:ascii="Times New Roman" w:eastAsia="宋体" w:hAnsi="Times New Roman" w:cs="Times New Roman"/>
          <w:kern w:val="2"/>
          <w:sz w:val="21"/>
          <w:szCs w:val="21"/>
        </w:rPr>
        <w:t>6.3.4</w:t>
      </w:r>
      <w:r>
        <w:rPr>
          <w:rFonts w:ascii="Times New Roman" w:eastAsia="宋体" w:hAnsi="Times New Roman" w:cs="Times New Roman"/>
          <w:kern w:val="2"/>
          <w:sz w:val="21"/>
          <w:szCs w:val="21"/>
        </w:rPr>
        <w:t>。</w:t>
      </w:r>
    </w:p>
    <w:p w:rsidR="009846C2" w:rsidRDefault="00A433A0">
      <w:pPr>
        <w:tabs>
          <w:tab w:val="left" w:pos="0"/>
        </w:tabs>
        <w:topLinePunct/>
        <w:spacing w:line="360" w:lineRule="exact"/>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6.3.4</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防排烟系统功能质量验收标准和验收方法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bottom w:val="single" w:sz="4" w:space="0" w:color="auto"/>
            </w:tcBorders>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手动启停功能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风机控制柜处手动启停风机，风机应能正常启停，运转正常，无异常声响</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在消防控制中心远程启停风机，风机应能正常启停，运转正常，并正确反馈信号</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与火灾自动报警系统的联动功能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加压送风系统中任一常闭加压送风口开启时，加压风机应能自动启动；火灾自动报警探测器发出火警信号后，应能在</w:t>
            </w:r>
            <w:r>
              <w:rPr>
                <w:rFonts w:ascii="Times New Roman" w:eastAsia="宋体" w:hAnsi="Times New Roman" w:cs="Times New Roman"/>
                <w:kern w:val="2"/>
                <w:sz w:val="15"/>
                <w:szCs w:val="15"/>
              </w:rPr>
              <w:t>15s</w:t>
            </w:r>
            <w:r>
              <w:rPr>
                <w:rFonts w:ascii="Times New Roman" w:eastAsia="宋体" w:hAnsi="Times New Roman" w:cs="Times New Roman"/>
                <w:kern w:val="2"/>
                <w:sz w:val="15"/>
                <w:szCs w:val="15"/>
              </w:rPr>
              <w:t>内联动开启该防火分区楼梯间的全部加压送风机及该防火分区内着火层及其相邻上下层前室及合用前室的常闭送风口，同时开启加压送风机</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系统中任一排烟阀或排烟口开启，或火灾自动报警系统自动启动排烟风机、补风机自动启动；烟风机前的排烟防火阀在</w:t>
            </w:r>
            <w:r>
              <w:rPr>
                <w:rFonts w:ascii="Times New Roman" w:eastAsia="宋体" w:hAnsi="Times New Roman" w:cs="Times New Roman"/>
                <w:kern w:val="2"/>
                <w:sz w:val="15"/>
                <w:szCs w:val="15"/>
              </w:rPr>
              <w:t>280</w:t>
            </w:r>
            <w:r>
              <w:rPr>
                <w:rFonts w:ascii="宋体" w:eastAsia="宋体" w:hAnsi="宋体" w:cs="宋体" w:hint="eastAsia"/>
                <w:kern w:val="2"/>
                <w:sz w:val="15"/>
                <w:szCs w:val="15"/>
              </w:rPr>
              <w:t>℃</w:t>
            </w:r>
            <w:r>
              <w:rPr>
                <w:rFonts w:ascii="Times New Roman" w:eastAsia="宋体" w:hAnsi="Times New Roman" w:cs="Times New Roman"/>
                <w:kern w:val="2"/>
                <w:sz w:val="15"/>
                <w:szCs w:val="15"/>
              </w:rPr>
              <w:t>时</w:t>
            </w:r>
            <w:r>
              <w:rPr>
                <w:rFonts w:ascii="Times New Roman" w:eastAsia="宋体" w:hAnsi="Times New Roman" w:cs="Times New Roman"/>
                <w:kern w:val="2"/>
                <w:sz w:val="15"/>
                <w:szCs w:val="15"/>
              </w:rPr>
              <w:lastRenderedPageBreak/>
              <w:t>应自行关闭，并应连锁关闭排烟风机和补风机</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lastRenderedPageBreak/>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当火灾确认后，火灾自动报警系统应在</w:t>
            </w:r>
            <w:r>
              <w:rPr>
                <w:rFonts w:ascii="Times New Roman" w:eastAsia="宋体" w:hAnsi="Times New Roman" w:cs="Times New Roman"/>
                <w:kern w:val="2"/>
                <w:sz w:val="15"/>
                <w:szCs w:val="15"/>
              </w:rPr>
              <w:t>15s</w:t>
            </w:r>
            <w:r>
              <w:rPr>
                <w:rFonts w:ascii="Times New Roman" w:eastAsia="宋体" w:hAnsi="Times New Roman" w:cs="Times New Roman"/>
                <w:kern w:val="2"/>
                <w:sz w:val="15"/>
                <w:szCs w:val="15"/>
              </w:rPr>
              <w:t>内联动开启相应防烟分区的全部排烟阀、排烟口，并应在</w:t>
            </w:r>
            <w:r>
              <w:rPr>
                <w:rFonts w:ascii="Times New Roman" w:eastAsia="宋体" w:hAnsi="Times New Roman" w:cs="Times New Roman"/>
                <w:kern w:val="2"/>
                <w:sz w:val="15"/>
                <w:szCs w:val="15"/>
              </w:rPr>
              <w:t>30s</w:t>
            </w:r>
            <w:r>
              <w:rPr>
                <w:rFonts w:ascii="Times New Roman" w:eastAsia="宋体" w:hAnsi="Times New Roman" w:cs="Times New Roman"/>
                <w:kern w:val="2"/>
                <w:sz w:val="15"/>
                <w:szCs w:val="15"/>
              </w:rPr>
              <w:t>内自动关闭与排烟无关的通风、空调系统</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消防控制设备应显示加压送风机、排烟风机、补风机、风口、阀门等设施启闭状态</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自动排烟窗可采用与火灾自动报警系统联动和温度释放装置联动的控制方式，当采用与火灾报警系统自动启动时，自动排烟窗应在</w:t>
            </w:r>
            <w:r>
              <w:rPr>
                <w:rFonts w:ascii="Times New Roman" w:eastAsia="宋体" w:hAnsi="Times New Roman" w:cs="Times New Roman"/>
                <w:kern w:val="2"/>
                <w:sz w:val="15"/>
                <w:szCs w:val="15"/>
              </w:rPr>
              <w:t>60s</w:t>
            </w:r>
            <w:r>
              <w:rPr>
                <w:rFonts w:ascii="Times New Roman" w:eastAsia="宋体" w:hAnsi="Times New Roman" w:cs="Times New Roman"/>
                <w:kern w:val="2"/>
                <w:sz w:val="15"/>
                <w:szCs w:val="15"/>
              </w:rPr>
              <w:t>内或小于烟气充满储烟仓时间内开启完毕。动作状态信号应反馈到消防控制室</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活动挡烟垂壁应具有火灾自动报警系统自动启动和现场手动启动功能，火灾自动报警系统应在</w:t>
            </w:r>
            <w:r>
              <w:rPr>
                <w:rFonts w:ascii="Times New Roman" w:eastAsia="宋体" w:hAnsi="Times New Roman" w:cs="Times New Roman"/>
                <w:kern w:val="2"/>
                <w:sz w:val="15"/>
                <w:szCs w:val="15"/>
              </w:rPr>
              <w:t>15s</w:t>
            </w:r>
            <w:r>
              <w:rPr>
                <w:rFonts w:ascii="Times New Roman" w:eastAsia="宋体" w:hAnsi="Times New Roman" w:cs="Times New Roman"/>
                <w:kern w:val="2"/>
                <w:sz w:val="15"/>
                <w:szCs w:val="15"/>
              </w:rPr>
              <w:t>内联动相应防烟分区的全部活动挡烟垂壁，</w:t>
            </w:r>
            <w:r>
              <w:rPr>
                <w:rFonts w:ascii="Times New Roman" w:eastAsia="宋体" w:hAnsi="Times New Roman" w:cs="Times New Roman"/>
                <w:kern w:val="2"/>
                <w:sz w:val="15"/>
                <w:szCs w:val="15"/>
              </w:rPr>
              <w:t>60s</w:t>
            </w:r>
            <w:r>
              <w:rPr>
                <w:rFonts w:ascii="Times New Roman" w:eastAsia="宋体" w:hAnsi="Times New Roman" w:cs="Times New Roman"/>
                <w:kern w:val="2"/>
                <w:sz w:val="15"/>
                <w:szCs w:val="15"/>
              </w:rPr>
              <w:t>以内挡烟垂壁应开启到位，动作状态信号应反馈到消防控制室</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现场检查</w:t>
            </w:r>
            <w:r>
              <w:rPr>
                <w:rFonts w:ascii="Times New Roman" w:eastAsia="宋体" w:hAnsi="Times New Roman" w:cs="Times New Roman"/>
                <w:kern w:val="2"/>
                <w:sz w:val="15"/>
                <w:szCs w:val="15"/>
                <w:lang w:val="zh-CN"/>
              </w:rPr>
              <w:t>、查阅调试记录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highlight w:val="yellow"/>
              </w:rPr>
            </w:pPr>
            <w:r>
              <w:rPr>
                <w:rFonts w:ascii="Times New Roman" w:eastAsia="宋体" w:hAnsi="Times New Roman" w:cs="Times New Roman"/>
                <w:kern w:val="2"/>
                <w:sz w:val="15"/>
                <w:szCs w:val="15"/>
              </w:rPr>
              <w:t>加压送风系统的压差自动调节功能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加压送风系统应设置压差自动调节装置，机械加压送风量应满足走廊至前室至楼梯间的压力呈递增分布，余压值应符合下列规定：</w:t>
            </w:r>
            <w:r>
              <w:rPr>
                <w:rFonts w:ascii="Times New Roman" w:eastAsia="宋体" w:hAnsi="Times New Roman" w:cs="Times New Roman"/>
                <w:kern w:val="2"/>
                <w:sz w:val="15"/>
                <w:szCs w:val="15"/>
              </w:rPr>
              <w:t>1</w:t>
            </w:r>
            <w:r>
              <w:rPr>
                <w:rFonts w:ascii="Times New Roman" w:eastAsia="宋体" w:hAnsi="Times New Roman" w:cs="Times New Roman"/>
                <w:kern w:val="2"/>
                <w:sz w:val="15"/>
                <w:szCs w:val="15"/>
              </w:rPr>
              <w:t>）前室、封闭避难层（间）与走道之间的压差应为</w:t>
            </w:r>
            <w:r>
              <w:rPr>
                <w:rFonts w:ascii="Times New Roman" w:eastAsia="宋体" w:hAnsi="Times New Roman" w:cs="Times New Roman"/>
                <w:kern w:val="2"/>
                <w:sz w:val="15"/>
                <w:szCs w:val="15"/>
              </w:rPr>
              <w:t>25Pa</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30Pa</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）楼梯间与走道之间的压差应为</w:t>
            </w:r>
            <w:r>
              <w:rPr>
                <w:rFonts w:ascii="Times New Roman" w:eastAsia="宋体" w:hAnsi="Times New Roman" w:cs="Times New Roman"/>
                <w:kern w:val="2"/>
                <w:sz w:val="15"/>
                <w:szCs w:val="15"/>
              </w:rPr>
              <w:t>40Pa</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50Pa</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3</w:t>
            </w:r>
            <w:r>
              <w:rPr>
                <w:rFonts w:ascii="Times New Roman" w:eastAsia="宋体" w:hAnsi="Times New Roman" w:cs="Times New Roman"/>
                <w:kern w:val="2"/>
                <w:sz w:val="15"/>
                <w:szCs w:val="15"/>
              </w:rPr>
              <w:t>）当系统余压值超过最大允许压力差时应采取泄压措施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lang w:val="zh-CN"/>
              </w:rPr>
            </w:pPr>
            <w:r>
              <w:rPr>
                <w:rFonts w:ascii="Times New Roman" w:eastAsia="宋体" w:hAnsi="Times New Roman" w:cs="Times New Roman"/>
                <w:kern w:val="2"/>
                <w:sz w:val="15"/>
                <w:szCs w:val="15"/>
              </w:rPr>
              <w:t>核对设计文件，现场检查、</w:t>
            </w:r>
            <w:r>
              <w:rPr>
                <w:rFonts w:ascii="Times New Roman" w:eastAsia="宋体" w:hAnsi="Times New Roman" w:cs="Times New Roman"/>
                <w:kern w:val="2"/>
                <w:sz w:val="15"/>
                <w:szCs w:val="15"/>
                <w:lang w:val="zh-CN"/>
              </w:rPr>
              <w:t>现场测量、查阅调试记录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9846C2">
      <w:pPr>
        <w:tabs>
          <w:tab w:val="left" w:pos="0"/>
        </w:tabs>
        <w:topLinePunct/>
        <w:spacing w:line="360" w:lineRule="auto"/>
        <w:rPr>
          <w:rFonts w:ascii="Times New Roman" w:eastAsia="宋体" w:hAnsi="Times New Roman" w:cs="Times New Roman"/>
          <w:kern w:val="2"/>
          <w:sz w:val="24"/>
          <w:szCs w:val="24"/>
        </w:rPr>
      </w:pPr>
    </w:p>
    <w:p w:rsidR="009846C2" w:rsidRDefault="009846C2">
      <w:pPr>
        <w:tabs>
          <w:tab w:val="left" w:pos="0"/>
        </w:tabs>
        <w:topLinePunct/>
        <w:spacing w:line="360" w:lineRule="auto"/>
        <w:rPr>
          <w:rFonts w:ascii="Times New Roman" w:eastAsia="宋体" w:hAnsi="Times New Roman" w:cs="Times New Roman"/>
          <w:kern w:val="2"/>
          <w:sz w:val="24"/>
          <w:szCs w:val="24"/>
        </w:rPr>
      </w:pPr>
    </w:p>
    <w:p w:rsidR="009846C2" w:rsidRDefault="009846C2">
      <w:pPr>
        <w:tabs>
          <w:tab w:val="left" w:pos="0"/>
        </w:tabs>
        <w:topLinePunct/>
        <w:spacing w:line="360" w:lineRule="auto"/>
        <w:rPr>
          <w:rFonts w:ascii="Times New Roman" w:eastAsia="宋体" w:hAnsi="Times New Roman" w:cs="Times New Roman"/>
          <w:kern w:val="2"/>
          <w:sz w:val="24"/>
          <w:szCs w:val="24"/>
        </w:rPr>
      </w:pPr>
    </w:p>
    <w:p w:rsidR="009846C2" w:rsidRDefault="009846C2">
      <w:pPr>
        <w:tabs>
          <w:tab w:val="left" w:pos="0"/>
        </w:tabs>
        <w:topLinePunct/>
        <w:spacing w:line="360" w:lineRule="auto"/>
        <w:rPr>
          <w:rFonts w:ascii="Times New Roman" w:eastAsia="宋体" w:hAnsi="Times New Roman" w:cs="Times New Roman"/>
          <w:kern w:val="2"/>
          <w:sz w:val="24"/>
          <w:szCs w:val="24"/>
        </w:rPr>
        <w:sectPr w:rsidR="009846C2">
          <w:pgSz w:w="7938" w:h="11510"/>
          <w:pgMar w:top="1247" w:right="1021" w:bottom="907" w:left="1021" w:header="708" w:footer="708" w:gutter="0"/>
          <w:cols w:space="708"/>
          <w:docGrid w:linePitch="360"/>
        </w:sectPr>
      </w:pPr>
    </w:p>
    <w:p w:rsidR="009846C2" w:rsidRDefault="00A433A0">
      <w:pPr>
        <w:pStyle w:val="a8"/>
        <w:numPr>
          <w:ilvl w:val="0"/>
          <w:numId w:val="15"/>
        </w:numPr>
        <w:tabs>
          <w:tab w:val="left" w:pos="220"/>
        </w:tabs>
        <w:topLinePunct/>
        <w:spacing w:beforeLines="100" w:after="100" w:afterAutospacing="1"/>
        <w:ind w:left="0" w:firstLine="0"/>
        <w:rPr>
          <w:rFonts w:ascii="Times New Roman" w:eastAsiaTheme="minorEastAsia" w:hAnsi="Times New Roman"/>
          <w:sz w:val="28"/>
          <w:szCs w:val="28"/>
        </w:rPr>
      </w:pPr>
      <w:r>
        <w:rPr>
          <w:rFonts w:ascii="Times New Roman" w:eastAsiaTheme="minorEastAsia" w:hAnsi="Times New Roman"/>
          <w:sz w:val="28"/>
          <w:szCs w:val="28"/>
        </w:rPr>
        <w:lastRenderedPageBreak/>
        <w:t>电气</w:t>
      </w:r>
    </w:p>
    <w:p w:rsidR="009846C2" w:rsidRDefault="00A433A0">
      <w:pPr>
        <w:pStyle w:val="11"/>
        <w:keepNext w:val="0"/>
        <w:keepLines w:val="0"/>
        <w:numPr>
          <w:ilvl w:val="0"/>
          <w:numId w:val="96"/>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一般规定</w:t>
      </w:r>
    </w:p>
    <w:p w:rsidR="009846C2" w:rsidRDefault="00A433A0">
      <w:pPr>
        <w:pStyle w:val="af1"/>
        <w:widowControl w:val="0"/>
        <w:numPr>
          <w:ilvl w:val="3"/>
          <w:numId w:val="97"/>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本章适用于消防电源及其配电、消防应急照明和疏散指示系统、火灾自动报警系统消防工程施工质量验收。</w:t>
      </w:r>
    </w:p>
    <w:p w:rsidR="009846C2" w:rsidRDefault="00A433A0">
      <w:pPr>
        <w:pStyle w:val="af1"/>
        <w:widowControl w:val="0"/>
        <w:numPr>
          <w:ilvl w:val="3"/>
          <w:numId w:val="97"/>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消防电源及其配电、消防应急照明和疏散指示系统、火灾自动报警系统的设置应符合设计文件及现行国家工程建设消防技术标准的要求。</w:t>
      </w:r>
    </w:p>
    <w:p w:rsidR="009846C2" w:rsidRDefault="00A433A0">
      <w:pPr>
        <w:pStyle w:val="af1"/>
        <w:widowControl w:val="0"/>
        <w:numPr>
          <w:ilvl w:val="3"/>
          <w:numId w:val="97"/>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消防电源及其配电的施工质量除应符合本标准的规定外，尚应符合现行国家标准《建筑电气工程施工质量验收规范》</w:t>
      </w:r>
      <w:r>
        <w:rPr>
          <w:rFonts w:ascii="Times New Roman" w:eastAsiaTheme="minorEastAsia" w:hAnsi="Times New Roman" w:cs="Times New Roman"/>
          <w:kern w:val="2"/>
          <w:sz w:val="21"/>
          <w:szCs w:val="21"/>
        </w:rPr>
        <w:t>GB50303</w:t>
      </w:r>
      <w:r>
        <w:rPr>
          <w:rFonts w:ascii="Times New Roman" w:eastAsiaTheme="minorEastAsia" w:hAnsi="Times New Roman" w:cs="Times New Roman"/>
          <w:kern w:val="2"/>
          <w:sz w:val="21"/>
          <w:szCs w:val="21"/>
        </w:rPr>
        <w:t>中的相关规定。</w:t>
      </w:r>
    </w:p>
    <w:p w:rsidR="009846C2" w:rsidRDefault="00A433A0">
      <w:pPr>
        <w:pStyle w:val="af1"/>
        <w:widowControl w:val="0"/>
        <w:numPr>
          <w:ilvl w:val="3"/>
          <w:numId w:val="97"/>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消防应急照明和疏散指示系统的施工质量，除应符合本标准的规定外，尚应符合现行国家标准《消防应急照明和疏散指示系统技术标准》</w:t>
      </w:r>
      <w:r>
        <w:rPr>
          <w:rFonts w:ascii="Times New Roman" w:eastAsiaTheme="minorEastAsia" w:hAnsi="Times New Roman" w:cs="Times New Roman"/>
          <w:kern w:val="2"/>
          <w:sz w:val="21"/>
          <w:szCs w:val="21"/>
        </w:rPr>
        <w:t>GB51309</w:t>
      </w:r>
      <w:r>
        <w:rPr>
          <w:rFonts w:ascii="Times New Roman" w:eastAsiaTheme="minorEastAsia" w:hAnsi="Times New Roman" w:cs="Times New Roman"/>
          <w:kern w:val="2"/>
          <w:sz w:val="21"/>
          <w:szCs w:val="21"/>
        </w:rPr>
        <w:t>中的有关规定。</w:t>
      </w:r>
    </w:p>
    <w:p w:rsidR="009846C2" w:rsidRDefault="00A433A0">
      <w:pPr>
        <w:pStyle w:val="af1"/>
        <w:widowControl w:val="0"/>
        <w:numPr>
          <w:ilvl w:val="3"/>
          <w:numId w:val="97"/>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火灾自动报警系统的施工质量，除应符合本标准的规定外，尚应符合现行国家标准《火灾自动报警系统施工及验收标准》</w:t>
      </w:r>
      <w:r>
        <w:rPr>
          <w:rFonts w:ascii="Times New Roman" w:eastAsiaTheme="minorEastAsia" w:hAnsi="Times New Roman" w:cs="Times New Roman"/>
          <w:kern w:val="2"/>
          <w:sz w:val="21"/>
          <w:szCs w:val="21"/>
        </w:rPr>
        <w:t>GB50166</w:t>
      </w:r>
      <w:r>
        <w:rPr>
          <w:rFonts w:ascii="Times New Roman" w:eastAsiaTheme="minorEastAsia" w:hAnsi="Times New Roman" w:cs="Times New Roman"/>
          <w:kern w:val="2"/>
          <w:sz w:val="21"/>
          <w:szCs w:val="21"/>
        </w:rPr>
        <w:t>中的相关规定。</w:t>
      </w:r>
    </w:p>
    <w:p w:rsidR="009846C2" w:rsidRDefault="00A433A0">
      <w:pPr>
        <w:pStyle w:val="af1"/>
        <w:widowControl w:val="0"/>
        <w:numPr>
          <w:ilvl w:val="3"/>
          <w:numId w:val="97"/>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电气各系统施工、调试记录和消防设施检测报告等技术资料应齐全。</w:t>
      </w:r>
    </w:p>
    <w:p w:rsidR="009846C2" w:rsidRDefault="00A433A0" w:rsidP="007974B4">
      <w:pPr>
        <w:pStyle w:val="11"/>
        <w:keepNext w:val="0"/>
        <w:keepLines w:val="0"/>
        <w:numPr>
          <w:ilvl w:val="0"/>
          <w:numId w:val="96"/>
        </w:numPr>
        <w:tabs>
          <w:tab w:val="left" w:pos="0"/>
        </w:tabs>
        <w:topLinePunct/>
        <w:autoSpaceDE/>
        <w:autoSpaceDN/>
        <w:spacing w:beforeLines="100" w:afterLines="100"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消防电源及其配电</w:t>
      </w:r>
    </w:p>
    <w:p w:rsidR="009846C2" w:rsidRDefault="00A433A0">
      <w:pPr>
        <w:pStyle w:val="11"/>
        <w:keepNext w:val="0"/>
        <w:keepLines w:val="0"/>
        <w:numPr>
          <w:ilvl w:val="0"/>
          <w:numId w:val="98"/>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消防电源</w:t>
      </w:r>
    </w:p>
    <w:p w:rsidR="009846C2" w:rsidRDefault="00A433A0">
      <w:pPr>
        <w:pStyle w:val="af1"/>
        <w:widowControl w:val="0"/>
        <w:numPr>
          <w:ilvl w:val="0"/>
          <w:numId w:val="99"/>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检查数量：全数检查。</w:t>
      </w:r>
    </w:p>
    <w:p w:rsidR="009846C2" w:rsidRDefault="00A433A0">
      <w:pPr>
        <w:pStyle w:val="af1"/>
        <w:widowControl w:val="0"/>
        <w:numPr>
          <w:ilvl w:val="0"/>
          <w:numId w:val="99"/>
        </w:numPr>
        <w:tabs>
          <w:tab w:val="left" w:pos="0"/>
        </w:tabs>
        <w:topLinePunct/>
        <w:spacing w:line="360" w:lineRule="exact"/>
        <w:ind w:firstLine="420"/>
        <w:jc w:val="both"/>
        <w:rPr>
          <w:rFonts w:ascii="Times New Roman" w:eastAsia="黑体" w:hAnsi="Times New Roman" w:cs="Times New Roman"/>
          <w:kern w:val="2"/>
          <w:sz w:val="21"/>
        </w:rPr>
      </w:pPr>
      <w:r>
        <w:rPr>
          <w:rFonts w:ascii="Times New Roman" w:eastAsiaTheme="minorEastAsia" w:hAnsi="Times New Roman" w:cs="Times New Roman"/>
          <w:kern w:val="2"/>
          <w:sz w:val="21"/>
        </w:rPr>
        <w:lastRenderedPageBreak/>
        <w:t>验收标准和验收方法：见表</w:t>
      </w:r>
      <w:r>
        <w:rPr>
          <w:rFonts w:ascii="Times New Roman" w:eastAsiaTheme="minorEastAsia" w:hAnsi="Times New Roman" w:cs="Times New Roman"/>
          <w:kern w:val="2"/>
          <w:sz w:val="21"/>
        </w:rPr>
        <w:t>7.2.1</w:t>
      </w:r>
      <w:r>
        <w:rPr>
          <w:rFonts w:ascii="Times New Roman" w:eastAsiaTheme="minorEastAsia" w:hAnsi="Times New Roman" w:cs="Times New Roman"/>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7.2.1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消防电源验收标准和验收方法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消防用电负荷分类</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消防水泵、消防风机、自动灭火系统、与消防有关的电动阀门及交流控制负荷，户内变电站、地下变电站为</w:t>
            </w:r>
            <w:r>
              <w:rPr>
                <w:rFonts w:ascii="宋体" w:eastAsia="宋体" w:hAnsi="宋体" w:cs="宋体" w:hint="eastAsia"/>
                <w:kern w:val="2"/>
                <w:sz w:val="15"/>
                <w:szCs w:val="15"/>
              </w:rPr>
              <w:t>Ⅰ</w:t>
            </w:r>
            <w:r>
              <w:rPr>
                <w:rFonts w:ascii="Times New Roman" w:eastAsia="宋体" w:hAnsi="Times New Roman" w:cs="Times New Roman"/>
                <w:kern w:val="2"/>
                <w:sz w:val="15"/>
                <w:szCs w:val="15"/>
              </w:rPr>
              <w:t>类负荷；户外变电站为</w:t>
            </w:r>
            <w:r>
              <w:rPr>
                <w:rFonts w:ascii="宋体" w:eastAsia="宋体" w:hAnsi="宋体" w:cs="宋体" w:hint="eastAsia"/>
                <w:kern w:val="2"/>
                <w:sz w:val="15"/>
                <w:szCs w:val="15"/>
              </w:rPr>
              <w:t>Ⅱ</w:t>
            </w:r>
            <w:r>
              <w:rPr>
                <w:rFonts w:ascii="Times New Roman" w:eastAsia="宋体" w:hAnsi="Times New Roman" w:cs="Times New Roman"/>
                <w:kern w:val="2"/>
                <w:sz w:val="15"/>
                <w:szCs w:val="15"/>
              </w:rPr>
              <w:t>类负荷</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消防用电供电电源</w:t>
            </w:r>
          </w:p>
        </w:tc>
        <w:tc>
          <w:tcPr>
            <w:tcW w:w="2916" w:type="dxa"/>
            <w:tcBorders>
              <w:bottom w:val="single" w:sz="4" w:space="0" w:color="auto"/>
            </w:tcBorders>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宋体" w:eastAsia="宋体" w:hAnsi="宋体" w:cs="宋体" w:hint="eastAsia"/>
                <w:kern w:val="2"/>
                <w:sz w:val="15"/>
                <w:szCs w:val="15"/>
              </w:rPr>
              <w:t>Ⅰ</w:t>
            </w:r>
            <w:r>
              <w:rPr>
                <w:rFonts w:ascii="Times New Roman" w:eastAsia="宋体" w:hAnsi="Times New Roman" w:cs="Times New Roman"/>
                <w:kern w:val="2"/>
                <w:sz w:val="15"/>
                <w:szCs w:val="15"/>
              </w:rPr>
              <w:t>类负荷应由双重电源供电；</w:t>
            </w:r>
            <w:r>
              <w:rPr>
                <w:rFonts w:ascii="宋体" w:eastAsia="宋体" w:hAnsi="宋体" w:cs="宋体" w:hint="eastAsia"/>
                <w:kern w:val="2"/>
                <w:sz w:val="15"/>
                <w:szCs w:val="15"/>
              </w:rPr>
              <w:t>Ⅱ</w:t>
            </w:r>
            <w:r>
              <w:rPr>
                <w:rFonts w:ascii="Times New Roman" w:eastAsia="宋体" w:hAnsi="Times New Roman" w:cs="Times New Roman"/>
                <w:kern w:val="2"/>
                <w:sz w:val="15"/>
                <w:szCs w:val="15"/>
              </w:rPr>
              <w:t>类负荷应由两回线路供电</w:t>
            </w:r>
            <w:r>
              <w:rPr>
                <w:rFonts w:ascii="Times New Roman" w:eastAsia="宋体" w:hAnsi="Times New Roman" w:cs="Times New Roman"/>
                <w:kern w:val="2"/>
                <w:sz w:val="15"/>
                <w:szCs w:val="15"/>
              </w:rPr>
              <w:t xml:space="preserve"> </w:t>
            </w:r>
          </w:p>
        </w:tc>
        <w:tc>
          <w:tcPr>
            <w:tcW w:w="893" w:type="dxa"/>
            <w:tcBorders>
              <w:bottom w:val="single" w:sz="4" w:space="0" w:color="auto"/>
            </w:tcBorders>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电源容量</w:t>
            </w:r>
          </w:p>
        </w:tc>
        <w:tc>
          <w:tcPr>
            <w:tcW w:w="2916" w:type="dxa"/>
            <w:tcBorders>
              <w:bottom w:val="single" w:sz="4" w:space="0" w:color="auto"/>
            </w:tcBorders>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电动机启动时配电母线上的电压不应低于系统标称电压的</w:t>
            </w:r>
            <w:r>
              <w:rPr>
                <w:rFonts w:ascii="Times New Roman" w:eastAsia="宋体" w:hAnsi="Times New Roman" w:cs="Times New Roman"/>
                <w:kern w:val="2"/>
                <w:sz w:val="15"/>
                <w:szCs w:val="15"/>
              </w:rPr>
              <w:t>80%</w:t>
            </w:r>
          </w:p>
        </w:tc>
        <w:tc>
          <w:tcPr>
            <w:tcW w:w="893" w:type="dxa"/>
            <w:tcBorders>
              <w:bottom w:val="single" w:sz="4" w:space="0" w:color="auto"/>
            </w:tcBorders>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火灾自动报警系统和消防联动控制器消防电源</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应设置交流电源和直流备用电源；直流备用电源可采用其本身自带的不停电电源或变电站集中设置的不停电电源</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电源采用站内不停电电源装置供电时，系统应采用单独的供电回路，其配电设备应设有明显标志，并应保证在系统处于最大负载状态下不影响报警控制器和消防联动控制器的正常工作；不停电电源的输出功率应大于火灾自动报警系统和消防联动控制器全负荷功率的</w:t>
            </w:r>
            <w:r>
              <w:rPr>
                <w:rFonts w:ascii="Times New Roman" w:eastAsia="宋体" w:hAnsi="Times New Roman" w:cs="Times New Roman"/>
                <w:kern w:val="2"/>
                <w:sz w:val="15"/>
                <w:szCs w:val="15"/>
              </w:rPr>
              <w:t>120%</w:t>
            </w:r>
            <w:r>
              <w:rPr>
                <w:rFonts w:ascii="Times New Roman" w:eastAsia="宋体" w:hAnsi="Times New Roman" w:cs="Times New Roman"/>
                <w:kern w:val="2"/>
                <w:sz w:val="15"/>
                <w:szCs w:val="15"/>
              </w:rPr>
              <w:t>；不停电电源的容量应保证火灾自动报警系统和消防联动控制器在火灾状态同时工作负荷下连续工作</w:t>
            </w:r>
            <w:r>
              <w:rPr>
                <w:rFonts w:ascii="Times New Roman" w:eastAsia="宋体" w:hAnsi="Times New Roman" w:cs="Times New Roman"/>
                <w:kern w:val="2"/>
                <w:sz w:val="15"/>
                <w:szCs w:val="15"/>
              </w:rPr>
              <w:t>3.0h</w:t>
            </w:r>
            <w:r>
              <w:rPr>
                <w:rFonts w:ascii="Times New Roman" w:eastAsia="宋体" w:hAnsi="Times New Roman" w:cs="Times New Roman"/>
                <w:kern w:val="2"/>
                <w:sz w:val="15"/>
                <w:szCs w:val="15"/>
              </w:rPr>
              <w:t>以上</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火灾自动报警系统主电源的保护开关不应设置剩余电流保护和过负荷保护装置</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消防用电设备的消防电</w:t>
            </w:r>
            <w:r>
              <w:rPr>
                <w:rFonts w:ascii="Times New Roman" w:eastAsia="宋体" w:hAnsi="Times New Roman" w:cs="Times New Roman"/>
                <w:kern w:val="2"/>
                <w:sz w:val="15"/>
                <w:szCs w:val="15"/>
              </w:rPr>
              <w:lastRenderedPageBreak/>
              <w:t>源</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备用消防电源的供电时间和容量，应满足火灾延续时间内各消防设备的要求</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w:t>
            </w:r>
            <w:r>
              <w:rPr>
                <w:rFonts w:ascii="Times New Roman" w:eastAsiaTheme="minorEastAsia" w:hAnsi="Times New Roman" w:cs="Times New Roman"/>
                <w:kern w:val="2"/>
                <w:sz w:val="15"/>
                <w:szCs w:val="15"/>
              </w:rPr>
              <w:lastRenderedPageBreak/>
              <w:t>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消防用电设备采用双电源或双回路供电时，应在最末一级配电箱处自动切换</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为变电站消防设备供电的配电箱应独立设置</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消防用电设备供电回路设置</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消防用电设备应采用专用的供电回路，当发生火灾切断生产、生活用电时，仍应保证消防用电</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7</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消防应急照明及疏散指示标志</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消防应急照明、疏散指示标志应采用蓄电池直流系统供电，疏散通道的应急照明、疏散指示标志的连续供电时间不小于</w:t>
            </w:r>
            <w:r>
              <w:rPr>
                <w:rFonts w:ascii="Times New Roman" w:eastAsia="宋体" w:hAnsi="Times New Roman" w:cs="Times New Roman"/>
                <w:kern w:val="2"/>
                <w:sz w:val="15"/>
                <w:szCs w:val="15"/>
              </w:rPr>
              <w:t>30min</w:t>
            </w:r>
            <w:r>
              <w:rPr>
                <w:rFonts w:ascii="Times New Roman" w:eastAsia="宋体" w:hAnsi="Times New Roman" w:cs="Times New Roman"/>
                <w:kern w:val="2"/>
                <w:sz w:val="15"/>
                <w:szCs w:val="15"/>
              </w:rPr>
              <w:t>，继续工作应急照明连续供电时间不小于</w:t>
            </w:r>
            <w:r>
              <w:rPr>
                <w:rFonts w:ascii="Times New Roman" w:eastAsia="宋体" w:hAnsi="Times New Roman" w:cs="Times New Roman"/>
                <w:kern w:val="2"/>
                <w:sz w:val="15"/>
                <w:szCs w:val="15"/>
              </w:rPr>
              <w:t>3.0h</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98"/>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消防配电设备</w:t>
      </w:r>
    </w:p>
    <w:p w:rsidR="009846C2" w:rsidRDefault="00A433A0">
      <w:pPr>
        <w:pStyle w:val="af1"/>
        <w:widowControl w:val="0"/>
        <w:numPr>
          <w:ilvl w:val="0"/>
          <w:numId w:val="100"/>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检查数量：与抽查防火分区、楼层相关的设备数量。</w:t>
      </w:r>
    </w:p>
    <w:p w:rsidR="009846C2" w:rsidRDefault="00A433A0">
      <w:pPr>
        <w:pStyle w:val="af1"/>
        <w:widowControl w:val="0"/>
        <w:numPr>
          <w:ilvl w:val="0"/>
          <w:numId w:val="100"/>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验收标准和验收方法：见表</w:t>
      </w:r>
      <w:r>
        <w:rPr>
          <w:rFonts w:ascii="Times New Roman" w:eastAsiaTheme="minorEastAsia" w:hAnsi="Times New Roman" w:cs="Times New Roman"/>
          <w:kern w:val="2"/>
          <w:sz w:val="21"/>
        </w:rPr>
        <w:t>7.2.2</w:t>
      </w:r>
      <w:r>
        <w:rPr>
          <w:rFonts w:ascii="Times New Roman" w:eastAsiaTheme="minorEastAsia" w:hAnsi="Times New Roman" w:cs="Times New Roman"/>
          <w:kern w:val="2"/>
          <w:sz w:val="21"/>
        </w:rPr>
        <w:t>。</w:t>
      </w:r>
    </w:p>
    <w:p w:rsidR="009846C2" w:rsidRDefault="00A433A0">
      <w:pPr>
        <w:widowControl w:val="0"/>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7.2.2</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消防配电设备验收标准和验收方法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消防配电设备</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消防配电设备应设置明显标志</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布置及安全间距应符合设计要求，进出口应做防火封堵，并应封堵严密</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消防配电设备应安装牢固，安装垂直度允许偏差不应大于</w:t>
            </w:r>
            <w:r>
              <w:rPr>
                <w:rFonts w:ascii="Times New Roman" w:eastAsiaTheme="minorEastAsia" w:hAnsi="Times New Roman" w:cs="Times New Roman"/>
                <w:kern w:val="2"/>
                <w:sz w:val="15"/>
                <w:szCs w:val="15"/>
              </w:rPr>
              <w:t>1.5‰</w:t>
            </w:r>
            <w:r>
              <w:rPr>
                <w:rFonts w:ascii="Times New Roman" w:eastAsiaTheme="minorEastAsia" w:hAnsi="Times New Roman" w:cs="Times New Roman"/>
                <w:kern w:val="2"/>
                <w:sz w:val="15"/>
                <w:szCs w:val="15"/>
              </w:rPr>
              <w:t>，相互间接缝不应大于</w:t>
            </w:r>
            <w:r>
              <w:rPr>
                <w:rFonts w:ascii="Times New Roman" w:eastAsiaTheme="minorEastAsia" w:hAnsi="Times New Roman" w:cs="Times New Roman"/>
                <w:kern w:val="2"/>
                <w:sz w:val="15"/>
                <w:szCs w:val="15"/>
              </w:rPr>
              <w:t>2mm</w:t>
            </w:r>
            <w:r>
              <w:rPr>
                <w:rFonts w:ascii="Times New Roman" w:eastAsiaTheme="minorEastAsia" w:hAnsi="Times New Roman" w:cs="Times New Roman"/>
                <w:kern w:val="2"/>
                <w:sz w:val="15"/>
                <w:szCs w:val="15"/>
              </w:rPr>
              <w:t>，成列盘面偏差不应大于</w:t>
            </w:r>
            <w:r>
              <w:rPr>
                <w:rFonts w:ascii="Times New Roman" w:eastAsiaTheme="minorEastAsia" w:hAnsi="Times New Roman" w:cs="Times New Roman"/>
                <w:kern w:val="2"/>
                <w:sz w:val="15"/>
                <w:szCs w:val="15"/>
              </w:rPr>
              <w:t>5mm</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消防配电设备不应设置在水管的正下方</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室外安装的落地式配电</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控制</w:t>
            </w:r>
            <w:r>
              <w:rPr>
                <w:rFonts w:ascii="Times New Roman" w:eastAsiaTheme="minorEastAsia" w:hAnsi="Times New Roman" w:cs="Times New Roman"/>
                <w:kern w:val="2"/>
                <w:sz w:val="15"/>
                <w:szCs w:val="15"/>
              </w:rPr>
              <w:t>)</w:t>
            </w:r>
            <w:r>
              <w:rPr>
                <w:rFonts w:ascii="Times New Roman" w:eastAsiaTheme="minorEastAsia" w:hAnsi="Times New Roman" w:cs="Times New Roman"/>
                <w:kern w:val="2"/>
                <w:sz w:val="15"/>
                <w:szCs w:val="15"/>
              </w:rPr>
              <w:t>柜、箱的基础应高于地坪，周围排水应通畅，其底座周围应采取封闭措施</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Theme="minorEastAsia"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金属框架及基础型钢应与保护导体可靠连接；对于装有电器的可开启门，门和金属框架的接地端子间应选用截面积不小于</w:t>
            </w:r>
            <w:r>
              <w:rPr>
                <w:rFonts w:ascii="Times New Roman" w:eastAsiaTheme="minorEastAsia" w:hAnsi="Times New Roman" w:cs="Times New Roman"/>
                <w:kern w:val="2"/>
                <w:sz w:val="15"/>
                <w:szCs w:val="15"/>
              </w:rPr>
              <w:t>4mm</w:t>
            </w:r>
            <w:r>
              <w:rPr>
                <w:rFonts w:ascii="Times New Roman" w:eastAsiaTheme="minorEastAsia" w:hAnsi="Times New Roman" w:cs="Times New Roman"/>
                <w:kern w:val="2"/>
                <w:sz w:val="15"/>
                <w:szCs w:val="15"/>
                <w:vertAlign w:val="superscript"/>
              </w:rPr>
              <w:t>2</w:t>
            </w:r>
            <w:r>
              <w:rPr>
                <w:rFonts w:ascii="Times New Roman" w:eastAsiaTheme="minorEastAsia" w:hAnsi="Times New Roman" w:cs="Times New Roman"/>
                <w:kern w:val="2"/>
                <w:sz w:val="15"/>
                <w:szCs w:val="15"/>
              </w:rPr>
              <w:t>的黄绿色绝缘铜芯软导线连接，并应有标识</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Theme="minorEastAsia" w:hAnsi="Times New Roman" w:cs="Times New Roman"/>
                <w:kern w:val="2"/>
                <w:sz w:val="15"/>
                <w:szCs w:val="15"/>
              </w:rPr>
            </w:pPr>
          </w:p>
        </w:tc>
      </w:tr>
    </w:tbl>
    <w:p w:rsidR="009846C2" w:rsidRDefault="00A433A0">
      <w:pPr>
        <w:pStyle w:val="11"/>
        <w:keepNext w:val="0"/>
        <w:keepLines w:val="0"/>
        <w:numPr>
          <w:ilvl w:val="0"/>
          <w:numId w:val="98"/>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配电线路</w:t>
      </w:r>
    </w:p>
    <w:p w:rsidR="009846C2" w:rsidRDefault="00A433A0">
      <w:pPr>
        <w:pStyle w:val="af1"/>
        <w:widowControl w:val="0"/>
        <w:numPr>
          <w:ilvl w:val="0"/>
          <w:numId w:val="101"/>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检查数量：含有</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个及以下防火分区、楼层的，应全部检验；超过</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个防火分区、楼层的应按实区域数量</w:t>
      </w:r>
      <w:r>
        <w:rPr>
          <w:rFonts w:ascii="Times New Roman" w:eastAsiaTheme="minorEastAsia" w:hAnsi="Times New Roman" w:cs="Times New Roman"/>
          <w:kern w:val="2"/>
          <w:sz w:val="21"/>
        </w:rPr>
        <w:t>20%</w:t>
      </w:r>
      <w:r>
        <w:rPr>
          <w:rFonts w:ascii="Times New Roman" w:eastAsiaTheme="minorEastAsia" w:hAnsi="Times New Roman" w:cs="Times New Roman"/>
          <w:kern w:val="2"/>
          <w:sz w:val="21"/>
        </w:rPr>
        <w:t>的比例抽验，但抽验总数不应小于</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w:t>
      </w:r>
    </w:p>
    <w:p w:rsidR="009846C2" w:rsidRDefault="00A433A0">
      <w:pPr>
        <w:pStyle w:val="af1"/>
        <w:widowControl w:val="0"/>
        <w:numPr>
          <w:ilvl w:val="0"/>
          <w:numId w:val="101"/>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验收标准和验收方法：见表</w:t>
      </w:r>
      <w:r>
        <w:rPr>
          <w:rFonts w:ascii="Times New Roman" w:eastAsiaTheme="minorEastAsia" w:hAnsi="Times New Roman" w:cs="Times New Roman"/>
          <w:kern w:val="2"/>
          <w:sz w:val="21"/>
        </w:rPr>
        <w:t>7.2.3</w:t>
      </w:r>
      <w:r>
        <w:rPr>
          <w:rFonts w:ascii="Times New Roman" w:eastAsiaTheme="minorEastAsia" w:hAnsi="Times New Roman" w:cs="Times New Roman"/>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7.2.3</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配电线路安装质量验收标准和验收方法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消防配电线路</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导线规格型号应符合设计文件要求</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消防、报警、应急照明、断路器操作直流电源等重要回路应采用耐火电线或电缆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爆炸危险环境照明线路的电线和电缆额定电压不得低于</w:t>
            </w:r>
            <w:r>
              <w:rPr>
                <w:rFonts w:ascii="Times New Roman" w:eastAsia="宋体" w:hAnsi="Times New Roman" w:cs="Times New Roman"/>
                <w:kern w:val="2"/>
                <w:sz w:val="15"/>
                <w:szCs w:val="15"/>
              </w:rPr>
              <w:t>750V</w:t>
            </w:r>
            <w:r>
              <w:rPr>
                <w:rFonts w:ascii="Times New Roman" w:eastAsia="宋体" w:hAnsi="Times New Roman" w:cs="Times New Roman"/>
                <w:kern w:val="2"/>
                <w:sz w:val="15"/>
                <w:szCs w:val="15"/>
              </w:rPr>
              <w:t>，且电线必须穿于钢导管内；易燃易爆场所，应选用阻燃电线或电缆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电线绝缘层颜色选择应一致，即保护地线（</w:t>
            </w:r>
            <w:r>
              <w:rPr>
                <w:rFonts w:ascii="Times New Roman" w:eastAsia="宋体" w:hAnsi="Times New Roman" w:cs="Times New Roman"/>
                <w:kern w:val="2"/>
                <w:sz w:val="15"/>
                <w:szCs w:val="15"/>
              </w:rPr>
              <w:t>PE</w:t>
            </w:r>
            <w:r>
              <w:rPr>
                <w:rFonts w:ascii="Times New Roman" w:eastAsia="宋体" w:hAnsi="Times New Roman" w:cs="Times New Roman"/>
                <w:kern w:val="2"/>
                <w:sz w:val="15"/>
                <w:szCs w:val="15"/>
              </w:rPr>
              <w:t>线）应是黄绿相间色，零线用淡蓝色；相线用：</w:t>
            </w:r>
            <w:r>
              <w:rPr>
                <w:rFonts w:ascii="Times New Roman" w:eastAsia="宋体" w:hAnsi="Times New Roman" w:cs="Times New Roman"/>
                <w:kern w:val="2"/>
                <w:sz w:val="15"/>
                <w:szCs w:val="15"/>
              </w:rPr>
              <w:t>A</w:t>
            </w:r>
            <w:r>
              <w:rPr>
                <w:rFonts w:ascii="Times New Roman" w:eastAsia="宋体" w:hAnsi="Times New Roman" w:cs="Times New Roman"/>
                <w:kern w:val="2"/>
                <w:sz w:val="15"/>
                <w:szCs w:val="15"/>
              </w:rPr>
              <w:t>相</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黄色、</w:t>
            </w:r>
            <w:r>
              <w:rPr>
                <w:rFonts w:ascii="Times New Roman" w:eastAsia="宋体" w:hAnsi="Times New Roman" w:cs="Times New Roman"/>
                <w:kern w:val="2"/>
                <w:sz w:val="15"/>
                <w:szCs w:val="15"/>
              </w:rPr>
              <w:t>B</w:t>
            </w:r>
            <w:r>
              <w:rPr>
                <w:rFonts w:ascii="Times New Roman" w:eastAsia="宋体" w:hAnsi="Times New Roman" w:cs="Times New Roman"/>
                <w:kern w:val="2"/>
                <w:sz w:val="15"/>
                <w:szCs w:val="15"/>
              </w:rPr>
              <w:t>相</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绿色、</w:t>
            </w:r>
            <w:r>
              <w:rPr>
                <w:rFonts w:ascii="Times New Roman" w:eastAsia="宋体" w:hAnsi="Times New Roman" w:cs="Times New Roman"/>
                <w:kern w:val="2"/>
                <w:sz w:val="15"/>
                <w:szCs w:val="15"/>
              </w:rPr>
              <w:t>C</w:t>
            </w:r>
            <w:r>
              <w:rPr>
                <w:rFonts w:ascii="Times New Roman" w:eastAsia="宋体" w:hAnsi="Times New Roman" w:cs="Times New Roman"/>
                <w:kern w:val="2"/>
                <w:sz w:val="15"/>
                <w:szCs w:val="15"/>
              </w:rPr>
              <w:t>相</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红色</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tcBorders>
              <w:top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消防配电导线敷设</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暗敷设时应穿钢管并敷设在不燃烧体结构内，其保护层厚度不应小于</w:t>
            </w:r>
            <w:r>
              <w:rPr>
                <w:rFonts w:ascii="Times New Roman" w:eastAsia="宋体" w:hAnsi="Times New Roman" w:cs="Times New Roman"/>
                <w:kern w:val="2"/>
                <w:sz w:val="15"/>
                <w:szCs w:val="15"/>
              </w:rPr>
              <w:t>30mm</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明敷设时（包括附设在吊顶内），应穿金属管或封闭式金属槽盒保护，金属导管或封闭槽盒应采取防火保护措施</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同一交流回路的绝缘导线不应敷设于不同的金属槽盒内或穿于不同金属导管内</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同一回路的相线和零线，应敷设于同一金属线槽内</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不同回路、不同电压和交流与直流的电线，不应穿于同一导管内</w:t>
            </w:r>
            <w:r>
              <w:rPr>
                <w:rFonts w:ascii="Times New Roman" w:eastAsia="宋体" w:hAnsi="Times New Roman" w:cs="Times New Roman"/>
                <w:kern w:val="2"/>
                <w:sz w:val="15"/>
                <w:szCs w:val="15"/>
              </w:rPr>
              <w:t xml:space="preserve"> </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明敷设时导管应排列整齐、固定点间距均匀、安装牢固</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导管支架应安装牢固、无明显扭曲</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在距终端、弯头中点或柜、台、箱、盘等边缘</w:t>
            </w:r>
            <w:r>
              <w:rPr>
                <w:rFonts w:ascii="Times New Roman" w:eastAsia="宋体" w:hAnsi="Times New Roman" w:cs="Times New Roman"/>
                <w:kern w:val="2"/>
                <w:sz w:val="15"/>
                <w:szCs w:val="15"/>
              </w:rPr>
              <w:t>150mm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500mm</w:t>
            </w:r>
            <w:r>
              <w:rPr>
                <w:rFonts w:ascii="Times New Roman" w:eastAsia="宋体" w:hAnsi="Times New Roman" w:cs="Times New Roman"/>
                <w:kern w:val="2"/>
                <w:sz w:val="15"/>
                <w:szCs w:val="15"/>
              </w:rPr>
              <w:t>范围内应设有固定管卡</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进入配电</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控制</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柜、台、箱内的导管管口，当箱底无封板时，管口应高出柜、台、箱、盘的基础面</w:t>
            </w:r>
            <w:r>
              <w:rPr>
                <w:rFonts w:ascii="Times New Roman" w:eastAsia="宋体" w:hAnsi="Times New Roman" w:cs="Times New Roman"/>
                <w:kern w:val="2"/>
                <w:sz w:val="15"/>
                <w:szCs w:val="15"/>
              </w:rPr>
              <w:t>50mm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80mm</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消防配电电缆敷设</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交流单芯电缆或分相后的每相电缆不得单根独穿于钢导管内，固定用的夹具和支架不应形成闭合磁路</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电缆敷设不得存在绞拧、铠装压扁、护层断裂和表面严重划伤等缺陷</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电缆的敷设排列应顺直、整齐，并宜少交叉</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10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电缆出入电缆沟，电气竖井，建筑物，配电</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控制</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柜、台、箱处以及管子管口处等部位应采取防火或密封措施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10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电缆出入电缆梯架、托盘、槽盒及配电</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控制</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柜、台、箱、盘处应做固定</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进入配电</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控制</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柜、台、箱内的导管管口，当箱底无封板时，管口应高出柜、台、箱、盘的基础面</w:t>
            </w:r>
            <w:r>
              <w:rPr>
                <w:rFonts w:ascii="Times New Roman" w:eastAsia="宋体" w:hAnsi="Times New Roman" w:cs="Times New Roman"/>
                <w:kern w:val="2"/>
                <w:sz w:val="15"/>
                <w:szCs w:val="15"/>
              </w:rPr>
              <w:t>50mm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80mm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Merge w:val="restart"/>
            <w:vAlign w:val="center"/>
          </w:tcPr>
          <w:p w:rsidR="009846C2" w:rsidRDefault="00A433A0">
            <w:pPr>
              <w:widowControl w:val="0"/>
              <w:tabs>
                <w:tab w:val="left" w:pos="0"/>
              </w:tabs>
              <w:topLinePunct/>
              <w:spacing w:line="300" w:lineRule="exact"/>
              <w:jc w:val="center"/>
              <w:rPr>
                <w:rStyle w:val="af0"/>
                <w:rFonts w:ascii="Times New Roman" w:hAnsi="Times New Roman" w:cs="Times New Roman"/>
                <w:kern w:val="2"/>
                <w:sz w:val="15"/>
                <w:szCs w:val="15"/>
              </w:rPr>
            </w:pPr>
            <w:r>
              <w:rPr>
                <w:rFonts w:ascii="Times New Roman" w:eastAsia="宋体" w:hAnsi="Times New Roman" w:cs="Times New Roman"/>
                <w:kern w:val="2"/>
                <w:sz w:val="15"/>
                <w:szCs w:val="15"/>
              </w:rPr>
              <w:t>蓄电池室电缆敷设</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电缆应敷设在较低处的管、沟内，沟内非铠装电缆应埋砂</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电缆及其管、沟穿过不同区域之间的墙、板孔洞处，应采用防火封堵材料严密堵塞</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电缆线路中不应有接头，如采用接头时，必须具有防爆性</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rsidP="007974B4">
      <w:pPr>
        <w:pStyle w:val="11"/>
        <w:keepNext w:val="0"/>
        <w:keepLines w:val="0"/>
        <w:numPr>
          <w:ilvl w:val="0"/>
          <w:numId w:val="96"/>
        </w:numPr>
        <w:tabs>
          <w:tab w:val="left" w:pos="0"/>
        </w:tabs>
        <w:topLinePunct/>
        <w:autoSpaceDE/>
        <w:autoSpaceDN/>
        <w:spacing w:beforeLines="100" w:afterLines="100"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消防应急照明和疏散指示系统</w:t>
      </w:r>
    </w:p>
    <w:p w:rsidR="009846C2" w:rsidRDefault="00A433A0">
      <w:pPr>
        <w:pStyle w:val="11"/>
        <w:keepNext w:val="0"/>
        <w:keepLines w:val="0"/>
        <w:numPr>
          <w:ilvl w:val="0"/>
          <w:numId w:val="102"/>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灯具</w:t>
      </w:r>
    </w:p>
    <w:p w:rsidR="009846C2" w:rsidRDefault="00A433A0">
      <w:pPr>
        <w:pStyle w:val="af1"/>
        <w:widowControl w:val="0"/>
        <w:numPr>
          <w:ilvl w:val="0"/>
          <w:numId w:val="103"/>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检查数量：与抽查防火分区、楼层相关的设备数量。</w:t>
      </w:r>
    </w:p>
    <w:p w:rsidR="009846C2" w:rsidRDefault="00A433A0">
      <w:pPr>
        <w:pStyle w:val="af1"/>
        <w:widowControl w:val="0"/>
        <w:numPr>
          <w:ilvl w:val="0"/>
          <w:numId w:val="103"/>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验收标准和验收方法：见表</w:t>
      </w:r>
      <w:r>
        <w:rPr>
          <w:rFonts w:ascii="Times New Roman" w:eastAsiaTheme="minorEastAsia" w:hAnsi="Times New Roman" w:cs="Times New Roman"/>
          <w:kern w:val="2"/>
          <w:sz w:val="21"/>
        </w:rPr>
        <w:t>7.2.2</w:t>
      </w:r>
      <w:r>
        <w:rPr>
          <w:rFonts w:ascii="Times New Roman" w:eastAsiaTheme="minorEastAsia" w:hAnsi="Times New Roman" w:cs="Times New Roman"/>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7.3.1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灯具安装质量验收标准和验收方法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灯具应固定安装在不燃性墙体或不燃性装修材料上，不应安装在门、窗或其它可移动的物体上</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灯具固定应牢固可靠</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灯具安装后不应对人员正常通行产生影响，灯具周围应无遮挡物，并应保证灯具上的各种状态指示灯易于观察</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灯具采用吊装式安装时，应采用金属吊杆或吊链，吊杆或吊链上端应固定在建筑构件上</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安装高度距地面不大于</w:t>
            </w:r>
            <w:r>
              <w:rPr>
                <w:rFonts w:ascii="Times New Roman" w:eastAsia="宋体" w:hAnsi="Times New Roman" w:cs="Times New Roman"/>
                <w:kern w:val="2"/>
                <w:sz w:val="15"/>
                <w:szCs w:val="15"/>
              </w:rPr>
              <w:t>1.0m</w:t>
            </w:r>
            <w:r>
              <w:rPr>
                <w:rFonts w:ascii="Times New Roman" w:eastAsia="宋体" w:hAnsi="Times New Roman" w:cs="Times New Roman"/>
                <w:kern w:val="2"/>
                <w:sz w:val="15"/>
                <w:szCs w:val="15"/>
              </w:rPr>
              <w:t>时，灯具表面凸出墙面或柱面的部分不应有尖锐角、毛刺等突出物，凸出墙面或柱面最大水平距离不应超过</w:t>
            </w:r>
            <w:r>
              <w:rPr>
                <w:rFonts w:ascii="Times New Roman" w:eastAsia="宋体" w:hAnsi="Times New Roman" w:cs="Times New Roman"/>
                <w:kern w:val="2"/>
                <w:sz w:val="15"/>
                <w:szCs w:val="15"/>
              </w:rPr>
              <w:t>20mm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非集中控制型系统中，自带电源型灯具采用插头连接时，应采用专用工具方可拆卸</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出口标志灯应安装在安全出口或疏散门内侧上方居中的位置；受安装条件限制标志灯无法安装在门框上侧时，可安装在门的两侧，但门完全开启时标志灯不能被遮挡</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出口标志灯室内高度不大于</w:t>
            </w:r>
            <w:r>
              <w:rPr>
                <w:rFonts w:ascii="Times New Roman" w:eastAsia="宋体" w:hAnsi="Times New Roman" w:cs="Times New Roman"/>
                <w:kern w:val="2"/>
                <w:sz w:val="15"/>
                <w:szCs w:val="15"/>
              </w:rPr>
              <w:t>3.5m</w:t>
            </w:r>
            <w:r>
              <w:rPr>
                <w:rFonts w:ascii="Times New Roman" w:eastAsia="宋体" w:hAnsi="Times New Roman" w:cs="Times New Roman"/>
                <w:kern w:val="2"/>
                <w:sz w:val="15"/>
                <w:szCs w:val="15"/>
              </w:rPr>
              <w:t>的场所，标志灯底边离门框距离不应大于</w:t>
            </w:r>
            <w:r>
              <w:rPr>
                <w:rFonts w:ascii="Times New Roman" w:eastAsia="宋体" w:hAnsi="Times New Roman" w:cs="Times New Roman"/>
                <w:kern w:val="2"/>
                <w:sz w:val="15"/>
                <w:szCs w:val="15"/>
              </w:rPr>
              <w:t>200mm</w:t>
            </w:r>
            <w:r>
              <w:rPr>
                <w:rFonts w:ascii="Times New Roman" w:eastAsia="宋体" w:hAnsi="Times New Roman" w:cs="Times New Roman"/>
                <w:kern w:val="2"/>
                <w:sz w:val="15"/>
                <w:szCs w:val="15"/>
              </w:rPr>
              <w:t>；室内高度大于</w:t>
            </w:r>
            <w:r>
              <w:rPr>
                <w:rFonts w:ascii="Times New Roman" w:eastAsia="宋体" w:hAnsi="Times New Roman" w:cs="Times New Roman"/>
                <w:kern w:val="2"/>
                <w:sz w:val="15"/>
                <w:szCs w:val="15"/>
              </w:rPr>
              <w:t>3.5m</w:t>
            </w:r>
            <w:r>
              <w:rPr>
                <w:rFonts w:ascii="Times New Roman" w:eastAsia="宋体" w:hAnsi="Times New Roman" w:cs="Times New Roman"/>
                <w:kern w:val="2"/>
                <w:sz w:val="15"/>
                <w:szCs w:val="15"/>
              </w:rPr>
              <w:t>的场所，特大型、大型、中型标志灯底边距地面高度不宜小于</w:t>
            </w:r>
            <w:r>
              <w:rPr>
                <w:rFonts w:ascii="Times New Roman" w:eastAsia="宋体" w:hAnsi="Times New Roman" w:cs="Times New Roman"/>
                <w:kern w:val="2"/>
                <w:sz w:val="15"/>
                <w:szCs w:val="15"/>
              </w:rPr>
              <w:t>3.0m</w:t>
            </w:r>
            <w:r>
              <w:rPr>
                <w:rFonts w:ascii="Times New Roman" w:eastAsia="宋体" w:hAnsi="Times New Roman" w:cs="Times New Roman"/>
                <w:kern w:val="2"/>
                <w:sz w:val="15"/>
                <w:szCs w:val="15"/>
              </w:rPr>
              <w:t>，且不宜大于</w:t>
            </w:r>
            <w:r>
              <w:rPr>
                <w:rFonts w:ascii="Times New Roman" w:eastAsia="宋体" w:hAnsi="Times New Roman" w:cs="Times New Roman"/>
                <w:kern w:val="2"/>
                <w:sz w:val="15"/>
                <w:szCs w:val="15"/>
              </w:rPr>
              <w:t>6.0m</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现场测量、现场检查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方向标志灯应保证标志灯的箭头指示方向与疏散指示方案一致；安装在疏散走道、通道两侧的墙面或柱面上时，标志灯底边距地面的高度应小于</w:t>
            </w:r>
            <w:r>
              <w:rPr>
                <w:rFonts w:ascii="Times New Roman" w:eastAsia="宋体" w:hAnsi="Times New Roman" w:cs="Times New Roman"/>
                <w:kern w:val="2"/>
                <w:sz w:val="15"/>
                <w:szCs w:val="15"/>
              </w:rPr>
              <w:t>1.0m</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核对设计文件，现场测量、检查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方向标志灯当安装在疏散走道、通道转角处的上方或两侧时，标志灯与转角处边墙的距离不应大于</w:t>
            </w:r>
            <w:r>
              <w:rPr>
                <w:rFonts w:ascii="Times New Roman" w:eastAsia="宋体" w:hAnsi="Times New Roman" w:cs="Times New Roman"/>
                <w:kern w:val="2"/>
                <w:sz w:val="15"/>
                <w:szCs w:val="15"/>
              </w:rPr>
              <w:t>1.0m</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当安全出口或疏散门在疏散走道侧边时，在疏散走道增设的方向标志灯应安装在疏散走道的顶部，且标志灯的标志面应与疏散方</w:t>
            </w:r>
            <w:r>
              <w:rPr>
                <w:rFonts w:ascii="Times New Roman" w:eastAsia="宋体" w:hAnsi="Times New Roman" w:cs="Times New Roman"/>
                <w:kern w:val="2"/>
                <w:sz w:val="15"/>
                <w:szCs w:val="15"/>
              </w:rPr>
              <w:lastRenderedPageBreak/>
              <w:t>向垂直、箭头应指向安全出口或疏散门</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lastRenderedPageBreak/>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当安装在疏散走道、通道的地面上时，应符合下列规定：标志灯应安装在疏散走道、通道的中心位置；标志灯的所有金属构件应采用耐腐蚀构件或做防腐处理，标志灯配电、通信线路的连接应采用密封胶密封；标志灯表面应与地面平行，高于地面距离不应大于</w:t>
            </w:r>
            <w:r>
              <w:rPr>
                <w:rFonts w:ascii="Times New Roman" w:eastAsia="宋体" w:hAnsi="Times New Roman" w:cs="Times New Roman"/>
                <w:kern w:val="2"/>
                <w:sz w:val="15"/>
                <w:szCs w:val="15"/>
              </w:rPr>
              <w:t>3.0mm</w:t>
            </w:r>
            <w:r>
              <w:rPr>
                <w:rFonts w:ascii="Times New Roman" w:eastAsia="宋体" w:hAnsi="Times New Roman" w:cs="Times New Roman"/>
                <w:kern w:val="2"/>
                <w:sz w:val="15"/>
                <w:szCs w:val="15"/>
              </w:rPr>
              <w:t>，标志灯边缘与地面垂直距离高度不应大于</w:t>
            </w:r>
            <w:r>
              <w:rPr>
                <w:rFonts w:ascii="Times New Roman" w:eastAsia="宋体" w:hAnsi="Times New Roman" w:cs="Times New Roman"/>
                <w:kern w:val="2"/>
                <w:sz w:val="15"/>
                <w:szCs w:val="15"/>
              </w:rPr>
              <w:t>1.0mm</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2"/>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应急照明控制器、集中电源、应急照明配电箱</w:t>
      </w:r>
    </w:p>
    <w:p w:rsidR="009846C2" w:rsidRDefault="00A433A0">
      <w:pPr>
        <w:pStyle w:val="af1"/>
        <w:widowControl w:val="0"/>
        <w:numPr>
          <w:ilvl w:val="0"/>
          <w:numId w:val="104"/>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检查数量：与抽查防火分区、楼层相关的设备数量。</w:t>
      </w:r>
    </w:p>
    <w:p w:rsidR="009846C2" w:rsidRDefault="00A433A0">
      <w:pPr>
        <w:pStyle w:val="af1"/>
        <w:widowControl w:val="0"/>
        <w:numPr>
          <w:ilvl w:val="0"/>
          <w:numId w:val="104"/>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验收标准和验收方法：见表</w:t>
      </w:r>
      <w:r>
        <w:rPr>
          <w:rFonts w:ascii="Times New Roman" w:eastAsiaTheme="minorEastAsia" w:hAnsi="Times New Roman" w:cs="Times New Roman"/>
          <w:kern w:val="2"/>
          <w:sz w:val="21"/>
        </w:rPr>
        <w:t>7.3.2</w:t>
      </w:r>
      <w:r>
        <w:rPr>
          <w:rFonts w:ascii="Times New Roman" w:eastAsiaTheme="minorEastAsia" w:hAnsi="Times New Roman" w:cs="Times New Roman"/>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7.3.2</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应急照明控制器、集中电源、应急照明配电箱安装质量验收标准和验收方法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应急照明控制器、集中电源、应急照明配电箱</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应安装牢固，不得倾斜</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在轻质墙上采用壁挂方式安装时，应采取加固措施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设备在电气竖井内安装时，应采用下出口进线方式</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设备接地应牢固，并应设置明显标识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应急照明控制器主电源应设置明显的永久性标识，并应直接与消防电源连接，严禁使用电源插头；应急照明控制器与其外接备用电源之间应直接连接</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应急照明配电箱内回路编号应齐全，标识应正确</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控制器、集中电源和应急照明配电箱的接线应符合下列规定：引入设备的电缆或导线，配线应整齐，不宜交叉，并应固定牢靠；线缆芯线的端部，均应标明编号，并与图纸一致，字迹应清晰且不易退色；端子板的每个接线端，接线不得超过</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根；线缆应留有不小于</w:t>
            </w:r>
            <w:r>
              <w:rPr>
                <w:rFonts w:ascii="Times New Roman" w:eastAsia="宋体" w:hAnsi="Times New Roman" w:cs="Times New Roman"/>
                <w:kern w:val="2"/>
                <w:sz w:val="15"/>
                <w:szCs w:val="15"/>
              </w:rPr>
              <w:t>200mm</w:t>
            </w:r>
            <w:r>
              <w:rPr>
                <w:rFonts w:ascii="Times New Roman" w:eastAsia="宋体" w:hAnsi="Times New Roman" w:cs="Times New Roman"/>
                <w:kern w:val="2"/>
                <w:sz w:val="15"/>
                <w:szCs w:val="15"/>
              </w:rPr>
              <w:t>的余量；导线应绑扎成束；线缆穿管、槽盒后，应将管口、槽口封堵</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2"/>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布线</w:t>
      </w:r>
    </w:p>
    <w:p w:rsidR="009846C2" w:rsidRDefault="00A433A0">
      <w:pPr>
        <w:pStyle w:val="af1"/>
        <w:widowControl w:val="0"/>
        <w:numPr>
          <w:ilvl w:val="0"/>
          <w:numId w:val="105"/>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检查数量：含有</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个及以下防火分区、楼层的，应全部检验；超过</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个防火分区、楼层的应按实区域数量</w:t>
      </w:r>
      <w:r>
        <w:rPr>
          <w:rFonts w:ascii="Times New Roman" w:eastAsiaTheme="minorEastAsia" w:hAnsi="Times New Roman" w:cs="Times New Roman"/>
          <w:kern w:val="2"/>
          <w:sz w:val="21"/>
        </w:rPr>
        <w:t>20%</w:t>
      </w:r>
      <w:r>
        <w:rPr>
          <w:rFonts w:ascii="Times New Roman" w:eastAsiaTheme="minorEastAsia" w:hAnsi="Times New Roman" w:cs="Times New Roman"/>
          <w:kern w:val="2"/>
          <w:sz w:val="21"/>
        </w:rPr>
        <w:t>的比例抽验，但抽验总数不应小于</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w:t>
      </w:r>
    </w:p>
    <w:p w:rsidR="009846C2" w:rsidRDefault="00A433A0">
      <w:pPr>
        <w:pStyle w:val="af1"/>
        <w:widowControl w:val="0"/>
        <w:numPr>
          <w:ilvl w:val="0"/>
          <w:numId w:val="105"/>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验收标准和验收方法：见表</w:t>
      </w:r>
      <w:r>
        <w:rPr>
          <w:rFonts w:ascii="Times New Roman" w:eastAsiaTheme="minorEastAsia" w:hAnsi="Times New Roman" w:cs="Times New Roman"/>
          <w:kern w:val="2"/>
          <w:sz w:val="21"/>
        </w:rPr>
        <w:t>7.3.3</w:t>
      </w:r>
      <w:r>
        <w:rPr>
          <w:rFonts w:ascii="Times New Roman" w:eastAsiaTheme="minorEastAsia" w:hAnsi="Times New Roman" w:cs="Times New Roman"/>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7.3.3</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布线质量验收标准和验收方法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布线</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系统线路暗敷时，应采用金属管、可弯曲金属电气导管或</w:t>
            </w:r>
            <w:r>
              <w:rPr>
                <w:rFonts w:ascii="Times New Roman" w:eastAsia="宋体" w:hAnsi="Times New Roman" w:cs="Times New Roman"/>
                <w:kern w:val="2"/>
                <w:sz w:val="15"/>
                <w:szCs w:val="15"/>
              </w:rPr>
              <w:t>B1</w:t>
            </w:r>
            <w:r>
              <w:rPr>
                <w:rFonts w:ascii="Times New Roman" w:eastAsia="宋体" w:hAnsi="Times New Roman" w:cs="Times New Roman"/>
                <w:kern w:val="2"/>
                <w:sz w:val="15"/>
                <w:szCs w:val="15"/>
              </w:rPr>
              <w:t>级及以上的刚性塑料管保护；系统线路明敷设时，应采用金属管、可弯曲金属电气导管或槽盒保护；矿物绝缘类不燃性电缆可直接明敷</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各类管路明敷时，应在下列部位设置吊点或支点，吊杆直径不应小于</w:t>
            </w:r>
            <w:r>
              <w:rPr>
                <w:rFonts w:ascii="Times New Roman" w:eastAsia="宋体" w:hAnsi="Times New Roman" w:cs="Times New Roman"/>
                <w:kern w:val="2"/>
                <w:sz w:val="15"/>
                <w:szCs w:val="15"/>
              </w:rPr>
              <w:t>6mm</w:t>
            </w:r>
            <w:r>
              <w:rPr>
                <w:rFonts w:ascii="Times New Roman" w:eastAsia="宋体" w:hAnsi="Times New Roman" w:cs="Times New Roman"/>
                <w:kern w:val="2"/>
                <w:sz w:val="15"/>
                <w:szCs w:val="15"/>
              </w:rPr>
              <w:t>：管路始端、终端及接头处；距接线盒</w:t>
            </w:r>
            <w:r>
              <w:rPr>
                <w:rFonts w:ascii="Times New Roman" w:eastAsia="宋体" w:hAnsi="Times New Roman" w:cs="Times New Roman"/>
                <w:kern w:val="2"/>
                <w:sz w:val="15"/>
                <w:szCs w:val="15"/>
              </w:rPr>
              <w:t>0.2m</w:t>
            </w:r>
            <w:r>
              <w:rPr>
                <w:rFonts w:ascii="Times New Roman" w:eastAsia="宋体" w:hAnsi="Times New Roman" w:cs="Times New Roman"/>
                <w:kern w:val="2"/>
                <w:sz w:val="15"/>
                <w:szCs w:val="15"/>
              </w:rPr>
              <w:t>处；管</w:t>
            </w:r>
            <w:r>
              <w:rPr>
                <w:rFonts w:ascii="Times New Roman" w:eastAsia="宋体" w:hAnsi="Times New Roman" w:cs="Times New Roman"/>
                <w:kern w:val="2"/>
                <w:sz w:val="15"/>
                <w:szCs w:val="15"/>
              </w:rPr>
              <w:lastRenderedPageBreak/>
              <w:t>路转角或分支处；直线段不大于</w:t>
            </w:r>
            <w:r>
              <w:rPr>
                <w:rFonts w:ascii="Times New Roman" w:eastAsia="宋体" w:hAnsi="Times New Roman" w:cs="Times New Roman"/>
                <w:kern w:val="2"/>
                <w:sz w:val="15"/>
                <w:szCs w:val="15"/>
              </w:rPr>
              <w:t>3.0m</w:t>
            </w:r>
            <w:r>
              <w:rPr>
                <w:rFonts w:ascii="Times New Roman" w:eastAsia="宋体" w:hAnsi="Times New Roman" w:cs="Times New Roman"/>
                <w:kern w:val="2"/>
                <w:sz w:val="15"/>
                <w:szCs w:val="15"/>
              </w:rPr>
              <w:t>处</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lastRenderedPageBreak/>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各类管路暗敷时，应敷设在不燃性结构内，且保护层厚度不应小于</w:t>
            </w:r>
            <w:r>
              <w:rPr>
                <w:rFonts w:ascii="Times New Roman" w:eastAsia="宋体" w:hAnsi="Times New Roman" w:cs="Times New Roman"/>
                <w:kern w:val="2"/>
                <w:sz w:val="15"/>
                <w:szCs w:val="15"/>
              </w:rPr>
              <w:t>30mm</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资料核查</w:t>
            </w: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敷设在地面上、多尘或潮湿场所管路的管口和管子连接处，均应作防腐蚀、密封处理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金属管入盒，盒外侧应套锁母，内侧应装护口；在吊顶内敷设时，盒的内外侧均应套锁母。塑料管入盒应采取相应固定措施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槽盒敷设时，应在下列部位设置吊点或支点，吊杆直径不应小于</w:t>
            </w:r>
            <w:r>
              <w:rPr>
                <w:rFonts w:ascii="Times New Roman" w:eastAsia="宋体" w:hAnsi="Times New Roman" w:cs="Times New Roman"/>
                <w:kern w:val="2"/>
                <w:sz w:val="15"/>
                <w:szCs w:val="15"/>
              </w:rPr>
              <w:t>6mm</w:t>
            </w:r>
            <w:r>
              <w:rPr>
                <w:rFonts w:ascii="Times New Roman" w:eastAsia="宋体" w:hAnsi="Times New Roman" w:cs="Times New Roman"/>
                <w:kern w:val="2"/>
                <w:sz w:val="15"/>
                <w:szCs w:val="15"/>
              </w:rPr>
              <w:t>：槽盒始端、终端及接头处；槽盒转角或分支处；直线段不大于</w:t>
            </w:r>
            <w:r>
              <w:rPr>
                <w:rFonts w:ascii="Times New Roman" w:eastAsia="宋体" w:hAnsi="Times New Roman" w:cs="Times New Roman"/>
                <w:kern w:val="2"/>
                <w:sz w:val="15"/>
                <w:szCs w:val="15"/>
              </w:rPr>
              <w:t>3.0m</w:t>
            </w:r>
            <w:r>
              <w:rPr>
                <w:rFonts w:ascii="Times New Roman" w:eastAsia="宋体" w:hAnsi="Times New Roman" w:cs="Times New Roman"/>
                <w:kern w:val="2"/>
                <w:sz w:val="15"/>
                <w:szCs w:val="15"/>
              </w:rPr>
              <w:t>处</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除设计要求以外，不同回路、不同电压等级、交流与直流的线路，不应布在同一管内或槽盒的同一槽孔内</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线缆在管内或槽盒内，不应有接头或扭结；导线应在接线盒内采用焊接、压接、接线端子可靠连接</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在地面上、多尘或潮湿场所，接线盒和导线的接头应做防腐蚀和防潮处理；具有</w:t>
            </w:r>
            <w:r>
              <w:rPr>
                <w:rFonts w:ascii="Times New Roman" w:eastAsia="宋体" w:hAnsi="Times New Roman" w:cs="Times New Roman"/>
                <w:kern w:val="2"/>
                <w:sz w:val="15"/>
                <w:szCs w:val="15"/>
              </w:rPr>
              <w:t>IP</w:t>
            </w:r>
            <w:r>
              <w:rPr>
                <w:rFonts w:ascii="Times New Roman" w:eastAsia="宋体" w:hAnsi="Times New Roman" w:cs="Times New Roman"/>
                <w:kern w:val="2"/>
                <w:sz w:val="15"/>
                <w:szCs w:val="15"/>
              </w:rPr>
              <w:t>防护等级要求的系统部件，其线路中接线盒应达到与系统部件相同的</w:t>
            </w:r>
            <w:r>
              <w:rPr>
                <w:rFonts w:ascii="Times New Roman" w:eastAsia="宋体" w:hAnsi="Times New Roman" w:cs="Times New Roman"/>
                <w:kern w:val="2"/>
                <w:sz w:val="15"/>
                <w:szCs w:val="15"/>
              </w:rPr>
              <w:t>IP</w:t>
            </w:r>
            <w:r>
              <w:rPr>
                <w:rFonts w:ascii="Times New Roman" w:eastAsia="宋体" w:hAnsi="Times New Roman" w:cs="Times New Roman"/>
                <w:kern w:val="2"/>
                <w:sz w:val="15"/>
                <w:szCs w:val="15"/>
              </w:rPr>
              <w:t>防护等级要求</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资料核查、现场检查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线缆跨越建、构筑物的沉降缝、伸缩缝、抗震缝等变形缝的两侧应固定，并留有适当余量</w:t>
            </w:r>
          </w:p>
        </w:tc>
        <w:tc>
          <w:tcPr>
            <w:tcW w:w="893" w:type="dxa"/>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right w:val="single" w:sz="4" w:space="0" w:color="auto"/>
            </w:tcBorders>
            <w:shd w:val="clear" w:color="auto" w:fill="auto"/>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2"/>
        </w:numPr>
        <w:tabs>
          <w:tab w:val="left" w:pos="0"/>
        </w:tabs>
        <w:topLinePunct/>
        <w:autoSpaceDE/>
        <w:autoSpaceDN/>
        <w:spacing w:before="0" w:after="0" w:line="360" w:lineRule="exact"/>
        <w:ind w:left="0" w:firstLine="0"/>
        <w:jc w:val="both"/>
        <w:outlineLvl w:val="9"/>
        <w:rPr>
          <w:rFonts w:ascii="Times New Roman" w:hAnsi="Times New Roman"/>
          <w:b w:val="0"/>
          <w:kern w:val="2"/>
          <w:sz w:val="21"/>
        </w:rPr>
      </w:pPr>
      <w:r>
        <w:rPr>
          <w:rFonts w:ascii="Times New Roman" w:hAnsi="Times New Roman"/>
          <w:b w:val="0"/>
          <w:kern w:val="2"/>
          <w:sz w:val="21"/>
        </w:rPr>
        <w:t>系统功能试验</w:t>
      </w:r>
    </w:p>
    <w:p w:rsidR="009846C2" w:rsidRDefault="00A433A0">
      <w:pPr>
        <w:pStyle w:val="af1"/>
        <w:widowControl w:val="0"/>
        <w:numPr>
          <w:ilvl w:val="0"/>
          <w:numId w:val="106"/>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lastRenderedPageBreak/>
        <w:t>检查数量：含有</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个及以下防火分区、楼层的，应全部检验；超过</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个防火分区、楼层的应按实区域数量</w:t>
      </w:r>
      <w:r>
        <w:rPr>
          <w:rFonts w:ascii="Times New Roman" w:eastAsiaTheme="minorEastAsia" w:hAnsi="Times New Roman" w:cs="Times New Roman"/>
          <w:kern w:val="2"/>
          <w:sz w:val="21"/>
        </w:rPr>
        <w:t>20%</w:t>
      </w:r>
      <w:r>
        <w:rPr>
          <w:rFonts w:ascii="Times New Roman" w:eastAsiaTheme="minorEastAsia" w:hAnsi="Times New Roman" w:cs="Times New Roman"/>
          <w:kern w:val="2"/>
          <w:sz w:val="21"/>
        </w:rPr>
        <w:t>的比例抽验，但抽验总数不应小于</w:t>
      </w:r>
      <w:r>
        <w:rPr>
          <w:rFonts w:ascii="Times New Roman" w:eastAsiaTheme="minorEastAsia" w:hAnsi="Times New Roman" w:cs="Times New Roman"/>
          <w:kern w:val="2"/>
          <w:sz w:val="21"/>
        </w:rPr>
        <w:t>5</w:t>
      </w:r>
      <w:r>
        <w:rPr>
          <w:rFonts w:ascii="Times New Roman" w:eastAsiaTheme="minorEastAsia" w:hAnsi="Times New Roman" w:cs="Times New Roman"/>
          <w:kern w:val="2"/>
          <w:sz w:val="21"/>
        </w:rPr>
        <w:t>个。</w:t>
      </w:r>
    </w:p>
    <w:p w:rsidR="009846C2" w:rsidRDefault="00A433A0">
      <w:pPr>
        <w:pStyle w:val="af1"/>
        <w:widowControl w:val="0"/>
        <w:numPr>
          <w:ilvl w:val="0"/>
          <w:numId w:val="106"/>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验收标准和验收方法：见表</w:t>
      </w:r>
      <w:r>
        <w:rPr>
          <w:rFonts w:ascii="Times New Roman" w:eastAsiaTheme="minorEastAsia" w:hAnsi="Times New Roman" w:cs="Times New Roman"/>
          <w:kern w:val="2"/>
          <w:sz w:val="21"/>
        </w:rPr>
        <w:t>7.3.4</w:t>
      </w:r>
      <w:r>
        <w:rPr>
          <w:rFonts w:ascii="Times New Roman" w:eastAsiaTheme="minorEastAsia" w:hAnsi="Times New Roman" w:cs="Times New Roman"/>
          <w:kern w:val="2"/>
          <w:sz w:val="21"/>
        </w:rPr>
        <w:t>。</w:t>
      </w:r>
    </w:p>
    <w:p w:rsidR="009846C2" w:rsidRDefault="00A433A0">
      <w:pPr>
        <w:tabs>
          <w:tab w:val="left" w:pos="0"/>
        </w:tabs>
        <w:topLinePunct/>
        <w:spacing w:line="360" w:lineRule="exact"/>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 xml:space="preserve">7.3.4 </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系统功能试验验收标准和验收方法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tcBorders>
              <w:bottom w:val="single" w:sz="4" w:space="0" w:color="auto"/>
            </w:tcBorders>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集中控制型系统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非火灾状态下的系统功能：系统正常工作模式；系统主电源断电控制功能；系统正常照明断电控制功能应符合设计要求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火灾状态下的系统控制功能：系统自动应急启动功能；系统手动应急启动功能应符合设计要求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火灾状态下照明灯具设置部位地面的最低水平照度应符合设计要求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火灾状态下系统在蓄电池电源供电状态下的应急工作时间应符合设计要求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非集中控制型系统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非火灾状态下的系统功能：系统正常工作模式；灯具的感应点亮功能应符合设计要求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火灾状态下的系统手动应急启动功能应符合设计要求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火灾状态下照明灯具设置部位地面的最低水平照度应符合设计要求</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ind w:firstLineChars="100" w:firstLine="150"/>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火灾状态下系统在蓄电池电源供电状态下的应急工作时间应符合设计要求</w:t>
            </w:r>
          </w:p>
        </w:tc>
        <w:tc>
          <w:tcPr>
            <w:tcW w:w="893"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rsidP="007974B4">
      <w:pPr>
        <w:pStyle w:val="11"/>
        <w:keepNext w:val="0"/>
        <w:keepLines w:val="0"/>
        <w:numPr>
          <w:ilvl w:val="0"/>
          <w:numId w:val="96"/>
        </w:numPr>
        <w:tabs>
          <w:tab w:val="left" w:pos="0"/>
        </w:tabs>
        <w:topLinePunct/>
        <w:autoSpaceDE/>
        <w:autoSpaceDN/>
        <w:spacing w:beforeLines="100" w:afterLines="100"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火灾自动报警系统</w:t>
      </w:r>
    </w:p>
    <w:p w:rsidR="009846C2" w:rsidRDefault="00A433A0" w:rsidP="007974B4">
      <w:pPr>
        <w:pStyle w:val="11"/>
        <w:keepNext w:val="0"/>
        <w:keepLines w:val="0"/>
        <w:numPr>
          <w:ilvl w:val="0"/>
          <w:numId w:val="107"/>
        </w:numPr>
        <w:tabs>
          <w:tab w:val="left" w:pos="0"/>
        </w:tabs>
        <w:topLinePunct/>
        <w:autoSpaceDE/>
        <w:autoSpaceDN/>
        <w:spacing w:beforeLines="100" w:after="0" w:line="360" w:lineRule="exact"/>
        <w:ind w:left="0" w:firstLine="0"/>
        <w:jc w:val="both"/>
        <w:outlineLvl w:val="9"/>
        <w:rPr>
          <w:rFonts w:ascii="Times New Roman" w:hAnsi="Times New Roman"/>
          <w:b w:val="0"/>
          <w:kern w:val="2"/>
          <w:sz w:val="21"/>
        </w:rPr>
      </w:pPr>
      <w:r>
        <w:rPr>
          <w:rFonts w:ascii="Times New Roman" w:hAnsi="Times New Roman"/>
          <w:b w:val="0"/>
          <w:kern w:val="2"/>
          <w:sz w:val="21"/>
        </w:rPr>
        <w:t>消防控制室</w:t>
      </w:r>
    </w:p>
    <w:p w:rsidR="009846C2" w:rsidRDefault="00A433A0">
      <w:pPr>
        <w:pStyle w:val="af1"/>
        <w:widowControl w:val="0"/>
        <w:numPr>
          <w:ilvl w:val="0"/>
          <w:numId w:val="108"/>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lastRenderedPageBreak/>
        <w:t>检查数量：全数检查。</w:t>
      </w:r>
    </w:p>
    <w:p w:rsidR="009846C2" w:rsidRDefault="00A433A0">
      <w:pPr>
        <w:pStyle w:val="af1"/>
        <w:widowControl w:val="0"/>
        <w:numPr>
          <w:ilvl w:val="0"/>
          <w:numId w:val="108"/>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质量标准和验收方法：见表</w:t>
      </w:r>
      <w:r>
        <w:rPr>
          <w:rFonts w:ascii="Times New Roman" w:eastAsiaTheme="minorEastAsia" w:hAnsi="Times New Roman" w:cs="Times New Roman"/>
          <w:kern w:val="2"/>
          <w:sz w:val="21"/>
        </w:rPr>
        <w:t>7.4.1</w:t>
      </w:r>
      <w:r>
        <w:rPr>
          <w:rFonts w:ascii="Times New Roman" w:eastAsiaTheme="minorEastAsia" w:hAnsi="Times New Roman" w:cs="Times New Roman"/>
          <w:kern w:val="2"/>
          <w:sz w:val="21"/>
        </w:rPr>
        <w:t>。</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bookmarkStart w:id="19" w:name="_Hlk81771999"/>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7.4.1</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消防控制室验收标准和验收方法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bookmarkEnd w:id="19"/>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消防控制室</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核查消防控制室内配置的设备规格型号、数量与消防设计文件一致</w:t>
            </w:r>
          </w:p>
        </w:tc>
        <w:tc>
          <w:tcPr>
            <w:tcW w:w="893"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消防控制室布置应与</w:t>
            </w:r>
            <w:r>
              <w:rPr>
                <w:rFonts w:ascii="Times New Roman" w:eastAsia="宋体" w:hAnsi="Times New Roman" w:cs="Times New Roman"/>
                <w:kern w:val="2"/>
                <w:sz w:val="15"/>
                <w:szCs w:val="15"/>
              </w:rPr>
              <w:t>消防设计文件</w:t>
            </w:r>
            <w:r>
              <w:rPr>
                <w:rFonts w:ascii="Times New Roman" w:eastAsiaTheme="minorEastAsia" w:hAnsi="Times New Roman" w:cs="Times New Roman"/>
                <w:kern w:val="2"/>
                <w:sz w:val="15"/>
                <w:szCs w:val="15"/>
              </w:rPr>
              <w:t>一致</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核对设计文件、现场检查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消防控制室应设置用于火灾直接报警的外线电话</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消防设备应安装牢固，不应倾斜，安装在轻质墙上时，应采取加固措施</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控制与显示类的主电源应有明显的永久标志；控制器及显示设备应直接与消防电源连接，严禁使用电源插头；控制器与其外接备用电源之间应直接连接</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设备面盘前的操作距离，单列布置时不应小于</w:t>
            </w:r>
            <w:r>
              <w:rPr>
                <w:rFonts w:ascii="Times New Roman" w:eastAsia="宋体" w:hAnsi="Times New Roman" w:cs="Times New Roman"/>
                <w:kern w:val="2"/>
                <w:sz w:val="15"/>
                <w:szCs w:val="15"/>
              </w:rPr>
              <w:t>1.5m</w:t>
            </w:r>
            <w:r>
              <w:rPr>
                <w:rFonts w:ascii="Times New Roman" w:eastAsia="宋体" w:hAnsi="Times New Roman" w:cs="Times New Roman"/>
                <w:kern w:val="2"/>
                <w:sz w:val="15"/>
                <w:szCs w:val="15"/>
              </w:rPr>
              <w:t>；双列布置时不应小于</w:t>
            </w:r>
            <w:r>
              <w:rPr>
                <w:rFonts w:ascii="Times New Roman" w:eastAsia="宋体" w:hAnsi="Times New Roman" w:cs="Times New Roman"/>
                <w:kern w:val="2"/>
                <w:sz w:val="15"/>
                <w:szCs w:val="15"/>
              </w:rPr>
              <w:t>2.0m</w:t>
            </w:r>
            <w:r>
              <w:rPr>
                <w:rFonts w:ascii="Times New Roman" w:eastAsia="宋体" w:hAnsi="Times New Roman" w:cs="Times New Roman"/>
                <w:kern w:val="2"/>
                <w:sz w:val="15"/>
                <w:szCs w:val="15"/>
              </w:rPr>
              <w:t>。</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在值班人员经常工作的一面，设备面盘至墙的距离不应小于</w:t>
            </w:r>
            <w:r>
              <w:rPr>
                <w:rFonts w:ascii="Times New Roman" w:eastAsia="宋体" w:hAnsi="Times New Roman" w:cs="Times New Roman"/>
                <w:kern w:val="2"/>
                <w:sz w:val="15"/>
                <w:szCs w:val="15"/>
              </w:rPr>
              <w:t>3.0m</w:t>
            </w:r>
            <w:r>
              <w:rPr>
                <w:rFonts w:ascii="Times New Roman" w:eastAsia="宋体" w:hAnsi="Times New Roman" w:cs="Times New Roman"/>
                <w:kern w:val="2"/>
                <w:sz w:val="15"/>
                <w:szCs w:val="15"/>
              </w:rPr>
              <w:t>。</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设备面盘后的维修距离不应小于</w:t>
            </w:r>
            <w:r>
              <w:rPr>
                <w:rFonts w:ascii="Times New Roman" w:eastAsia="宋体" w:hAnsi="Times New Roman" w:cs="Times New Roman"/>
                <w:kern w:val="2"/>
                <w:sz w:val="15"/>
                <w:szCs w:val="15"/>
              </w:rPr>
              <w:t>1.0m</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设备面盘的排列长度大于</w:t>
            </w:r>
            <w:r>
              <w:rPr>
                <w:rFonts w:ascii="Times New Roman" w:eastAsia="宋体" w:hAnsi="Times New Roman" w:cs="Times New Roman"/>
                <w:kern w:val="2"/>
                <w:sz w:val="15"/>
                <w:szCs w:val="15"/>
              </w:rPr>
              <w:t>4.0m</w:t>
            </w:r>
            <w:r>
              <w:rPr>
                <w:rFonts w:ascii="Times New Roman" w:eastAsia="宋体" w:hAnsi="Times New Roman" w:cs="Times New Roman"/>
                <w:kern w:val="2"/>
                <w:sz w:val="15"/>
                <w:szCs w:val="15"/>
              </w:rPr>
              <w:t>时，其两端应设置宽度不小于</w:t>
            </w:r>
            <w:r>
              <w:rPr>
                <w:rFonts w:ascii="Times New Roman" w:eastAsia="宋体" w:hAnsi="Times New Roman" w:cs="Times New Roman"/>
                <w:kern w:val="2"/>
                <w:sz w:val="15"/>
                <w:szCs w:val="15"/>
              </w:rPr>
              <w:t>l.0m</w:t>
            </w:r>
            <w:r>
              <w:rPr>
                <w:rFonts w:ascii="Times New Roman" w:eastAsia="宋体" w:hAnsi="Times New Roman" w:cs="Times New Roman"/>
                <w:kern w:val="2"/>
                <w:sz w:val="15"/>
                <w:szCs w:val="15"/>
              </w:rPr>
              <w:t>的通道</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与建筑其他弱电系统合用的消防控制室</w:t>
            </w:r>
            <w:r>
              <w:rPr>
                <w:rFonts w:ascii="Times New Roman" w:eastAsia="宋体" w:hAnsi="Times New Roman" w:cs="Times New Roman"/>
                <w:kern w:val="2"/>
                <w:sz w:val="15"/>
                <w:szCs w:val="15"/>
              </w:rPr>
              <w:lastRenderedPageBreak/>
              <w:t>时，消防设备应集中设置，并应与其他设备间有明显间隔</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消防控制室内严禁穿过与消防设施无关的电气线路及管路</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消防控制室内的电气和电子设备的金属外壳、机柜、机架和金属管、槽等，应采用等电位连接，接地应牢固，并有明显的永久性标志</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消防控制室接地板引至各消防电子设备的专用接</w:t>
            </w:r>
          </w:p>
        </w:tc>
        <w:tc>
          <w:tcPr>
            <w:tcW w:w="893" w:type="dxa"/>
            <w:tcBorders>
              <w:top w:val="single" w:sz="4" w:space="0" w:color="auto"/>
              <w:bottom w:val="single" w:sz="4" w:space="0" w:color="auto"/>
            </w:tcBorders>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资料核查、现场测量、现场检查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tcBorders>
              <w:top w:val="single" w:sz="4" w:space="0" w:color="auto"/>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地线应选用铜芯绝缘导线，其线芯截面面积不应小于</w:t>
            </w:r>
            <w:r>
              <w:rPr>
                <w:rFonts w:ascii="Times New Roman" w:eastAsia="宋体" w:hAnsi="Times New Roman" w:cs="Times New Roman"/>
                <w:kern w:val="2"/>
                <w:sz w:val="15"/>
                <w:szCs w:val="15"/>
              </w:rPr>
              <w:t>4mm²</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资料核查、现场检查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tcBorders>
              <w:top w:val="single" w:sz="4" w:space="0" w:color="auto"/>
              <w:bottom w:val="single" w:sz="4" w:space="0" w:color="auto"/>
            </w:tcBorders>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7"/>
        </w:numPr>
        <w:tabs>
          <w:tab w:val="left" w:pos="0"/>
        </w:tabs>
        <w:topLinePunct/>
        <w:autoSpaceDE/>
        <w:autoSpaceDN/>
        <w:spacing w:before="0" w:after="0" w:line="360" w:lineRule="exact"/>
        <w:ind w:left="0" w:firstLine="0"/>
        <w:jc w:val="both"/>
        <w:outlineLvl w:val="9"/>
        <w:rPr>
          <w:rFonts w:ascii="Times New Roman" w:hAnsi="Times New Roman"/>
          <w:b w:val="0"/>
          <w:kern w:val="2"/>
          <w:sz w:val="21"/>
        </w:rPr>
      </w:pPr>
      <w:r>
        <w:rPr>
          <w:rFonts w:ascii="Times New Roman" w:hAnsi="Times New Roman"/>
          <w:b w:val="0"/>
          <w:kern w:val="2"/>
          <w:sz w:val="21"/>
        </w:rPr>
        <w:t>探测器类设备安装</w:t>
      </w:r>
    </w:p>
    <w:p w:rsidR="009846C2" w:rsidRDefault="00A433A0">
      <w:pPr>
        <w:pStyle w:val="af1"/>
        <w:widowControl w:val="0"/>
        <w:numPr>
          <w:ilvl w:val="0"/>
          <w:numId w:val="109"/>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检查数量：每个回路都应抽验；回路实际安装数量在</w:t>
      </w:r>
      <w:r>
        <w:rPr>
          <w:rFonts w:ascii="Times New Roman" w:eastAsiaTheme="minorEastAsia" w:hAnsi="Times New Roman" w:cs="Times New Roman"/>
          <w:kern w:val="2"/>
          <w:sz w:val="21"/>
        </w:rPr>
        <w:t>20</w:t>
      </w:r>
      <w:r>
        <w:rPr>
          <w:rFonts w:ascii="Times New Roman" w:eastAsiaTheme="minorEastAsia" w:hAnsi="Times New Roman" w:cs="Times New Roman"/>
          <w:kern w:val="2"/>
          <w:sz w:val="21"/>
        </w:rPr>
        <w:t>只及以下者，全部检验；安装数量在</w:t>
      </w:r>
      <w:r>
        <w:rPr>
          <w:rFonts w:ascii="Times New Roman" w:eastAsiaTheme="minorEastAsia" w:hAnsi="Times New Roman" w:cs="Times New Roman"/>
          <w:kern w:val="2"/>
          <w:sz w:val="21"/>
        </w:rPr>
        <w:t>100</w:t>
      </w:r>
      <w:r>
        <w:rPr>
          <w:rFonts w:ascii="Times New Roman" w:eastAsiaTheme="minorEastAsia" w:hAnsi="Times New Roman" w:cs="Times New Roman"/>
          <w:kern w:val="2"/>
          <w:sz w:val="21"/>
        </w:rPr>
        <w:t>及以下者，抽验</w:t>
      </w:r>
      <w:r>
        <w:rPr>
          <w:rFonts w:ascii="Times New Roman" w:eastAsiaTheme="minorEastAsia" w:hAnsi="Times New Roman" w:cs="Times New Roman"/>
          <w:kern w:val="2"/>
          <w:sz w:val="21"/>
        </w:rPr>
        <w:t>20</w:t>
      </w:r>
      <w:r>
        <w:rPr>
          <w:rFonts w:ascii="Times New Roman" w:eastAsiaTheme="minorEastAsia" w:hAnsi="Times New Roman" w:cs="Times New Roman"/>
          <w:kern w:val="2"/>
          <w:sz w:val="21"/>
        </w:rPr>
        <w:t>只；安装数量超过</w:t>
      </w:r>
      <w:r>
        <w:rPr>
          <w:rFonts w:ascii="Times New Roman" w:eastAsiaTheme="minorEastAsia" w:hAnsi="Times New Roman" w:cs="Times New Roman"/>
          <w:kern w:val="2"/>
          <w:sz w:val="21"/>
        </w:rPr>
        <w:t>100</w:t>
      </w:r>
      <w:r>
        <w:rPr>
          <w:rFonts w:ascii="Times New Roman" w:eastAsiaTheme="minorEastAsia" w:hAnsi="Times New Roman" w:cs="Times New Roman"/>
          <w:kern w:val="2"/>
          <w:sz w:val="21"/>
        </w:rPr>
        <w:t>只，按实际安装数量</w:t>
      </w:r>
      <w:r>
        <w:rPr>
          <w:rFonts w:ascii="Times New Roman" w:eastAsiaTheme="minorEastAsia" w:hAnsi="Times New Roman" w:cs="Times New Roman"/>
          <w:kern w:val="2"/>
          <w:sz w:val="21"/>
        </w:rPr>
        <w:t>10%~20%</w:t>
      </w:r>
      <w:r>
        <w:rPr>
          <w:rFonts w:ascii="Times New Roman" w:eastAsiaTheme="minorEastAsia" w:hAnsi="Times New Roman" w:cs="Times New Roman"/>
          <w:kern w:val="2"/>
          <w:sz w:val="21"/>
        </w:rPr>
        <w:t>的比例抽验，但抽验总数不应小于</w:t>
      </w:r>
      <w:r>
        <w:rPr>
          <w:rFonts w:ascii="Times New Roman" w:eastAsiaTheme="minorEastAsia" w:hAnsi="Times New Roman" w:cs="Times New Roman"/>
          <w:kern w:val="2"/>
          <w:sz w:val="21"/>
        </w:rPr>
        <w:t>20</w:t>
      </w:r>
      <w:r>
        <w:rPr>
          <w:rFonts w:ascii="Times New Roman" w:eastAsiaTheme="minorEastAsia" w:hAnsi="Times New Roman" w:cs="Times New Roman"/>
          <w:kern w:val="2"/>
          <w:sz w:val="21"/>
        </w:rPr>
        <w:t>只。</w:t>
      </w:r>
    </w:p>
    <w:p w:rsidR="009846C2" w:rsidRDefault="00A433A0">
      <w:pPr>
        <w:pStyle w:val="af1"/>
        <w:widowControl w:val="0"/>
        <w:numPr>
          <w:ilvl w:val="0"/>
          <w:numId w:val="109"/>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质量标准和验收方法：见表</w:t>
      </w:r>
      <w:r>
        <w:rPr>
          <w:rFonts w:ascii="Times New Roman" w:eastAsiaTheme="minorEastAsia" w:hAnsi="Times New Roman" w:cs="Times New Roman"/>
          <w:kern w:val="2"/>
          <w:sz w:val="21"/>
        </w:rPr>
        <w:t>7.4.2</w:t>
      </w:r>
      <w:r>
        <w:rPr>
          <w:rFonts w:ascii="Times New Roman" w:eastAsiaTheme="minorEastAsia" w:hAnsi="Times New Roman" w:cs="Times New Roman"/>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宋体" w:hAnsi="Times New Roman" w:cs="Times New Roman"/>
          <w:kern w:val="2"/>
          <w:sz w:val="21"/>
          <w:szCs w:val="21"/>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7.4.2</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探测器安装验收标准和验收方法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点型感烟、感温火灾探测器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探测器至墙壁、梁边的水平距离，不应小于</w:t>
            </w:r>
            <w:r>
              <w:rPr>
                <w:rFonts w:ascii="Times New Roman" w:eastAsia="宋体" w:hAnsi="Times New Roman" w:cs="Times New Roman"/>
                <w:kern w:val="2"/>
                <w:sz w:val="15"/>
                <w:szCs w:val="15"/>
              </w:rPr>
              <w:t>0.5m</w:t>
            </w:r>
          </w:p>
        </w:tc>
        <w:tc>
          <w:tcPr>
            <w:tcW w:w="893"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探测器周围水平距离</w:t>
            </w:r>
            <w:r>
              <w:rPr>
                <w:rFonts w:ascii="Times New Roman" w:eastAsia="宋体" w:hAnsi="Times New Roman" w:cs="Times New Roman"/>
                <w:kern w:val="2"/>
                <w:sz w:val="15"/>
                <w:szCs w:val="15"/>
              </w:rPr>
              <w:t>0.5m</w:t>
            </w:r>
            <w:r>
              <w:rPr>
                <w:rFonts w:ascii="Times New Roman" w:eastAsia="宋体" w:hAnsi="Times New Roman" w:cs="Times New Roman"/>
                <w:kern w:val="2"/>
                <w:sz w:val="15"/>
                <w:szCs w:val="15"/>
              </w:rPr>
              <w:t>内，不应有遮挡物</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探测器至空调送风口最近边的水平距离，不应小于</w:t>
            </w:r>
            <w:r>
              <w:rPr>
                <w:rFonts w:ascii="Times New Roman" w:eastAsia="宋体" w:hAnsi="Times New Roman" w:cs="Times New Roman"/>
                <w:kern w:val="2"/>
                <w:sz w:val="15"/>
                <w:szCs w:val="15"/>
              </w:rPr>
              <w:t>1.5m</w:t>
            </w:r>
            <w:r>
              <w:rPr>
                <w:rFonts w:ascii="Times New Roman" w:eastAsia="宋体" w:hAnsi="Times New Roman" w:cs="Times New Roman"/>
                <w:kern w:val="2"/>
                <w:sz w:val="15"/>
                <w:szCs w:val="15"/>
              </w:rPr>
              <w:t>；至多孔送风顶棚孔口的水</w:t>
            </w:r>
            <w:r>
              <w:rPr>
                <w:rFonts w:ascii="Times New Roman" w:eastAsia="宋体" w:hAnsi="Times New Roman" w:cs="Times New Roman"/>
                <w:kern w:val="2"/>
                <w:sz w:val="15"/>
                <w:szCs w:val="15"/>
              </w:rPr>
              <w:lastRenderedPageBreak/>
              <w:t>平距离，不应小于</w:t>
            </w:r>
            <w:r>
              <w:rPr>
                <w:rFonts w:ascii="Times New Roman" w:eastAsia="宋体" w:hAnsi="Times New Roman" w:cs="Times New Roman"/>
                <w:kern w:val="2"/>
                <w:sz w:val="15"/>
                <w:szCs w:val="15"/>
              </w:rPr>
              <w:t>0.5m</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现场测量、现场检查</w:t>
            </w:r>
          </w:p>
        </w:tc>
        <w:tc>
          <w:tcPr>
            <w:tcW w:w="417"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在宽度小于</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的内走道顶棚上安装探测器时，宜居中安装。点型感温火灾探测器的安装间距，不应超过</w:t>
            </w:r>
            <w:r>
              <w:rPr>
                <w:rFonts w:ascii="Times New Roman" w:eastAsia="宋体" w:hAnsi="Times New Roman" w:cs="Times New Roman"/>
                <w:kern w:val="2"/>
                <w:sz w:val="15"/>
                <w:szCs w:val="15"/>
              </w:rPr>
              <w:t>10m</w:t>
            </w:r>
            <w:r>
              <w:rPr>
                <w:rFonts w:ascii="Times New Roman" w:eastAsia="宋体" w:hAnsi="Times New Roman" w:cs="Times New Roman"/>
                <w:kern w:val="2"/>
                <w:sz w:val="15"/>
                <w:szCs w:val="15"/>
              </w:rPr>
              <w:t>；点型感烟火灾探测器的安装间距，不应超过</w:t>
            </w:r>
            <w:r>
              <w:rPr>
                <w:rFonts w:ascii="Times New Roman" w:eastAsia="宋体" w:hAnsi="Times New Roman" w:cs="Times New Roman"/>
                <w:kern w:val="2"/>
                <w:sz w:val="15"/>
                <w:szCs w:val="15"/>
              </w:rPr>
              <w:t>15m</w:t>
            </w:r>
            <w:r>
              <w:rPr>
                <w:rFonts w:ascii="Times New Roman" w:eastAsia="宋体" w:hAnsi="Times New Roman" w:cs="Times New Roman"/>
                <w:kern w:val="2"/>
                <w:sz w:val="15"/>
                <w:szCs w:val="15"/>
              </w:rPr>
              <w:t>。探测器至端墙的距离，不应大于安装间距的一半</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探测器宜水平安装，当确需倾斜安装时，倾斜角不应大于</w:t>
            </w:r>
            <w:r>
              <w:rPr>
                <w:rFonts w:ascii="Times New Roman" w:eastAsia="宋体" w:hAnsi="Times New Roman" w:cs="Times New Roman"/>
                <w:kern w:val="2"/>
                <w:sz w:val="15"/>
                <w:szCs w:val="15"/>
              </w:rPr>
              <w:t>45°</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线型光束感烟火灾探测器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探测器光束轴线至顶棚的垂直距离宜为</w:t>
            </w:r>
            <w:r>
              <w:rPr>
                <w:rFonts w:ascii="Times New Roman" w:eastAsia="宋体" w:hAnsi="Times New Roman" w:cs="Times New Roman"/>
                <w:kern w:val="2"/>
                <w:sz w:val="15"/>
                <w:szCs w:val="15"/>
              </w:rPr>
              <w:t>0.3m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1.0m</w:t>
            </w:r>
            <w:r>
              <w:rPr>
                <w:rFonts w:ascii="Times New Roman" w:eastAsia="宋体" w:hAnsi="Times New Roman" w:cs="Times New Roman"/>
                <w:kern w:val="2"/>
                <w:sz w:val="15"/>
                <w:szCs w:val="15"/>
              </w:rPr>
              <w:t>，高度大于</w:t>
            </w:r>
            <w:r>
              <w:rPr>
                <w:rFonts w:ascii="Times New Roman" w:eastAsia="宋体" w:hAnsi="Times New Roman" w:cs="Times New Roman"/>
                <w:kern w:val="2"/>
                <w:sz w:val="15"/>
                <w:szCs w:val="15"/>
              </w:rPr>
              <w:t>12m</w:t>
            </w:r>
            <w:r>
              <w:rPr>
                <w:rFonts w:ascii="Times New Roman" w:eastAsia="宋体" w:hAnsi="Times New Roman" w:cs="Times New Roman"/>
                <w:kern w:val="2"/>
                <w:sz w:val="15"/>
                <w:szCs w:val="15"/>
              </w:rPr>
              <w:t>的空间场所增设的探测器的安装高度应符合设计文件</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发射器和接收器之间的探测区域长度不宜超过</w:t>
            </w:r>
            <w:r>
              <w:rPr>
                <w:rFonts w:ascii="Times New Roman" w:eastAsia="宋体" w:hAnsi="Times New Roman" w:cs="Times New Roman"/>
                <w:kern w:val="2"/>
                <w:sz w:val="15"/>
                <w:szCs w:val="15"/>
              </w:rPr>
              <w:t>100m</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相邻两组探测器的水平距离不应大于</w:t>
            </w:r>
            <w:r>
              <w:rPr>
                <w:rFonts w:ascii="Times New Roman" w:eastAsia="宋体" w:hAnsi="Times New Roman" w:cs="Times New Roman"/>
                <w:kern w:val="2"/>
                <w:sz w:val="15"/>
                <w:szCs w:val="15"/>
              </w:rPr>
              <w:t>14m</w:t>
            </w:r>
            <w:r>
              <w:rPr>
                <w:rFonts w:ascii="Times New Roman" w:eastAsia="宋体" w:hAnsi="Times New Roman" w:cs="Times New Roman"/>
                <w:kern w:val="2"/>
                <w:sz w:val="15"/>
                <w:szCs w:val="15"/>
              </w:rPr>
              <w:t>。探测器至侧墙水平距离不应大于</w:t>
            </w:r>
            <w:r>
              <w:rPr>
                <w:rFonts w:ascii="Times New Roman" w:eastAsia="宋体" w:hAnsi="Times New Roman" w:cs="Times New Roman"/>
                <w:kern w:val="2"/>
                <w:sz w:val="15"/>
                <w:szCs w:val="15"/>
              </w:rPr>
              <w:t>7m</w:t>
            </w:r>
            <w:r>
              <w:rPr>
                <w:rFonts w:ascii="Times New Roman" w:eastAsia="宋体" w:hAnsi="Times New Roman" w:cs="Times New Roman"/>
                <w:kern w:val="2"/>
                <w:sz w:val="15"/>
                <w:szCs w:val="15"/>
              </w:rPr>
              <w:t>，且不应小于</w:t>
            </w:r>
            <w:r>
              <w:rPr>
                <w:rFonts w:ascii="Times New Roman" w:eastAsia="宋体" w:hAnsi="Times New Roman" w:cs="Times New Roman"/>
                <w:kern w:val="2"/>
                <w:sz w:val="15"/>
                <w:szCs w:val="15"/>
              </w:rPr>
              <w:t>0.5m</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发射器和接收器之间的光路上应无遮挡物或干扰源</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发射器和接收器应安装牢固，并不应产生位移</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应保证接收器避开日光和人工光源直接照射</w:t>
            </w:r>
          </w:p>
        </w:tc>
        <w:tc>
          <w:tcPr>
            <w:tcW w:w="893"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线型感温火灾探测器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缆式线型感温火灾探测器的敏感部件应采用连续无接头方式安装，如确需中间接线，应采用专用接线盒连接，敏感部件安装敷设时应避免重力挤压冲击，不应硬性折弯、扭转</w:t>
            </w:r>
          </w:p>
        </w:tc>
        <w:tc>
          <w:tcPr>
            <w:tcW w:w="893"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分布式线型光纤感温火灾探测器的感温光纤不应打结，光纤弯曲时，弯曲半径应大于</w:t>
            </w:r>
            <w:r>
              <w:rPr>
                <w:rFonts w:ascii="Times New Roman" w:eastAsiaTheme="minorEastAsia" w:hAnsi="Times New Roman" w:cs="Times New Roman"/>
                <w:kern w:val="2"/>
                <w:sz w:val="15"/>
                <w:szCs w:val="15"/>
              </w:rPr>
              <w:t>50mm</w:t>
            </w:r>
            <w:r>
              <w:rPr>
                <w:rFonts w:ascii="Times New Roman" w:eastAsiaTheme="minorEastAsia" w:hAnsi="Times New Roman" w:cs="Times New Roman"/>
                <w:kern w:val="2"/>
                <w:sz w:val="15"/>
                <w:szCs w:val="15"/>
              </w:rPr>
              <w:t>，每个光通道配接的感温光纤的始端及末端应各设置不小于</w:t>
            </w:r>
            <w:r>
              <w:rPr>
                <w:rFonts w:ascii="Times New Roman" w:eastAsiaTheme="minorEastAsia" w:hAnsi="Times New Roman" w:cs="Times New Roman"/>
                <w:kern w:val="2"/>
                <w:sz w:val="15"/>
                <w:szCs w:val="15"/>
              </w:rPr>
              <w:t>8.0m</w:t>
            </w:r>
            <w:r>
              <w:rPr>
                <w:rFonts w:ascii="Times New Roman" w:eastAsiaTheme="minorEastAsia" w:hAnsi="Times New Roman" w:cs="Times New Roman"/>
                <w:kern w:val="2"/>
                <w:sz w:val="15"/>
                <w:szCs w:val="15"/>
              </w:rPr>
              <w:t>的余量段，感温光纤穿越相邻的报警区域时，两侧应分别设置不小于</w:t>
            </w:r>
            <w:r>
              <w:rPr>
                <w:rFonts w:ascii="Times New Roman" w:eastAsiaTheme="minorEastAsia" w:hAnsi="Times New Roman" w:cs="Times New Roman"/>
                <w:kern w:val="2"/>
                <w:sz w:val="15"/>
                <w:szCs w:val="15"/>
              </w:rPr>
              <w:t>8.0m</w:t>
            </w:r>
            <w:r>
              <w:rPr>
                <w:rFonts w:ascii="Times New Roman" w:eastAsiaTheme="minorEastAsia" w:hAnsi="Times New Roman" w:cs="Times New Roman"/>
                <w:kern w:val="2"/>
                <w:sz w:val="15"/>
                <w:szCs w:val="15"/>
              </w:rPr>
              <w:t>的余量段</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光栅光纤线型感温火灾探测器的信号处理单元安装位置不应受强光直射，光纤光栅感温段的弯曲半径应大于</w:t>
            </w:r>
            <w:r>
              <w:rPr>
                <w:rFonts w:ascii="Times New Roman" w:eastAsiaTheme="minorEastAsia" w:hAnsi="Times New Roman" w:cs="Times New Roman"/>
                <w:kern w:val="2"/>
                <w:sz w:val="15"/>
                <w:szCs w:val="15"/>
              </w:rPr>
              <w:t>0.3m</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管路采样式吸气感烟火灾探测器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采样管应牢固安装在过梁、空间支架等建筑结构上</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采样管的安装及采样孔的保护面积、保护半径应符合消防设计文件要求</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采样孔的直径应根据采样管的长度及敷设方式、采样孔的数量等因素确定，并应满足设计文件和产品使用说明书的要求</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tcBorders>
              <w:top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采样管和采样孔应设置明显的火灾探测器标识</w:t>
            </w:r>
          </w:p>
        </w:tc>
        <w:tc>
          <w:tcPr>
            <w:tcW w:w="893" w:type="dxa"/>
            <w:tcBorders>
              <w:top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点型火焰探测器和图像型火灾探测器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安装位置应保证其视场角覆盖探测区域，应避免光源直接照射在探测器的探测窗口</w:t>
            </w:r>
            <w:r>
              <w:rPr>
                <w:rFonts w:ascii="Times New Roman" w:eastAsia="宋体" w:hAnsi="Times New Roman" w:cs="Times New Roman"/>
                <w:kern w:val="2"/>
                <w:sz w:val="15"/>
                <w:szCs w:val="15"/>
              </w:rPr>
              <w:t xml:space="preserve">, </w:t>
            </w:r>
            <w:r>
              <w:rPr>
                <w:rFonts w:ascii="Times New Roman" w:eastAsia="宋体" w:hAnsi="Times New Roman" w:cs="Times New Roman"/>
                <w:kern w:val="2"/>
                <w:sz w:val="15"/>
                <w:szCs w:val="15"/>
              </w:rPr>
              <w:t>并符合消防设计文件</w:t>
            </w:r>
          </w:p>
        </w:tc>
        <w:tc>
          <w:tcPr>
            <w:tcW w:w="893" w:type="dxa"/>
            <w:tcBorders>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bottom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探测器的探测视角内不应存在遮挡物</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tcBorders>
              <w:top w:val="single" w:sz="4" w:space="0" w:color="auto"/>
            </w:tcBorders>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在室外安装时，应采取防尘、防水措施</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可燃气体探测器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安装位置应根据探测气体密度确定。若其密度小于空气密度，探测器应位于可能出现泄漏点的上方或探测气体的最高可能聚集点上方；若其密度大于或等于空气密度，探测器应位于可能出现泄漏点的下方</w:t>
            </w:r>
          </w:p>
        </w:tc>
        <w:tc>
          <w:tcPr>
            <w:tcW w:w="893" w:type="dxa"/>
            <w:tcBorders>
              <w:top w:val="single" w:sz="4" w:space="0" w:color="auto"/>
              <w:bottom w:val="single" w:sz="4" w:space="0" w:color="auto"/>
            </w:tcBorders>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宋体" w:hAnsi="Times New Roman" w:cs="Times New Roman"/>
                <w:kern w:val="2"/>
                <w:sz w:val="15"/>
                <w:szCs w:val="15"/>
              </w:rPr>
              <w:t>核对设计文件现场检查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在探测器周围应适当留出更换和标定的空间</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两组探测器之间的轴线距离不应大于</w:t>
            </w:r>
            <w:r>
              <w:rPr>
                <w:rFonts w:ascii="Times New Roman" w:eastAsia="宋体" w:hAnsi="Times New Roman" w:cs="Times New Roman"/>
                <w:kern w:val="2"/>
                <w:sz w:val="15"/>
                <w:szCs w:val="15"/>
              </w:rPr>
              <w:t>14m</w:t>
            </w:r>
          </w:p>
        </w:tc>
        <w:tc>
          <w:tcPr>
            <w:tcW w:w="893" w:type="dxa"/>
            <w:tcBorders>
              <w:top w:val="single" w:sz="4" w:space="0" w:color="auto"/>
              <w:bottom w:val="single" w:sz="4" w:space="0" w:color="auto"/>
            </w:tcBorders>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7</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探测器报警确认灯</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应朝向便于人员观察的主要入口方向</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8</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电气火灾监控探测器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探测器周围应适当留出更换与标定的作业空间</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剩余电流式电气火灾监控探测器负载侧的中性线不应与其他回路共用，且不应重复接地</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hint="eastAsia"/>
                <w:kern w:val="2"/>
                <w:sz w:val="15"/>
                <w:szCs w:val="15"/>
              </w:rPr>
              <w:t>测温式电气火灾监控探测器应采用产品配套的固定装置固定在保护对象上</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7"/>
        </w:numPr>
        <w:tabs>
          <w:tab w:val="left" w:pos="0"/>
        </w:tabs>
        <w:topLinePunct/>
        <w:autoSpaceDE/>
        <w:autoSpaceDN/>
        <w:spacing w:before="0" w:after="0" w:line="360" w:lineRule="exact"/>
        <w:ind w:left="0" w:firstLine="0"/>
        <w:jc w:val="both"/>
        <w:outlineLvl w:val="9"/>
        <w:rPr>
          <w:rFonts w:ascii="Times New Roman" w:hAnsi="Times New Roman"/>
          <w:b w:val="0"/>
          <w:kern w:val="2"/>
          <w:sz w:val="21"/>
        </w:rPr>
      </w:pPr>
      <w:r>
        <w:rPr>
          <w:rFonts w:ascii="Times New Roman" w:hAnsi="Times New Roman"/>
          <w:b w:val="0"/>
          <w:kern w:val="2"/>
          <w:sz w:val="21"/>
        </w:rPr>
        <w:t>系统其他部件安装</w:t>
      </w:r>
    </w:p>
    <w:p w:rsidR="009846C2" w:rsidRDefault="00A433A0">
      <w:pPr>
        <w:pStyle w:val="af1"/>
        <w:widowControl w:val="0"/>
        <w:numPr>
          <w:ilvl w:val="0"/>
          <w:numId w:val="110"/>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检查数量：</w:t>
      </w:r>
    </w:p>
    <w:p w:rsidR="009846C2" w:rsidRDefault="00A433A0">
      <w:pPr>
        <w:pStyle w:val="af1"/>
        <w:numPr>
          <w:ilvl w:val="0"/>
          <w:numId w:val="111"/>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1</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2</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w:t>
      </w:r>
      <w:r>
        <w:rPr>
          <w:rFonts w:ascii="Times New Roman" w:eastAsiaTheme="minorEastAsia" w:hAnsi="Times New Roman" w:cs="Times New Roman"/>
          <w:kern w:val="2"/>
          <w:sz w:val="21"/>
          <w:szCs w:val="21"/>
        </w:rPr>
        <w:t>6</w:t>
      </w:r>
      <w:r>
        <w:rPr>
          <w:rFonts w:ascii="Times New Roman" w:eastAsiaTheme="minorEastAsia" w:hAnsi="Times New Roman" w:cs="Times New Roman"/>
          <w:kern w:val="2"/>
          <w:sz w:val="21"/>
          <w:szCs w:val="21"/>
        </w:rPr>
        <w:t>项：回路实际安装数量在</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只及以下者，全部检验；安装数量在</w:t>
      </w:r>
      <w:r>
        <w:rPr>
          <w:rFonts w:ascii="Times New Roman" w:eastAsiaTheme="minorEastAsia" w:hAnsi="Times New Roman" w:cs="Times New Roman"/>
          <w:kern w:val="2"/>
          <w:sz w:val="21"/>
          <w:szCs w:val="21"/>
        </w:rPr>
        <w:t>100</w:t>
      </w:r>
      <w:r>
        <w:rPr>
          <w:rFonts w:ascii="Times New Roman" w:eastAsiaTheme="minorEastAsia" w:hAnsi="Times New Roman" w:cs="Times New Roman"/>
          <w:kern w:val="2"/>
          <w:sz w:val="21"/>
          <w:szCs w:val="21"/>
        </w:rPr>
        <w:t>及以下者，抽验</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只；安装数量超过</w:t>
      </w:r>
      <w:r>
        <w:rPr>
          <w:rFonts w:ascii="Times New Roman" w:eastAsiaTheme="minorEastAsia" w:hAnsi="Times New Roman" w:cs="Times New Roman"/>
          <w:kern w:val="2"/>
          <w:sz w:val="21"/>
          <w:szCs w:val="21"/>
        </w:rPr>
        <w:t>100</w:t>
      </w:r>
      <w:r>
        <w:rPr>
          <w:rFonts w:ascii="Times New Roman" w:eastAsiaTheme="minorEastAsia" w:hAnsi="Times New Roman" w:cs="Times New Roman"/>
          <w:kern w:val="2"/>
          <w:sz w:val="21"/>
          <w:szCs w:val="21"/>
        </w:rPr>
        <w:t>只，按实际安装数量</w:t>
      </w:r>
      <w:r>
        <w:rPr>
          <w:rFonts w:ascii="Times New Roman" w:eastAsiaTheme="minorEastAsia" w:hAnsi="Times New Roman" w:cs="Times New Roman"/>
          <w:kern w:val="2"/>
          <w:sz w:val="21"/>
          <w:szCs w:val="21"/>
        </w:rPr>
        <w:t>10%~20%</w:t>
      </w:r>
      <w:r>
        <w:rPr>
          <w:rFonts w:ascii="Times New Roman" w:eastAsiaTheme="minorEastAsia" w:hAnsi="Times New Roman" w:cs="Times New Roman"/>
          <w:kern w:val="2"/>
          <w:sz w:val="21"/>
          <w:szCs w:val="21"/>
        </w:rPr>
        <w:t>的比例抽验，但抽验总数不应小于</w:t>
      </w:r>
      <w:r>
        <w:rPr>
          <w:rFonts w:ascii="Times New Roman" w:eastAsiaTheme="minorEastAsia" w:hAnsi="Times New Roman" w:cs="Times New Roman"/>
          <w:kern w:val="2"/>
          <w:sz w:val="21"/>
          <w:szCs w:val="21"/>
        </w:rPr>
        <w:t>20</w:t>
      </w:r>
      <w:r>
        <w:rPr>
          <w:rFonts w:ascii="Times New Roman" w:eastAsiaTheme="minorEastAsia" w:hAnsi="Times New Roman" w:cs="Times New Roman"/>
          <w:kern w:val="2"/>
          <w:sz w:val="21"/>
          <w:szCs w:val="21"/>
        </w:rPr>
        <w:t>只</w:t>
      </w:r>
    </w:p>
    <w:p w:rsidR="009846C2" w:rsidRDefault="00A433A0">
      <w:pPr>
        <w:pStyle w:val="af1"/>
        <w:numPr>
          <w:ilvl w:val="0"/>
          <w:numId w:val="111"/>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3</w:t>
      </w:r>
      <w:r>
        <w:rPr>
          <w:rFonts w:ascii="Times New Roman" w:eastAsiaTheme="minorEastAsia" w:hAnsi="Times New Roman" w:cs="Times New Roman"/>
          <w:kern w:val="2"/>
          <w:sz w:val="21"/>
          <w:szCs w:val="21"/>
        </w:rPr>
        <w:t>项：消防电话分机按实际安装数量检验；电话插孔实际安装数量在</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只及以下者，全部检验；安装数量在</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只以上时，按实际数量的</w:t>
      </w:r>
      <w:r>
        <w:rPr>
          <w:rFonts w:ascii="Times New Roman" w:eastAsiaTheme="minorEastAsia" w:hAnsi="Times New Roman" w:cs="Times New Roman"/>
          <w:kern w:val="2"/>
          <w:sz w:val="21"/>
          <w:szCs w:val="21"/>
        </w:rPr>
        <w:t>10%~20%</w:t>
      </w:r>
      <w:r>
        <w:rPr>
          <w:rFonts w:ascii="Times New Roman" w:eastAsiaTheme="minorEastAsia" w:hAnsi="Times New Roman" w:cs="Times New Roman"/>
          <w:kern w:val="2"/>
          <w:sz w:val="21"/>
          <w:szCs w:val="21"/>
        </w:rPr>
        <w:t>的比例抽检，但抽验总数不应小于</w:t>
      </w:r>
      <w:r>
        <w:rPr>
          <w:rFonts w:ascii="Times New Roman" w:eastAsiaTheme="minorEastAsia" w:hAnsi="Times New Roman" w:cs="Times New Roman"/>
          <w:kern w:val="2"/>
          <w:sz w:val="21"/>
          <w:szCs w:val="21"/>
        </w:rPr>
        <w:t>5</w:t>
      </w:r>
      <w:r>
        <w:rPr>
          <w:rFonts w:ascii="Times New Roman" w:eastAsiaTheme="minorEastAsia" w:hAnsi="Times New Roman" w:cs="Times New Roman"/>
          <w:kern w:val="2"/>
          <w:sz w:val="21"/>
          <w:szCs w:val="21"/>
        </w:rPr>
        <w:t>只。</w:t>
      </w:r>
    </w:p>
    <w:p w:rsidR="009846C2" w:rsidRDefault="00A433A0">
      <w:pPr>
        <w:pStyle w:val="af1"/>
        <w:numPr>
          <w:ilvl w:val="0"/>
          <w:numId w:val="111"/>
        </w:numPr>
        <w:tabs>
          <w:tab w:val="left" w:pos="0"/>
        </w:tabs>
        <w:topLinePunct/>
        <w:spacing w:line="360" w:lineRule="exact"/>
        <w:ind w:firstLineChars="300" w:firstLine="63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第</w:t>
      </w:r>
      <w:r>
        <w:rPr>
          <w:rFonts w:ascii="Times New Roman" w:eastAsiaTheme="minorEastAsia" w:hAnsi="Times New Roman" w:cs="Times New Roman"/>
          <w:kern w:val="2"/>
          <w:sz w:val="21"/>
          <w:szCs w:val="21"/>
        </w:rPr>
        <w:t>4</w:t>
      </w:r>
      <w:r>
        <w:rPr>
          <w:rFonts w:ascii="Times New Roman" w:eastAsiaTheme="minorEastAsia" w:hAnsi="Times New Roman" w:cs="Times New Roman"/>
          <w:kern w:val="2"/>
          <w:sz w:val="21"/>
          <w:szCs w:val="21"/>
        </w:rPr>
        <w:t>项：按抽查报警区域的实际安装数量。</w:t>
      </w:r>
    </w:p>
    <w:p w:rsidR="009846C2" w:rsidRDefault="00A433A0">
      <w:pPr>
        <w:pStyle w:val="af1"/>
        <w:widowControl w:val="0"/>
        <w:numPr>
          <w:ilvl w:val="0"/>
          <w:numId w:val="110"/>
        </w:numPr>
        <w:tabs>
          <w:tab w:val="left" w:pos="0"/>
        </w:tabs>
        <w:topLinePunct/>
        <w:spacing w:line="360" w:lineRule="exact"/>
        <w:ind w:firstLine="420"/>
        <w:jc w:val="both"/>
        <w:rPr>
          <w:rFonts w:ascii="Times New Roman" w:eastAsiaTheme="minorEastAsia" w:hAnsi="Times New Roman" w:cs="Times New Roman"/>
          <w:kern w:val="2"/>
          <w:sz w:val="21"/>
        </w:rPr>
      </w:pPr>
      <w:r>
        <w:rPr>
          <w:rFonts w:ascii="Times New Roman" w:eastAsiaTheme="minorEastAsia" w:hAnsi="Times New Roman" w:cs="Times New Roman"/>
          <w:kern w:val="2"/>
          <w:sz w:val="21"/>
        </w:rPr>
        <w:t>质量标准和验收方法：见表</w:t>
      </w:r>
      <w:r>
        <w:rPr>
          <w:rFonts w:ascii="Times New Roman" w:eastAsiaTheme="minorEastAsia" w:hAnsi="Times New Roman" w:cs="Times New Roman"/>
          <w:kern w:val="2"/>
          <w:sz w:val="21"/>
        </w:rPr>
        <w:t>7.4.3</w:t>
      </w:r>
      <w:r>
        <w:rPr>
          <w:rFonts w:ascii="Times New Roman" w:eastAsiaTheme="minorEastAsia" w:hAnsi="Times New Roman" w:cs="Times New Roman"/>
          <w:kern w:val="2"/>
          <w:sz w:val="21"/>
        </w:rPr>
        <w:t>。</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lastRenderedPageBreak/>
        <w:t>表</w:t>
      </w:r>
      <w:r>
        <w:rPr>
          <w:rFonts w:ascii="Times New Roman" w:eastAsia="黑体" w:hAnsi="Times New Roman" w:cs="Times New Roman"/>
          <w:b/>
          <w:kern w:val="2"/>
          <w:sz w:val="18"/>
          <w:szCs w:val="18"/>
        </w:rPr>
        <w:t>7.4.3</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系统其他部件安装质量验收标准和验收方法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5"/>
        <w:gridCol w:w="1059"/>
        <w:gridCol w:w="2450"/>
        <w:gridCol w:w="1194"/>
        <w:gridCol w:w="417"/>
        <w:gridCol w:w="417"/>
      </w:tblGrid>
      <w:tr w:rsidR="009846C2">
        <w:trPr>
          <w:tblHeader/>
        </w:trPr>
        <w:tc>
          <w:tcPr>
            <w:tcW w:w="415"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1059"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450"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1194"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5"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1059"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手动火灾报警按钮、消火栓按钮、防火卷帘手动控制装置、气体灭火系统手动与自动控制转换装置、气体灭火系统现场启动和停止按钮</w:t>
            </w: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应设置在明显和便于操作的部位，其底边距地</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楼</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面的高度</w:t>
            </w:r>
            <w:r>
              <w:rPr>
                <w:rFonts w:ascii="Times New Roman" w:eastAsia="宋体" w:hAnsi="Times New Roman" w:cs="Times New Roman"/>
                <w:kern w:val="2"/>
                <w:sz w:val="15"/>
                <w:szCs w:val="15"/>
              </w:rPr>
              <w:t>1.3m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1.5m</w:t>
            </w:r>
            <w:r>
              <w:rPr>
                <w:rFonts w:ascii="Times New Roman" w:eastAsia="宋体" w:hAnsi="Times New Roman" w:cs="Times New Roman"/>
                <w:kern w:val="2"/>
                <w:sz w:val="15"/>
                <w:szCs w:val="15"/>
              </w:rPr>
              <w:t>，且应设置明显的永久性标识，消火栓按钮应设置在消火栓箱内，疏散通道上设置的防火卷帘两侧均应设置手动控制装置</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i/>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应安装牢固，不应倾斜</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连接导线应留有不小于</w:t>
            </w:r>
            <w:r>
              <w:rPr>
                <w:rFonts w:ascii="Times New Roman" w:eastAsia="宋体" w:hAnsi="Times New Roman" w:cs="Times New Roman"/>
                <w:kern w:val="2"/>
                <w:sz w:val="15"/>
                <w:szCs w:val="15"/>
              </w:rPr>
              <w:t>150mm</w:t>
            </w:r>
            <w:r>
              <w:rPr>
                <w:rFonts w:ascii="Times New Roman" w:eastAsia="宋体" w:hAnsi="Times New Roman" w:cs="Times New Roman"/>
                <w:kern w:val="2"/>
                <w:sz w:val="15"/>
                <w:szCs w:val="15"/>
              </w:rPr>
              <w:t>的余量，且在其端部应设置明显的永久性标识</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1059"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模块或模块箱</w:t>
            </w: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同一报警区域内的模块不应安装在配电柜、箱或控制柜、箱内</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应独立安装在不燃材料或墙体上，安装牢固，并应采取防潮、防腐蚀等措施</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模块的连接导线应留有不小于</w:t>
            </w:r>
            <w:r>
              <w:rPr>
                <w:rFonts w:ascii="Times New Roman" w:eastAsia="宋体" w:hAnsi="Times New Roman" w:cs="Times New Roman"/>
                <w:kern w:val="2"/>
                <w:sz w:val="15"/>
                <w:szCs w:val="15"/>
              </w:rPr>
              <w:t>150mm</w:t>
            </w:r>
            <w:r>
              <w:rPr>
                <w:rFonts w:ascii="Times New Roman" w:eastAsia="宋体" w:hAnsi="Times New Roman" w:cs="Times New Roman"/>
                <w:kern w:val="2"/>
                <w:sz w:val="15"/>
                <w:szCs w:val="15"/>
              </w:rPr>
              <w:t>的余量，其端部应有明显的永久性标识</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模块的终端部件应靠近连接部件安装</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隐蔽安装时在安装处附近应设置检修孔和尺寸不小于</w:t>
            </w:r>
            <w:r>
              <w:rPr>
                <w:rFonts w:ascii="Times New Roman" w:eastAsia="宋体" w:hAnsi="Times New Roman" w:cs="Times New Roman"/>
                <w:kern w:val="2"/>
                <w:sz w:val="15"/>
                <w:szCs w:val="15"/>
              </w:rPr>
              <w:t>100mm×100mm</w:t>
            </w:r>
            <w:r>
              <w:rPr>
                <w:rFonts w:ascii="Times New Roman" w:eastAsia="宋体" w:hAnsi="Times New Roman" w:cs="Times New Roman"/>
                <w:kern w:val="2"/>
                <w:sz w:val="15"/>
                <w:szCs w:val="15"/>
              </w:rPr>
              <w:t>的永久性标识</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1059"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消防电话分机和电话插孔</w:t>
            </w: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安装在明显、便于操作的位置，采用壁挂方式安装时，其底边距地</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楼</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面的高度</w:t>
            </w:r>
            <w:r>
              <w:rPr>
                <w:rFonts w:ascii="Times New Roman" w:eastAsia="宋体" w:hAnsi="Times New Roman" w:cs="Times New Roman"/>
                <w:kern w:val="2"/>
                <w:sz w:val="15"/>
                <w:szCs w:val="15"/>
              </w:rPr>
              <w:t>1.3m</w:t>
            </w:r>
            <w:r>
              <w:rPr>
                <w:rFonts w:ascii="Times New Roman" w:eastAsia="宋体" w:hAnsi="Times New Roman" w:cs="Times New Roman"/>
                <w:kern w:val="2"/>
                <w:sz w:val="15"/>
                <w:szCs w:val="15"/>
              </w:rPr>
              <w:t>～</w:t>
            </w:r>
            <w:r>
              <w:rPr>
                <w:rFonts w:ascii="Times New Roman" w:eastAsia="宋体" w:hAnsi="Times New Roman" w:cs="Times New Roman"/>
                <w:kern w:val="2"/>
                <w:sz w:val="15"/>
                <w:szCs w:val="15"/>
              </w:rPr>
              <w:t>1.5m</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应设置明显的永久性标识</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电话插孔不应设置在消火栓箱内</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1059"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消防应急广播扬声器、火灾警报器、喷洒光警报器、气体灭火系统手动与自动控制状态显示装置</w:t>
            </w: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扬声器在走道内安装时，距走道末端的距离不应大于</w:t>
            </w:r>
            <w:r>
              <w:rPr>
                <w:rFonts w:ascii="Times New Roman" w:eastAsia="宋体" w:hAnsi="Times New Roman" w:cs="Times New Roman"/>
                <w:kern w:val="2"/>
                <w:sz w:val="15"/>
                <w:szCs w:val="15"/>
              </w:rPr>
              <w:t>12.5m</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火灾光警报装置应安装在楼梯口、消防电梯前室、建筑内部拐角等处的明显部位，且不宜与消防应急疏散指示标志灯具安装在同一面墙上，确需安装在同一面墙上时，距离不应小于</w:t>
            </w:r>
            <w:r>
              <w:rPr>
                <w:rFonts w:ascii="Times New Roman" w:eastAsia="宋体" w:hAnsi="Times New Roman" w:cs="Times New Roman"/>
                <w:kern w:val="2"/>
                <w:sz w:val="15"/>
                <w:szCs w:val="15"/>
              </w:rPr>
              <w:t>1.0m</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rPr>
          <w:trHeight w:val="944"/>
        </w:trPr>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气体灭火系统手动与自动控制状态显示装置应安装在防护区域内的明显部位，喷洒光警报器应安装在防护区域外，且应安装在出口门的上方</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采用壁挂方式安装时，底边距地面高度应大于</w:t>
            </w:r>
            <w:r>
              <w:rPr>
                <w:rFonts w:ascii="Times New Roman" w:eastAsia="宋体" w:hAnsi="Times New Roman" w:cs="Times New Roman"/>
                <w:kern w:val="2"/>
                <w:sz w:val="15"/>
                <w:szCs w:val="15"/>
              </w:rPr>
              <w:t>2.2m</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应安装牢固，表面不应有破损</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1059"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消防设备电源监控系统传感器</w:t>
            </w: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传感器与裸带电导体应保证安全距离，金属外壳的传感器应有保护接地</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传感器应独立支撑或固定，应安装牢固，并应采取防潮、防腐蚀等措施</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传感器输出回路的连接线应采用截面积不小于</w:t>
            </w:r>
            <w:r>
              <w:rPr>
                <w:rFonts w:ascii="Times New Roman" w:eastAsia="宋体" w:hAnsi="Times New Roman" w:cs="Times New Roman"/>
                <w:kern w:val="2"/>
                <w:sz w:val="15"/>
                <w:szCs w:val="15"/>
              </w:rPr>
              <w:t>1.0mm</w:t>
            </w:r>
            <w:r>
              <w:rPr>
                <w:rFonts w:ascii="Times New Roman" w:eastAsia="宋体" w:hAnsi="Times New Roman" w:cs="Times New Roman"/>
                <w:kern w:val="2"/>
                <w:sz w:val="15"/>
                <w:szCs w:val="15"/>
                <w:vertAlign w:val="superscript"/>
              </w:rPr>
              <w:t>2</w:t>
            </w:r>
            <w:r>
              <w:rPr>
                <w:rFonts w:ascii="Times New Roman" w:eastAsia="宋体" w:hAnsi="Times New Roman" w:cs="Times New Roman"/>
                <w:kern w:val="2"/>
                <w:sz w:val="15"/>
                <w:szCs w:val="15"/>
              </w:rPr>
              <w:t>的双绞铜芯导线，并应留有不小于</w:t>
            </w:r>
            <w:r>
              <w:rPr>
                <w:rFonts w:ascii="Times New Roman" w:eastAsia="宋体" w:hAnsi="Times New Roman" w:cs="Times New Roman"/>
                <w:kern w:val="2"/>
                <w:sz w:val="15"/>
                <w:szCs w:val="15"/>
              </w:rPr>
              <w:t>150mm</w:t>
            </w:r>
            <w:r>
              <w:rPr>
                <w:rFonts w:ascii="Times New Roman" w:eastAsia="宋体" w:hAnsi="Times New Roman" w:cs="Times New Roman"/>
                <w:kern w:val="2"/>
                <w:sz w:val="15"/>
                <w:szCs w:val="15"/>
              </w:rPr>
              <w:t>的余量，其端部应设置明显的永久性标</w:t>
            </w:r>
            <w:r>
              <w:rPr>
                <w:rFonts w:ascii="Times New Roman" w:eastAsia="宋体" w:hAnsi="Times New Roman" w:cs="Times New Roman"/>
                <w:kern w:val="2"/>
                <w:sz w:val="15"/>
                <w:szCs w:val="15"/>
              </w:rPr>
              <w:lastRenderedPageBreak/>
              <w:t>识</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传感器的安装不应破坏被监控线路的完整性，不应增加线路接点</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1059" w:type="dxa"/>
            <w:vMerge w:val="restart"/>
            <w:vAlign w:val="center"/>
          </w:tcPr>
          <w:p w:rsidR="009846C2" w:rsidRDefault="00A433A0">
            <w:pPr>
              <w:tabs>
                <w:tab w:val="left" w:pos="0"/>
              </w:tabs>
              <w:topLinePunct/>
              <w:spacing w:line="30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防火门监控模块与电动闭门器、释放器、门磁开关</w:t>
            </w: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防火门监控模块至电动闭门器、释放器、门磁开关等现场部件之间连接线的长度不应大于</w:t>
            </w:r>
            <w:r>
              <w:rPr>
                <w:rFonts w:ascii="Times New Roman" w:eastAsia="宋体" w:hAnsi="Times New Roman" w:cs="Times New Roman"/>
                <w:kern w:val="2"/>
                <w:sz w:val="15"/>
                <w:szCs w:val="15"/>
              </w:rPr>
              <w:t>3.0m</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防火门监控模块、电动闭门器、释放器、门磁开关等现场部件应安装牢固</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5"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1059"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450"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门磁开关的安装不应破坏门扇与门框之间的密闭性</w:t>
            </w:r>
          </w:p>
        </w:tc>
        <w:tc>
          <w:tcPr>
            <w:tcW w:w="1194"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7"/>
        </w:numPr>
        <w:tabs>
          <w:tab w:val="left" w:pos="0"/>
        </w:tabs>
        <w:topLinePunct/>
        <w:autoSpaceDE/>
        <w:autoSpaceDN/>
        <w:spacing w:before="0" w:after="0" w:line="360" w:lineRule="exact"/>
        <w:jc w:val="both"/>
        <w:outlineLvl w:val="9"/>
        <w:rPr>
          <w:rFonts w:ascii="Times New Roman" w:hAnsi="Times New Roman"/>
          <w:b w:val="0"/>
          <w:kern w:val="2"/>
          <w:sz w:val="21"/>
        </w:rPr>
      </w:pPr>
      <w:r>
        <w:rPr>
          <w:rFonts w:ascii="Times New Roman" w:hAnsi="Times New Roman"/>
          <w:b w:val="0"/>
          <w:kern w:val="2"/>
          <w:sz w:val="21"/>
        </w:rPr>
        <w:t>火灾自动报警系统布线</w:t>
      </w:r>
    </w:p>
    <w:p w:rsidR="009846C2" w:rsidRDefault="00A433A0">
      <w:pPr>
        <w:pStyle w:val="af1"/>
        <w:widowControl w:val="0"/>
        <w:numPr>
          <w:ilvl w:val="0"/>
          <w:numId w:val="11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检查数量：建筑中含有</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个及以下报警区域的，应全部检验，超过</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个报警区域的应按实际报警区域数量</w:t>
      </w:r>
      <w:r>
        <w:rPr>
          <w:rFonts w:ascii="Times New Roman" w:eastAsia="宋体" w:hAnsi="Times New Roman" w:cs="Times New Roman"/>
          <w:kern w:val="2"/>
          <w:sz w:val="21"/>
          <w:szCs w:val="21"/>
        </w:rPr>
        <w:t>20%</w:t>
      </w:r>
      <w:r>
        <w:rPr>
          <w:rFonts w:ascii="Times New Roman" w:eastAsia="宋体" w:hAnsi="Times New Roman" w:cs="Times New Roman"/>
          <w:kern w:val="2"/>
          <w:sz w:val="21"/>
          <w:szCs w:val="21"/>
        </w:rPr>
        <w:t>的比例抽验，但抽验总数不应小于</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w:t>
      </w:r>
    </w:p>
    <w:p w:rsidR="009846C2" w:rsidRDefault="00A433A0">
      <w:pPr>
        <w:pStyle w:val="af1"/>
        <w:widowControl w:val="0"/>
        <w:numPr>
          <w:ilvl w:val="0"/>
          <w:numId w:val="112"/>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质量标准和验收方法：见表</w:t>
      </w:r>
      <w:r>
        <w:rPr>
          <w:rFonts w:ascii="Times New Roman" w:eastAsia="宋体" w:hAnsi="Times New Roman" w:cs="Times New Roman"/>
          <w:kern w:val="2"/>
          <w:sz w:val="21"/>
          <w:szCs w:val="21"/>
        </w:rPr>
        <w:t>7.4.4</w:t>
      </w:r>
      <w:r>
        <w:rPr>
          <w:rFonts w:ascii="Times New Roman" w:eastAsia="宋体" w:hAnsi="Times New Roman" w:cs="Times New Roman"/>
          <w:kern w:val="2"/>
          <w:sz w:val="21"/>
          <w:szCs w:val="21"/>
        </w:rPr>
        <w:t>。</w:t>
      </w:r>
    </w:p>
    <w:p w:rsidR="009846C2" w:rsidRDefault="00A433A0">
      <w:pPr>
        <w:pStyle w:val="af1"/>
        <w:tabs>
          <w:tab w:val="left" w:pos="0"/>
        </w:tabs>
        <w:topLinePunct/>
        <w:spacing w:line="360" w:lineRule="exact"/>
        <w:ind w:firstLineChars="0" w:firstLine="0"/>
        <w:jc w:val="center"/>
        <w:rPr>
          <w:rFonts w:ascii="Times New Roman" w:eastAsia="黑体" w:hAnsi="Times New Roman" w:cs="Times New Roman"/>
          <w:bCs/>
          <w:kern w:val="2"/>
          <w:sz w:val="18"/>
          <w:szCs w:val="18"/>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7.4.4</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火灾自动报警系统布线质量验收标准和验收方法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系统布线</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系统应单独布线，系统内不同回路、不同电压等级、不同电流类别的线路，不应布在同一管内或线槽孔内</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设备引入引出线应符合下列要求：配线应整齐，不宜交叉，并应固定牢靠；电缆芯线和所配导线的端部，均应标明编号，并与图纸一致，字迹应清晰且不易退色；端子板的每个接线端，接线不得超过</w:t>
            </w:r>
            <w:r>
              <w:rPr>
                <w:rFonts w:ascii="Times New Roman" w:eastAsia="宋体" w:hAnsi="Times New Roman" w:cs="Times New Roman"/>
                <w:kern w:val="2"/>
                <w:sz w:val="15"/>
                <w:szCs w:val="15"/>
              </w:rPr>
              <w:t>2</w:t>
            </w:r>
            <w:r>
              <w:rPr>
                <w:rFonts w:ascii="Times New Roman" w:eastAsia="宋体" w:hAnsi="Times New Roman" w:cs="Times New Roman"/>
                <w:kern w:val="2"/>
                <w:sz w:val="15"/>
                <w:szCs w:val="15"/>
              </w:rPr>
              <w:t>根；电缆芯和</w:t>
            </w:r>
            <w:r>
              <w:rPr>
                <w:rFonts w:ascii="Times New Roman" w:eastAsia="宋体" w:hAnsi="Times New Roman" w:cs="Times New Roman"/>
                <w:kern w:val="2"/>
                <w:sz w:val="15"/>
                <w:szCs w:val="15"/>
              </w:rPr>
              <w:lastRenderedPageBreak/>
              <w:t>导线，应留有小于</w:t>
            </w:r>
            <w:r>
              <w:rPr>
                <w:rFonts w:ascii="Times New Roman" w:eastAsia="宋体" w:hAnsi="Times New Roman" w:cs="Times New Roman"/>
                <w:kern w:val="2"/>
                <w:sz w:val="15"/>
                <w:szCs w:val="15"/>
              </w:rPr>
              <w:t>200mm</w:t>
            </w:r>
            <w:r>
              <w:rPr>
                <w:rFonts w:ascii="Times New Roman" w:eastAsia="宋体" w:hAnsi="Times New Roman" w:cs="Times New Roman"/>
                <w:kern w:val="2"/>
                <w:sz w:val="15"/>
                <w:szCs w:val="15"/>
              </w:rPr>
              <w:t>的余量；导线应绑扎成束；导线穿管、线槽后，应将管口槽口封堵</w:t>
            </w:r>
          </w:p>
        </w:tc>
        <w:tc>
          <w:tcPr>
            <w:tcW w:w="893" w:type="dxa"/>
            <w:vAlign w:val="center"/>
          </w:tcPr>
          <w:p w:rsidR="009846C2" w:rsidRDefault="00A433A0">
            <w:pPr>
              <w:widowControl w:val="0"/>
              <w:tabs>
                <w:tab w:val="left" w:pos="0"/>
              </w:tabs>
              <w:topLinePunct/>
              <w:spacing w:line="300" w:lineRule="exact"/>
              <w:jc w:val="center"/>
              <w:rPr>
                <w:rFonts w:ascii="Times New Roman" w:eastAsiaTheme="minorEastAsia" w:hAnsi="Times New Roman" w:cs="Times New Roman"/>
                <w:kern w:val="2"/>
                <w:sz w:val="15"/>
                <w:szCs w:val="15"/>
              </w:rPr>
            </w:pPr>
            <w:r>
              <w:rPr>
                <w:rFonts w:ascii="Times New Roman" w:eastAsiaTheme="minorEastAsia" w:hAnsi="Times New Roman" w:cs="Times New Roman"/>
                <w:kern w:val="2"/>
                <w:sz w:val="15"/>
                <w:szCs w:val="15"/>
              </w:rPr>
              <w:lastRenderedPageBreak/>
              <w:t>现场测量、</w:t>
            </w: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敷设在多尘或潮湿场所管路的管口和管路连接处，均应作密封处理</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从接线盒、线槽等处引到探测器底座、控制设备、扬声器的线路，当采用可弯曲金属电气导管保护时，其长度不应大于</w:t>
            </w:r>
            <w:r>
              <w:rPr>
                <w:rFonts w:ascii="Times New Roman" w:eastAsia="宋体" w:hAnsi="Times New Roman" w:cs="Times New Roman"/>
                <w:kern w:val="2"/>
                <w:sz w:val="15"/>
                <w:szCs w:val="15"/>
              </w:rPr>
              <w:t>2.0m</w:t>
            </w:r>
            <w:r>
              <w:rPr>
                <w:rFonts w:ascii="Times New Roman" w:eastAsia="宋体" w:hAnsi="Times New Roman" w:cs="Times New Roman"/>
                <w:kern w:val="2"/>
                <w:sz w:val="15"/>
                <w:szCs w:val="15"/>
              </w:rPr>
              <w:t>。可弯曲金属电气导管应入盒，盒外侧应套锁母，内侧应装护口</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金属管路入盒，盒外侧应套锁母，内侧应装护口；在吊顶内敷设时，盒的内外侧均应套锁母。塑料管入盒应采取相应固定措施</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线槽敷设时，下列位置设置吊点或支点，吊杆直径不应小于</w:t>
            </w:r>
            <w:r>
              <w:rPr>
                <w:rFonts w:ascii="Times New Roman" w:eastAsia="宋体" w:hAnsi="Times New Roman" w:cs="Times New Roman"/>
                <w:kern w:val="2"/>
                <w:sz w:val="15"/>
                <w:szCs w:val="15"/>
              </w:rPr>
              <w:t>6mm</w:t>
            </w:r>
            <w:r>
              <w:rPr>
                <w:rFonts w:ascii="Times New Roman" w:eastAsia="宋体" w:hAnsi="Times New Roman" w:cs="Times New Roman"/>
                <w:kern w:val="2"/>
                <w:sz w:val="15"/>
                <w:szCs w:val="15"/>
              </w:rPr>
              <w:t>：线槽始端、终端及接头处；距接线盒</w:t>
            </w:r>
            <w:r>
              <w:rPr>
                <w:rFonts w:ascii="Times New Roman" w:eastAsia="宋体" w:hAnsi="Times New Roman" w:cs="Times New Roman"/>
                <w:kern w:val="2"/>
                <w:sz w:val="15"/>
                <w:szCs w:val="15"/>
              </w:rPr>
              <w:t>0.2m</w:t>
            </w:r>
            <w:r>
              <w:rPr>
                <w:rFonts w:ascii="Times New Roman" w:eastAsia="宋体" w:hAnsi="Times New Roman" w:cs="Times New Roman"/>
                <w:kern w:val="2"/>
                <w:sz w:val="15"/>
                <w:szCs w:val="15"/>
              </w:rPr>
              <w:t>处；线槽转角或分支处；直线段不大于</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处</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线槽接口应平直、严密，槽盖应齐全、平整、无翘角。并列安装时，槽盖应便于开启</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同一工程中的线缆，应根据不同用途选择不同颜色加以区分，相同用途的线缆颜色应一致。电源线正级应为红色，负级应为蓝色或黑色</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07"/>
        </w:numPr>
        <w:tabs>
          <w:tab w:val="left" w:pos="0"/>
        </w:tabs>
        <w:topLinePunct/>
        <w:autoSpaceDE/>
        <w:autoSpaceDN/>
        <w:spacing w:before="0" w:after="0" w:line="360" w:lineRule="exact"/>
        <w:ind w:left="0" w:firstLine="0"/>
        <w:jc w:val="both"/>
        <w:outlineLvl w:val="9"/>
        <w:rPr>
          <w:rFonts w:ascii="Times New Roman" w:hAnsi="Times New Roman"/>
          <w:b w:val="0"/>
          <w:kern w:val="2"/>
          <w:sz w:val="21"/>
        </w:rPr>
      </w:pPr>
      <w:r>
        <w:rPr>
          <w:rFonts w:ascii="Times New Roman" w:hAnsi="Times New Roman"/>
          <w:b w:val="0"/>
          <w:kern w:val="2"/>
          <w:sz w:val="21"/>
        </w:rPr>
        <w:t>系统联动控制功能</w:t>
      </w:r>
    </w:p>
    <w:p w:rsidR="009846C2" w:rsidRDefault="00A433A0">
      <w:pPr>
        <w:pStyle w:val="af1"/>
        <w:widowControl w:val="0"/>
        <w:numPr>
          <w:ilvl w:val="0"/>
          <w:numId w:val="113"/>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检查数量：建筑中含有</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个及以下防护区域或报警区域的，应全部检验，超过</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个报警区域的应按实际报警区域数量</w:t>
      </w:r>
      <w:r>
        <w:rPr>
          <w:rFonts w:ascii="Times New Roman" w:eastAsia="宋体" w:hAnsi="Times New Roman" w:cs="Times New Roman"/>
          <w:kern w:val="2"/>
          <w:sz w:val="21"/>
          <w:szCs w:val="21"/>
        </w:rPr>
        <w:lastRenderedPageBreak/>
        <w:t>20%</w:t>
      </w:r>
      <w:r>
        <w:rPr>
          <w:rFonts w:ascii="Times New Roman" w:eastAsia="宋体" w:hAnsi="Times New Roman" w:cs="Times New Roman"/>
          <w:kern w:val="2"/>
          <w:sz w:val="21"/>
          <w:szCs w:val="21"/>
        </w:rPr>
        <w:t>的比例抽验，但抽验总数不应小于</w:t>
      </w:r>
      <w:r>
        <w:rPr>
          <w:rFonts w:ascii="Times New Roman" w:eastAsia="宋体" w:hAnsi="Times New Roman" w:cs="Times New Roman"/>
          <w:kern w:val="2"/>
          <w:sz w:val="21"/>
          <w:szCs w:val="21"/>
        </w:rPr>
        <w:t>5</w:t>
      </w:r>
      <w:r>
        <w:rPr>
          <w:rFonts w:ascii="Times New Roman" w:eastAsia="宋体" w:hAnsi="Times New Roman" w:cs="Times New Roman"/>
          <w:kern w:val="2"/>
          <w:sz w:val="21"/>
          <w:szCs w:val="21"/>
        </w:rPr>
        <w:t>个。</w:t>
      </w:r>
    </w:p>
    <w:p w:rsidR="009846C2" w:rsidRDefault="00A433A0">
      <w:pPr>
        <w:pStyle w:val="af1"/>
        <w:widowControl w:val="0"/>
        <w:numPr>
          <w:ilvl w:val="0"/>
          <w:numId w:val="113"/>
        </w:numPr>
        <w:tabs>
          <w:tab w:val="left" w:pos="0"/>
        </w:tabs>
        <w:topLinePunct/>
        <w:spacing w:line="360" w:lineRule="exact"/>
        <w:ind w:firstLine="420"/>
        <w:jc w:val="both"/>
        <w:rPr>
          <w:rFonts w:ascii="Times New Roman" w:eastAsia="宋体" w:hAnsi="Times New Roman" w:cs="Times New Roman"/>
          <w:kern w:val="2"/>
          <w:sz w:val="21"/>
          <w:szCs w:val="21"/>
        </w:rPr>
      </w:pPr>
      <w:r>
        <w:rPr>
          <w:rFonts w:ascii="Times New Roman" w:eastAsia="宋体" w:hAnsi="Times New Roman" w:cs="Times New Roman"/>
          <w:kern w:val="2"/>
          <w:sz w:val="21"/>
          <w:szCs w:val="21"/>
        </w:rPr>
        <w:t>质量标准和验收方法：见表</w:t>
      </w:r>
      <w:r>
        <w:rPr>
          <w:rFonts w:ascii="Times New Roman" w:eastAsia="宋体" w:hAnsi="Times New Roman" w:cs="Times New Roman"/>
          <w:kern w:val="2"/>
          <w:sz w:val="21"/>
          <w:szCs w:val="21"/>
        </w:rPr>
        <w:t>7.4.5</w:t>
      </w:r>
      <w:r>
        <w:rPr>
          <w:rFonts w:ascii="Times New Roman" w:eastAsia="宋体" w:hAnsi="Times New Roman" w:cs="Times New Roman"/>
          <w:kern w:val="2"/>
          <w:sz w:val="21"/>
          <w:szCs w:val="21"/>
        </w:rPr>
        <w:t>。</w:t>
      </w:r>
    </w:p>
    <w:p w:rsidR="009846C2" w:rsidRDefault="00A433A0">
      <w:pPr>
        <w:pStyle w:val="af1"/>
        <w:tabs>
          <w:tab w:val="left" w:pos="0"/>
        </w:tabs>
        <w:topLinePunct/>
        <w:spacing w:line="360" w:lineRule="exact"/>
        <w:ind w:firstLineChars="0" w:firstLine="0"/>
        <w:jc w:val="center"/>
        <w:rPr>
          <w:rFonts w:ascii="Times New Roman" w:eastAsia="宋体" w:hAnsi="Times New Roman" w:cs="Times New Roman"/>
          <w:b/>
          <w:kern w:val="2"/>
          <w:sz w:val="21"/>
          <w:szCs w:val="21"/>
        </w:rPr>
      </w:pPr>
      <w:r>
        <w:rPr>
          <w:rFonts w:ascii="Times New Roman" w:eastAsia="黑体" w:hAnsi="Times New Roman" w:cs="Times New Roman"/>
          <w:bCs/>
          <w:kern w:val="2"/>
          <w:sz w:val="18"/>
          <w:szCs w:val="18"/>
        </w:rPr>
        <w:t>表</w:t>
      </w:r>
      <w:r>
        <w:rPr>
          <w:rFonts w:ascii="Times New Roman" w:eastAsia="黑体" w:hAnsi="Times New Roman" w:cs="Times New Roman"/>
          <w:b/>
          <w:kern w:val="2"/>
          <w:sz w:val="18"/>
          <w:szCs w:val="18"/>
        </w:rPr>
        <w:t>7.4.5</w:t>
      </w:r>
      <w:r>
        <w:rPr>
          <w:rFonts w:ascii="Times New Roman" w:eastAsia="黑体" w:hAnsi="Times New Roman" w:cs="Times New Roman"/>
          <w:bCs/>
          <w:kern w:val="2"/>
          <w:sz w:val="18"/>
          <w:szCs w:val="18"/>
        </w:rPr>
        <w:t xml:space="preserve">  </w:t>
      </w:r>
      <w:r>
        <w:rPr>
          <w:rFonts w:ascii="Times New Roman" w:eastAsia="黑体" w:hAnsi="Times New Roman" w:cs="Times New Roman"/>
          <w:bCs/>
          <w:kern w:val="2"/>
          <w:sz w:val="18"/>
          <w:szCs w:val="18"/>
        </w:rPr>
        <w:t>系统联动控制功能验收标准和验收方法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消防应急广播</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联动控制功能、手动插入优先功能应符合国家和河北省现行规范标准的规定和消防设计文件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防火卷帘</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气体灭火系统、超细干粉灭火系统、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联动控制功能、手动插入优先功能、现场手动启动、停止功能应符合国家和河北省现行规范标准的规定和消防设计文件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防火门</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消火栓系统、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湿式、干式喷水灭火系统控制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7</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预作用式喷水灭火系统控制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联动控制功能、消防泵、预作用阀组、排气阀前电动阀直接手动控制及消防控制室直接手动控制功能应符合国家和河北省现行规范标准的规定和消防设计文件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8</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水喷雾、细水雾、自动喷水灭火系</w:t>
            </w:r>
            <w:r>
              <w:rPr>
                <w:rFonts w:ascii="Times New Roman" w:eastAsia="宋体" w:hAnsi="Times New Roman" w:cs="Times New Roman"/>
                <w:kern w:val="2"/>
                <w:sz w:val="15"/>
                <w:szCs w:val="15"/>
              </w:rPr>
              <w:lastRenderedPageBreak/>
              <w:t>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联动控制功能、消防控制室直接手动控制功能应符合国家和河北省现行规范标准的规定和消防设计文件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9</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泡沫灭火系统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10</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排油注氮灭火系统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11</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防排烟系统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联动控制功能、消防控制室直接手动控制功能应符合国家和河北省现行规范标准的规定和消防设计文件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12</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消防应急照明和疏散指示系统</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13</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电梯、非消防电源等相关系统的联动控制</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14</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自动消防系统的整体联动控制功能</w:t>
            </w:r>
          </w:p>
        </w:tc>
        <w:tc>
          <w:tcPr>
            <w:tcW w:w="2916" w:type="dxa"/>
            <w:vAlign w:val="center"/>
          </w:tcPr>
          <w:p w:rsidR="009846C2" w:rsidRDefault="00A433A0">
            <w:pPr>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联动控制功能应符合国家和河北省现行规范标准的规定和消防设计文件</w:t>
            </w:r>
          </w:p>
        </w:tc>
        <w:tc>
          <w:tcPr>
            <w:tcW w:w="893"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9846C2">
      <w:pPr>
        <w:tabs>
          <w:tab w:val="left" w:pos="0"/>
        </w:tabs>
        <w:topLinePunct/>
        <w:spacing w:line="360" w:lineRule="exact"/>
        <w:jc w:val="both"/>
        <w:rPr>
          <w:rFonts w:ascii="Times New Roman" w:eastAsiaTheme="minorEastAsia" w:hAnsi="Times New Roman" w:cs="Times New Roman"/>
          <w:kern w:val="2"/>
          <w:sz w:val="21"/>
          <w:szCs w:val="21"/>
        </w:rPr>
      </w:pPr>
    </w:p>
    <w:p w:rsidR="009846C2" w:rsidRDefault="009846C2">
      <w:pPr>
        <w:tabs>
          <w:tab w:val="left" w:pos="0"/>
        </w:tabs>
        <w:topLinePunct/>
        <w:spacing w:line="360" w:lineRule="exact"/>
        <w:jc w:val="both"/>
        <w:rPr>
          <w:rFonts w:ascii="Times New Roman" w:eastAsiaTheme="minorEastAsia" w:hAnsi="Times New Roman" w:cs="Times New Roman"/>
          <w:kern w:val="2"/>
          <w:sz w:val="21"/>
          <w:szCs w:val="21"/>
        </w:rPr>
        <w:sectPr w:rsidR="009846C2">
          <w:footerReference w:type="even" r:id="rId17"/>
          <w:footerReference w:type="default" r:id="rId18"/>
          <w:pgSz w:w="7938" w:h="11510"/>
          <w:pgMar w:top="1247" w:right="1021" w:bottom="907" w:left="1021" w:header="708" w:footer="708" w:gutter="0"/>
          <w:cols w:space="708"/>
          <w:docGrid w:linePitch="360"/>
        </w:sectPr>
      </w:pPr>
    </w:p>
    <w:p w:rsidR="009846C2" w:rsidRDefault="00A433A0" w:rsidP="007974B4">
      <w:pPr>
        <w:pStyle w:val="1"/>
        <w:keepNext w:val="0"/>
        <w:keepLines w:val="0"/>
        <w:numPr>
          <w:ilvl w:val="0"/>
          <w:numId w:val="114"/>
        </w:numPr>
        <w:tabs>
          <w:tab w:val="left" w:pos="0"/>
        </w:tabs>
        <w:topLinePunct/>
        <w:spacing w:beforeLines="100" w:after="100" w:afterAutospacing="1" w:line="380" w:lineRule="exact"/>
        <w:jc w:val="center"/>
        <w:rPr>
          <w:rFonts w:eastAsiaTheme="minorEastAsia"/>
          <w:kern w:val="2"/>
          <w:sz w:val="28"/>
          <w:szCs w:val="28"/>
        </w:rPr>
      </w:pPr>
      <w:r>
        <w:rPr>
          <w:rFonts w:eastAsiaTheme="minorEastAsia"/>
          <w:kern w:val="2"/>
          <w:sz w:val="28"/>
          <w:szCs w:val="28"/>
        </w:rPr>
        <w:lastRenderedPageBreak/>
        <w:t>电力线路</w:t>
      </w:r>
    </w:p>
    <w:p w:rsidR="009846C2" w:rsidRDefault="00A433A0">
      <w:pPr>
        <w:pStyle w:val="11"/>
        <w:keepNext w:val="0"/>
        <w:keepLines w:val="0"/>
        <w:numPr>
          <w:ilvl w:val="0"/>
          <w:numId w:val="115"/>
        </w:numPr>
        <w:tabs>
          <w:tab w:val="left" w:pos="0"/>
        </w:tabs>
        <w:topLinePunct/>
        <w:autoSpaceDE/>
        <w:autoSpaceDN/>
        <w:spacing w:before="100" w:beforeAutospacing="1" w:after="100" w:afterAutospacing="1"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一般规定</w:t>
      </w:r>
    </w:p>
    <w:p w:rsidR="009846C2" w:rsidRDefault="00A433A0">
      <w:pPr>
        <w:pStyle w:val="af1"/>
        <w:widowControl w:val="0"/>
        <w:numPr>
          <w:ilvl w:val="0"/>
          <w:numId w:val="116"/>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本章适用于</w:t>
      </w:r>
      <w:r>
        <w:rPr>
          <w:rFonts w:ascii="Times New Roman" w:eastAsiaTheme="minorEastAsia" w:hAnsi="Times New Roman" w:cs="Times New Roman"/>
          <w:kern w:val="2"/>
          <w:sz w:val="21"/>
          <w:szCs w:val="21"/>
        </w:rPr>
        <w:t>35kV</w:t>
      </w:r>
      <w:r>
        <w:rPr>
          <w:rFonts w:ascii="Times New Roman" w:eastAsiaTheme="minorEastAsia" w:hAnsi="Times New Roman" w:cs="Times New Roman"/>
          <w:kern w:val="2"/>
          <w:sz w:val="21"/>
          <w:szCs w:val="21"/>
        </w:rPr>
        <w:t>及以上电力线路敷设消防工程施工质量验收。</w:t>
      </w:r>
    </w:p>
    <w:p w:rsidR="009846C2" w:rsidRDefault="00A433A0">
      <w:pPr>
        <w:pStyle w:val="af1"/>
        <w:widowControl w:val="0"/>
        <w:numPr>
          <w:ilvl w:val="0"/>
          <w:numId w:val="116"/>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电力线路敷设应符合设计文件及现行国家工程建设消防技术标准的要求。</w:t>
      </w:r>
    </w:p>
    <w:p w:rsidR="009846C2" w:rsidRDefault="00A433A0">
      <w:pPr>
        <w:pStyle w:val="af1"/>
        <w:widowControl w:val="0"/>
        <w:numPr>
          <w:ilvl w:val="0"/>
          <w:numId w:val="116"/>
        </w:numPr>
        <w:tabs>
          <w:tab w:val="left" w:pos="0"/>
        </w:tabs>
        <w:topLinePunct/>
        <w:spacing w:line="360" w:lineRule="exact"/>
        <w:ind w:left="0" w:firstLineChars="0" w:firstLine="0"/>
        <w:jc w:val="both"/>
        <w:rPr>
          <w:rFonts w:ascii="Times New Roman" w:eastAsiaTheme="minorEastAsia" w:hAnsi="Times New Roman" w:cs="Times New Roman"/>
          <w:kern w:val="2"/>
          <w:sz w:val="21"/>
          <w:szCs w:val="21"/>
        </w:rPr>
      </w:pPr>
      <w:r>
        <w:rPr>
          <w:rFonts w:ascii="Times New Roman" w:eastAsiaTheme="minorEastAsia" w:hAnsi="Times New Roman" w:cs="Times New Roman"/>
          <w:kern w:val="2"/>
          <w:sz w:val="21"/>
          <w:szCs w:val="21"/>
        </w:rPr>
        <w:t>电力线路敷设消防工程施工质量，除应符合本标准的规定外，尚应符合现行国家和河北省有关规范标准的规定。</w:t>
      </w:r>
    </w:p>
    <w:p w:rsidR="009846C2" w:rsidRDefault="00A433A0" w:rsidP="007974B4">
      <w:pPr>
        <w:pStyle w:val="11"/>
        <w:keepNext w:val="0"/>
        <w:keepLines w:val="0"/>
        <w:numPr>
          <w:ilvl w:val="0"/>
          <w:numId w:val="115"/>
        </w:numPr>
        <w:tabs>
          <w:tab w:val="left" w:pos="0"/>
        </w:tabs>
        <w:topLinePunct/>
        <w:autoSpaceDE/>
        <w:autoSpaceDN/>
        <w:spacing w:beforeLines="100" w:afterLines="100" w:line="360" w:lineRule="exact"/>
        <w:ind w:left="0" w:firstLine="0"/>
        <w:jc w:val="center"/>
        <w:rPr>
          <w:rFonts w:ascii="Times New Roman" w:eastAsia="黑体" w:hAnsi="Times New Roman"/>
          <w:b w:val="0"/>
          <w:kern w:val="2"/>
          <w:sz w:val="21"/>
        </w:rPr>
      </w:pPr>
      <w:r>
        <w:rPr>
          <w:rFonts w:ascii="Times New Roman" w:eastAsia="黑体" w:hAnsi="Times New Roman"/>
          <w:b w:val="0"/>
          <w:kern w:val="2"/>
          <w:sz w:val="21"/>
        </w:rPr>
        <w:t>电力线路敷设</w:t>
      </w:r>
    </w:p>
    <w:p w:rsidR="009846C2" w:rsidRDefault="00A433A0">
      <w:pPr>
        <w:pStyle w:val="11"/>
        <w:keepNext w:val="0"/>
        <w:keepLines w:val="0"/>
        <w:numPr>
          <w:ilvl w:val="0"/>
          <w:numId w:val="117"/>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架空电力线路</w:t>
      </w:r>
    </w:p>
    <w:p w:rsidR="009846C2" w:rsidRDefault="00A433A0">
      <w:pPr>
        <w:pStyle w:val="11"/>
        <w:keepNext w:val="0"/>
        <w:keepLines w:val="0"/>
        <w:numPr>
          <w:ilvl w:val="0"/>
          <w:numId w:val="118"/>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检查数量：全数检查。</w:t>
      </w:r>
    </w:p>
    <w:p w:rsidR="009846C2" w:rsidRDefault="00A433A0">
      <w:pPr>
        <w:pStyle w:val="11"/>
        <w:keepNext w:val="0"/>
        <w:keepLines w:val="0"/>
        <w:numPr>
          <w:ilvl w:val="0"/>
          <w:numId w:val="118"/>
        </w:numPr>
        <w:tabs>
          <w:tab w:val="left" w:pos="0"/>
        </w:tabs>
        <w:topLinePunct/>
        <w:autoSpaceDE/>
        <w:autoSpaceDN/>
        <w:snapToGrid w:val="0"/>
        <w:spacing w:before="0" w:after="0" w:line="360" w:lineRule="exact"/>
        <w:ind w:firstLineChars="200" w:firstLine="420"/>
        <w:jc w:val="both"/>
        <w:outlineLvl w:val="9"/>
        <w:rPr>
          <w:rFonts w:ascii="Times New Roman" w:eastAsia="黑体" w:hAnsi="Times New Roman"/>
          <w:b w:val="0"/>
          <w:kern w:val="2"/>
          <w:sz w:val="21"/>
        </w:rPr>
      </w:pPr>
      <w:r>
        <w:rPr>
          <w:rFonts w:ascii="Times New Roman" w:eastAsiaTheme="minorEastAsia" w:hAnsi="Times New Roman"/>
          <w:b w:val="0"/>
          <w:kern w:val="2"/>
          <w:sz w:val="21"/>
        </w:rPr>
        <w:t>验收标准和验收方法：见表</w:t>
      </w:r>
      <w:r>
        <w:rPr>
          <w:rFonts w:ascii="Times New Roman" w:eastAsiaTheme="minorEastAsia" w:hAnsi="Times New Roman"/>
          <w:b w:val="0"/>
          <w:kern w:val="2"/>
          <w:sz w:val="21"/>
        </w:rPr>
        <w:t>8.2.1</w:t>
      </w:r>
      <w:r>
        <w:rPr>
          <w:rFonts w:ascii="Times New Roman" w:eastAsiaTheme="minorEastAsia" w:hAnsi="Times New Roman"/>
          <w:b w:val="0"/>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8.2.1</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架空电力线路验收标准和检验方法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架空电力线路</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与甲、乙类厂房（仓库），燃材料堆垛，甲、乙、丙类液体储罐，液化石油气储罐，可燃、助燃气体储罐的最近水平距离不应小于电杆（塔）高度的</w:t>
            </w:r>
            <w:r>
              <w:rPr>
                <w:rFonts w:ascii="Times New Roman" w:eastAsia="宋体" w:hAnsi="Times New Roman" w:cs="Times New Roman"/>
                <w:kern w:val="2"/>
                <w:sz w:val="15"/>
                <w:szCs w:val="15"/>
              </w:rPr>
              <w:t>1.5</w:t>
            </w:r>
            <w:r>
              <w:rPr>
                <w:rFonts w:ascii="Times New Roman" w:eastAsia="宋体" w:hAnsi="Times New Roman" w:cs="Times New Roman"/>
                <w:kern w:val="2"/>
                <w:sz w:val="15"/>
                <w:szCs w:val="15"/>
              </w:rPr>
              <w:t>倍</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与直埋地下的甲乙类液体储罐和可燃气体储罐的最近水平距离不应小于电杆（塔）高度的</w:t>
            </w:r>
            <w:r>
              <w:rPr>
                <w:rFonts w:ascii="Times New Roman" w:eastAsia="宋体" w:hAnsi="Times New Roman" w:cs="Times New Roman"/>
                <w:kern w:val="2"/>
                <w:sz w:val="15"/>
                <w:szCs w:val="15"/>
              </w:rPr>
              <w:t>0.75</w:t>
            </w:r>
            <w:r>
              <w:rPr>
                <w:rFonts w:ascii="Times New Roman" w:eastAsia="宋体" w:hAnsi="Times New Roman" w:cs="Times New Roman"/>
                <w:kern w:val="2"/>
                <w:sz w:val="15"/>
                <w:szCs w:val="15"/>
              </w:rPr>
              <w:t>倍</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与丙类液体储罐的最近水平距离不应小于</w:t>
            </w:r>
            <w:r>
              <w:rPr>
                <w:rFonts w:ascii="Times New Roman" w:eastAsia="宋体" w:hAnsi="Times New Roman" w:cs="Times New Roman"/>
                <w:kern w:val="2"/>
                <w:sz w:val="15"/>
                <w:szCs w:val="15"/>
              </w:rPr>
              <w:lastRenderedPageBreak/>
              <w:t>电杆（塔）高度的</w:t>
            </w:r>
            <w:r>
              <w:rPr>
                <w:rFonts w:ascii="Times New Roman" w:eastAsia="宋体" w:hAnsi="Times New Roman" w:cs="Times New Roman"/>
                <w:kern w:val="2"/>
                <w:sz w:val="15"/>
                <w:szCs w:val="15"/>
              </w:rPr>
              <w:t>1.2</w:t>
            </w:r>
            <w:r>
              <w:rPr>
                <w:rFonts w:ascii="Times New Roman" w:eastAsia="宋体" w:hAnsi="Times New Roman" w:cs="Times New Roman"/>
                <w:kern w:val="2"/>
                <w:sz w:val="15"/>
                <w:szCs w:val="15"/>
              </w:rPr>
              <w:t>倍</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现场测量、</w:t>
            </w: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与直埋地下的丙类液体储罐的最近水平距离不应小于电杆（塔）高度的</w:t>
            </w:r>
            <w:r>
              <w:rPr>
                <w:rFonts w:ascii="Times New Roman" w:eastAsia="宋体" w:hAnsi="Times New Roman" w:cs="Times New Roman"/>
                <w:kern w:val="2"/>
                <w:sz w:val="15"/>
                <w:szCs w:val="15"/>
              </w:rPr>
              <w:t>0.6</w:t>
            </w:r>
            <w:r>
              <w:rPr>
                <w:rFonts w:ascii="Times New Roman" w:eastAsia="宋体" w:hAnsi="Times New Roman" w:cs="Times New Roman"/>
                <w:kern w:val="2"/>
                <w:sz w:val="15"/>
                <w:szCs w:val="15"/>
              </w:rPr>
              <w:t>倍</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35kV</w:t>
            </w:r>
            <w:r>
              <w:rPr>
                <w:rFonts w:ascii="Times New Roman" w:eastAsia="宋体" w:hAnsi="Times New Roman" w:cs="Times New Roman"/>
                <w:kern w:val="2"/>
                <w:sz w:val="15"/>
                <w:szCs w:val="15"/>
              </w:rPr>
              <w:t>及以上架空电力线与单罐容积大于</w:t>
            </w:r>
            <w:r>
              <w:rPr>
                <w:rFonts w:ascii="Times New Roman" w:eastAsia="宋体" w:hAnsi="Times New Roman" w:cs="Times New Roman"/>
                <w:kern w:val="2"/>
                <w:sz w:val="15"/>
                <w:szCs w:val="15"/>
              </w:rPr>
              <w:t>200m</w:t>
            </w:r>
            <w:r>
              <w:rPr>
                <w:rFonts w:ascii="Times New Roman" w:eastAsia="宋体" w:hAnsi="Times New Roman" w:cs="Times New Roman"/>
                <w:kern w:val="2"/>
                <w:sz w:val="15"/>
                <w:szCs w:val="15"/>
                <w:vertAlign w:val="superscript"/>
              </w:rPr>
              <w:t>3</w:t>
            </w:r>
            <w:r>
              <w:rPr>
                <w:rFonts w:ascii="Times New Roman" w:eastAsia="宋体" w:hAnsi="Times New Roman" w:cs="Times New Roman"/>
                <w:kern w:val="2"/>
                <w:sz w:val="15"/>
                <w:szCs w:val="15"/>
              </w:rPr>
              <w:t>或总容积大于</w:t>
            </w:r>
            <w:r>
              <w:rPr>
                <w:rFonts w:ascii="Times New Roman" w:eastAsia="宋体" w:hAnsi="Times New Roman" w:cs="Times New Roman"/>
                <w:kern w:val="2"/>
                <w:sz w:val="15"/>
                <w:szCs w:val="15"/>
              </w:rPr>
              <w:t>1000m</w:t>
            </w:r>
            <w:r>
              <w:rPr>
                <w:rFonts w:ascii="Times New Roman" w:eastAsia="宋体" w:hAnsi="Times New Roman" w:cs="Times New Roman"/>
                <w:kern w:val="2"/>
                <w:sz w:val="15"/>
                <w:szCs w:val="15"/>
                <w:vertAlign w:val="superscript"/>
              </w:rPr>
              <w:t>3</w:t>
            </w:r>
            <w:r>
              <w:rPr>
                <w:rFonts w:ascii="Times New Roman" w:eastAsia="宋体" w:hAnsi="Times New Roman" w:cs="Times New Roman"/>
                <w:kern w:val="2"/>
                <w:sz w:val="15"/>
                <w:szCs w:val="15"/>
              </w:rPr>
              <w:t>液化石油气储罐（区）的最近水平距离不应小于</w:t>
            </w:r>
            <w:r>
              <w:rPr>
                <w:rFonts w:ascii="Times New Roman" w:eastAsia="宋体" w:hAnsi="Times New Roman" w:cs="Times New Roman"/>
                <w:kern w:val="2"/>
                <w:sz w:val="15"/>
                <w:szCs w:val="15"/>
              </w:rPr>
              <w:t>40m</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现场测量、现场检查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17"/>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电缆直埋敷设</w:t>
      </w:r>
    </w:p>
    <w:p w:rsidR="009846C2" w:rsidRDefault="00A433A0">
      <w:pPr>
        <w:pStyle w:val="11"/>
        <w:keepNext w:val="0"/>
        <w:keepLines w:val="0"/>
        <w:numPr>
          <w:ilvl w:val="0"/>
          <w:numId w:val="119"/>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检查数量：全数检查。</w:t>
      </w:r>
    </w:p>
    <w:p w:rsidR="009846C2" w:rsidRDefault="00A433A0">
      <w:pPr>
        <w:pStyle w:val="11"/>
        <w:keepNext w:val="0"/>
        <w:keepLines w:val="0"/>
        <w:numPr>
          <w:ilvl w:val="0"/>
          <w:numId w:val="119"/>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验收标准和验收方法：见表</w:t>
      </w:r>
      <w:r>
        <w:rPr>
          <w:rFonts w:ascii="Times New Roman" w:eastAsiaTheme="minorEastAsia" w:hAnsi="Times New Roman"/>
          <w:b w:val="0"/>
          <w:kern w:val="2"/>
          <w:sz w:val="21"/>
        </w:rPr>
        <w:t>8.2.2</w:t>
      </w:r>
      <w:r>
        <w:rPr>
          <w:rFonts w:ascii="Times New Roman" w:eastAsiaTheme="minorEastAsia" w:hAnsi="Times New Roman"/>
          <w:b w:val="0"/>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8.2.2</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电缆直埋敷设验收标准和检验方法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3"/>
        <w:gridCol w:w="1071"/>
        <w:gridCol w:w="2458"/>
        <w:gridCol w:w="1190"/>
        <w:gridCol w:w="412"/>
        <w:gridCol w:w="408"/>
      </w:tblGrid>
      <w:tr w:rsidR="009846C2">
        <w:trPr>
          <w:tblHeader/>
        </w:trPr>
        <w:tc>
          <w:tcPr>
            <w:tcW w:w="413"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1071"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458"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1190"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2"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08"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3"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1071" w:type="dxa"/>
            <w:vMerge w:val="restart"/>
            <w:vAlign w:val="center"/>
          </w:tcPr>
          <w:p w:rsidR="009846C2" w:rsidRDefault="00A433A0">
            <w:pPr>
              <w:widowControl w:val="0"/>
              <w:tabs>
                <w:tab w:val="left" w:pos="0"/>
              </w:tabs>
              <w:topLinePunct/>
              <w:spacing w:line="32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电缆直埋敷设</w:t>
            </w:r>
          </w:p>
        </w:tc>
        <w:tc>
          <w:tcPr>
            <w:tcW w:w="2458"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直埋敷设的电缆不得平行敷设于地下管道的正上方或正下方</w:t>
            </w:r>
          </w:p>
        </w:tc>
        <w:tc>
          <w:tcPr>
            <w:tcW w:w="1190"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查验隐蔽工程的施工记录</w:t>
            </w:r>
          </w:p>
        </w:tc>
        <w:tc>
          <w:tcPr>
            <w:tcW w:w="412"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08"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3"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1071"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458"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与油管或易（可）燃气管道最小距离不应小于</w:t>
            </w:r>
            <w:r>
              <w:rPr>
                <w:rFonts w:ascii="Times New Roman" w:eastAsia="宋体" w:hAnsi="Times New Roman" w:cs="Times New Roman"/>
                <w:kern w:val="2"/>
                <w:sz w:val="15"/>
                <w:szCs w:val="15"/>
              </w:rPr>
              <w:t>1.0m</w:t>
            </w:r>
          </w:p>
        </w:tc>
        <w:tc>
          <w:tcPr>
            <w:tcW w:w="1190"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查验隐蔽工程的施工记录</w:t>
            </w:r>
          </w:p>
        </w:tc>
        <w:tc>
          <w:tcPr>
            <w:tcW w:w="412"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08"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3"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1071"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458"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直埋电缆接头与邻近电缆的净距不得小于</w:t>
            </w:r>
            <w:r>
              <w:rPr>
                <w:rFonts w:ascii="Times New Roman" w:eastAsia="宋体" w:hAnsi="Times New Roman" w:cs="Times New Roman"/>
                <w:kern w:val="2"/>
                <w:sz w:val="15"/>
                <w:szCs w:val="15"/>
              </w:rPr>
              <w:t>0.25m</w:t>
            </w:r>
            <w:r>
              <w:rPr>
                <w:rFonts w:ascii="Times New Roman" w:eastAsia="宋体" w:hAnsi="Times New Roman" w:cs="Times New Roman"/>
                <w:kern w:val="2"/>
                <w:sz w:val="15"/>
                <w:szCs w:val="15"/>
              </w:rPr>
              <w:t>；并列电缆的接头位置宜相互错开，且净距不宜小于</w:t>
            </w:r>
            <w:r>
              <w:rPr>
                <w:rFonts w:ascii="Times New Roman" w:eastAsia="宋体" w:hAnsi="Times New Roman" w:cs="Times New Roman"/>
                <w:kern w:val="2"/>
                <w:sz w:val="15"/>
                <w:szCs w:val="15"/>
              </w:rPr>
              <w:t>0.5m</w:t>
            </w:r>
          </w:p>
        </w:tc>
        <w:tc>
          <w:tcPr>
            <w:tcW w:w="1190"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查验隐蔽工程的施工记录</w:t>
            </w:r>
          </w:p>
        </w:tc>
        <w:tc>
          <w:tcPr>
            <w:tcW w:w="412"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08"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17"/>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电缆沟敷设</w:t>
      </w:r>
    </w:p>
    <w:p w:rsidR="009846C2" w:rsidRDefault="00A433A0">
      <w:pPr>
        <w:pStyle w:val="11"/>
        <w:keepNext w:val="0"/>
        <w:keepLines w:val="0"/>
        <w:numPr>
          <w:ilvl w:val="0"/>
          <w:numId w:val="120"/>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检查数量：全数检查。</w:t>
      </w:r>
    </w:p>
    <w:p w:rsidR="009846C2" w:rsidRDefault="00A433A0">
      <w:pPr>
        <w:pStyle w:val="11"/>
        <w:keepNext w:val="0"/>
        <w:keepLines w:val="0"/>
        <w:numPr>
          <w:ilvl w:val="0"/>
          <w:numId w:val="120"/>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验收标准和验收方法：见表</w:t>
      </w:r>
      <w:r>
        <w:rPr>
          <w:rFonts w:ascii="Times New Roman" w:eastAsiaTheme="minorEastAsia" w:hAnsi="Times New Roman"/>
          <w:b w:val="0"/>
          <w:kern w:val="2"/>
          <w:sz w:val="21"/>
        </w:rPr>
        <w:t>8.2.3</w:t>
      </w:r>
      <w:r>
        <w:rPr>
          <w:rFonts w:ascii="Times New Roman" w:eastAsiaTheme="minorEastAsia" w:hAnsi="Times New Roman"/>
          <w:b w:val="0"/>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kern w:val="2"/>
          <w:sz w:val="18"/>
          <w:szCs w:val="18"/>
        </w:rPr>
      </w:pPr>
      <w:r>
        <w:rPr>
          <w:rFonts w:ascii="Times New Roman" w:eastAsia="黑体" w:hAnsi="Times New Roman" w:cs="Times New Roman"/>
          <w:b/>
          <w:kern w:val="2"/>
          <w:sz w:val="18"/>
          <w:szCs w:val="18"/>
        </w:rPr>
        <w:t>表</w:t>
      </w:r>
      <w:r>
        <w:rPr>
          <w:rFonts w:ascii="Times New Roman" w:eastAsia="黑体" w:hAnsi="Times New Roman" w:cs="Times New Roman"/>
          <w:b/>
          <w:kern w:val="2"/>
          <w:sz w:val="18"/>
          <w:szCs w:val="18"/>
        </w:rPr>
        <w:t xml:space="preserve">8.2.3  </w:t>
      </w:r>
      <w:r>
        <w:rPr>
          <w:rFonts w:ascii="Times New Roman" w:eastAsia="黑体" w:hAnsi="Times New Roman" w:cs="Times New Roman"/>
          <w:bCs/>
          <w:kern w:val="2"/>
          <w:sz w:val="18"/>
          <w:szCs w:val="18"/>
        </w:rPr>
        <w:t>电缆沟敷设验收标准和检验方法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1</w:t>
            </w:r>
          </w:p>
        </w:tc>
        <w:tc>
          <w:tcPr>
            <w:tcW w:w="893" w:type="dxa"/>
            <w:vMerge w:val="restart"/>
            <w:vAlign w:val="center"/>
          </w:tcPr>
          <w:p w:rsidR="009846C2" w:rsidRDefault="00A433A0">
            <w:pPr>
              <w:widowControl w:val="0"/>
              <w:tabs>
                <w:tab w:val="left" w:pos="0"/>
              </w:tabs>
              <w:topLinePunct/>
              <w:spacing w:line="300" w:lineRule="exact"/>
              <w:jc w:val="center"/>
              <w:rPr>
                <w:rStyle w:val="af0"/>
                <w:rFonts w:ascii="Times New Roman" w:hAnsi="Times New Roman" w:cs="Times New Roman"/>
                <w:kern w:val="2"/>
                <w:sz w:val="15"/>
                <w:szCs w:val="15"/>
              </w:rPr>
            </w:pPr>
            <w:r>
              <w:rPr>
                <w:rStyle w:val="af0"/>
                <w:rFonts w:ascii="Times New Roman" w:hAnsi="Times New Roman" w:cs="Times New Roman"/>
                <w:kern w:val="2"/>
                <w:sz w:val="15"/>
                <w:szCs w:val="15"/>
              </w:rPr>
              <w:t>一</w:t>
            </w:r>
            <w:r>
              <w:rPr>
                <w:rFonts w:ascii="Times New Roman" w:eastAsia="宋体" w:hAnsi="Times New Roman" w:cs="Times New Roman"/>
                <w:kern w:val="2"/>
                <w:sz w:val="15"/>
                <w:szCs w:val="15"/>
              </w:rPr>
              <w:t>般规定</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电缆沟内不得布置热力管道，严禁有易燃气体或易燃液体的管道穿越</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配电装置场地上靠近带油电气设备的电缆沟，应采取密封等防火措施</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防火分隔、防火封阻</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电缆沟与各建筑物、控制室或配电装置室的沟道出入口、厂区围墙处应设置防火分隔</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电缆沟长度超过</w:t>
            </w:r>
            <w:r>
              <w:rPr>
                <w:rFonts w:ascii="Times New Roman" w:eastAsia="宋体" w:hAnsi="Times New Roman" w:cs="Times New Roman"/>
                <w:kern w:val="2"/>
                <w:sz w:val="15"/>
                <w:szCs w:val="15"/>
              </w:rPr>
              <w:t>100m</w:t>
            </w:r>
            <w:r>
              <w:rPr>
                <w:rFonts w:ascii="Times New Roman" w:eastAsia="宋体" w:hAnsi="Times New Roman" w:cs="Times New Roman"/>
                <w:kern w:val="2"/>
                <w:sz w:val="15"/>
                <w:szCs w:val="15"/>
              </w:rPr>
              <w:t>应设置防止电缆火灾蔓延的分隔措施</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公用主沟道的分支处应设置防火分隔</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阻火分隔包括设置防火门、防火墙、耐火隔板与封闭式耐火槽盒。防火门、防火墙用于电缆沟分支处及出入口</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防火墙上的电缆孔洞应采用电缆防火封堵材料或防火封堵组件进行封堵，其防火封堵组件的耐火极限应为</w:t>
            </w:r>
            <w:r>
              <w:rPr>
                <w:rFonts w:ascii="Times New Roman" w:eastAsia="宋体" w:hAnsi="Times New Roman" w:cs="Times New Roman"/>
                <w:kern w:val="2"/>
                <w:sz w:val="15"/>
                <w:szCs w:val="15"/>
              </w:rPr>
              <w:t>3.0h</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防火墙两侧长度不小于</w:t>
            </w:r>
            <w:r>
              <w:rPr>
                <w:rFonts w:ascii="Times New Roman" w:eastAsia="宋体" w:hAnsi="Times New Roman" w:cs="Times New Roman"/>
                <w:kern w:val="2"/>
                <w:sz w:val="15"/>
                <w:szCs w:val="15"/>
              </w:rPr>
              <w:t>2.0m</w:t>
            </w:r>
            <w:r>
              <w:rPr>
                <w:rFonts w:ascii="Times New Roman" w:eastAsia="宋体" w:hAnsi="Times New Roman" w:cs="Times New Roman"/>
                <w:kern w:val="2"/>
                <w:sz w:val="15"/>
                <w:szCs w:val="15"/>
              </w:rPr>
              <w:t>内的电缆应涂刷防火涂料或缠绕防火包带。</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电缆沟内的防火墙底部应留有排水孔洞，防火墙上部的盖板表面做明显且不易褪色的标记</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在电缆导管进入电缆沟的端口处用防火封堵材料密实封堵</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孔洞封堵应严实可靠，不应有明显的裂缝和可见的孔隙，堵体表面平整，孔洞较大者应加耐火衬板后再进行封堵。有机防火堵料封堵不应有透光、漏风、龟裂、脱落、硬化现象；无机防火堵料封堵不应有粉化、开裂等缺陷。防火包的堆砌应密实牢固，外</w:t>
            </w:r>
            <w:r>
              <w:rPr>
                <w:rFonts w:ascii="Times New Roman" w:eastAsia="宋体" w:hAnsi="Times New Roman" w:cs="Times New Roman"/>
                <w:kern w:val="2"/>
                <w:sz w:val="15"/>
                <w:szCs w:val="15"/>
              </w:rPr>
              <w:lastRenderedPageBreak/>
              <w:t>观应整齐，不应透光</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电缆线路防火阻燃设施应保证必要的强度，封堵部位应能长期使用，不应发生破损、散落、坍塌等现象</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17"/>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电缆隧道敷设</w:t>
      </w:r>
    </w:p>
    <w:p w:rsidR="009846C2" w:rsidRDefault="00A433A0">
      <w:pPr>
        <w:pStyle w:val="11"/>
        <w:keepNext w:val="0"/>
        <w:keepLines w:val="0"/>
        <w:numPr>
          <w:ilvl w:val="0"/>
          <w:numId w:val="121"/>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检查数量：全数检查。</w:t>
      </w:r>
    </w:p>
    <w:p w:rsidR="009846C2" w:rsidRDefault="00A433A0">
      <w:pPr>
        <w:pStyle w:val="11"/>
        <w:keepNext w:val="0"/>
        <w:keepLines w:val="0"/>
        <w:numPr>
          <w:ilvl w:val="0"/>
          <w:numId w:val="121"/>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验收标准和验收方法：见表</w:t>
      </w:r>
      <w:r>
        <w:rPr>
          <w:rFonts w:ascii="Times New Roman" w:eastAsiaTheme="minorEastAsia" w:hAnsi="Times New Roman"/>
          <w:b w:val="0"/>
          <w:kern w:val="2"/>
          <w:sz w:val="21"/>
        </w:rPr>
        <w:t>8.2.4</w:t>
      </w:r>
      <w:r>
        <w:rPr>
          <w:rFonts w:ascii="Times New Roman" w:eastAsiaTheme="minorEastAsia" w:hAnsi="Times New Roman"/>
          <w:b w:val="0"/>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8.2.4</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电缆隧道敷设验收标准和检验方法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4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00" w:lineRule="exact"/>
              <w:jc w:val="center"/>
              <w:rPr>
                <w:rStyle w:val="af0"/>
                <w:rFonts w:ascii="Times New Roman" w:hAnsi="Times New Roman" w:cs="Times New Roman"/>
                <w:kern w:val="2"/>
                <w:sz w:val="15"/>
                <w:szCs w:val="15"/>
              </w:rPr>
            </w:pPr>
            <w:r>
              <w:rPr>
                <w:rStyle w:val="af0"/>
                <w:rFonts w:ascii="Times New Roman" w:hAnsi="Times New Roman" w:cs="Times New Roman"/>
                <w:kern w:val="2"/>
                <w:sz w:val="15"/>
                <w:szCs w:val="15"/>
              </w:rPr>
              <w:t>一</w:t>
            </w:r>
            <w:r>
              <w:rPr>
                <w:rFonts w:ascii="Times New Roman" w:eastAsia="宋体" w:hAnsi="Times New Roman" w:cs="Times New Roman"/>
                <w:kern w:val="2"/>
                <w:sz w:val="15"/>
                <w:szCs w:val="15"/>
              </w:rPr>
              <w:t>般规定</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电缆通道中不得布置热力管道，严禁易燃气体或易燃液体的管道穿越</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长距离隧道中按通风区段分隔的防火墙部位应设置防火门，防火墙、防火门应符合消防设计文件</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tcBorders>
              <w:bottom w:val="single" w:sz="4" w:space="0" w:color="auto"/>
            </w:tcBorders>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tcBorders>
              <w:bottom w:val="single" w:sz="4" w:space="0" w:color="auto"/>
            </w:tcBorders>
            <w:vAlign w:val="center"/>
          </w:tcPr>
          <w:p w:rsidR="009846C2" w:rsidRDefault="009846C2">
            <w:pPr>
              <w:widowControl w:val="0"/>
              <w:tabs>
                <w:tab w:val="left" w:pos="0"/>
              </w:tabs>
              <w:topLinePunct/>
              <w:spacing w:line="300" w:lineRule="exact"/>
              <w:jc w:val="center"/>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隧道人员出入（检修）口的门应为乙级防火门，并向疏散方向开启</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tcBorders>
              <w:top w:val="single" w:sz="4" w:space="0" w:color="auto"/>
            </w:tcBorders>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2</w:t>
            </w:r>
          </w:p>
        </w:tc>
        <w:tc>
          <w:tcPr>
            <w:tcW w:w="893" w:type="dxa"/>
            <w:vMerge w:val="restart"/>
            <w:tcBorders>
              <w:top w:val="single" w:sz="4" w:space="0" w:color="auto"/>
            </w:tcBorders>
            <w:vAlign w:val="center"/>
          </w:tcPr>
          <w:p w:rsidR="009846C2" w:rsidRDefault="00A433A0">
            <w:pPr>
              <w:widowControl w:val="0"/>
              <w:tabs>
                <w:tab w:val="left" w:pos="0"/>
              </w:tabs>
              <w:topLinePunct/>
              <w:spacing w:line="300" w:lineRule="exact"/>
              <w:jc w:val="center"/>
              <w:rPr>
                <w:rStyle w:val="af0"/>
                <w:rFonts w:ascii="Times New Roman" w:hAnsi="Times New Roman" w:cs="Times New Roman"/>
                <w:kern w:val="2"/>
                <w:sz w:val="15"/>
                <w:szCs w:val="15"/>
              </w:rPr>
            </w:pPr>
            <w:r>
              <w:rPr>
                <w:rFonts w:ascii="Times New Roman" w:eastAsia="宋体" w:hAnsi="Times New Roman" w:cs="Times New Roman"/>
                <w:kern w:val="2"/>
                <w:sz w:val="15"/>
                <w:szCs w:val="15"/>
              </w:rPr>
              <w:t>防火分隔、防火封堵</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电缆隧道相隔</w:t>
            </w:r>
            <w:r>
              <w:rPr>
                <w:rFonts w:ascii="Times New Roman" w:eastAsia="宋体" w:hAnsi="Times New Roman" w:cs="Times New Roman"/>
                <w:kern w:val="2"/>
                <w:sz w:val="15"/>
                <w:szCs w:val="15"/>
              </w:rPr>
              <w:t>100m</w:t>
            </w:r>
            <w:r>
              <w:rPr>
                <w:rFonts w:ascii="Times New Roman" w:eastAsia="宋体" w:hAnsi="Times New Roman" w:cs="Times New Roman"/>
                <w:kern w:val="2"/>
                <w:sz w:val="15"/>
                <w:szCs w:val="15"/>
              </w:rPr>
              <w:t>处、电缆隧道的分支处、隧道通风区段处、电缆隧道至控制室或配电装置的入口设置防火墙或阻火段，防火墙、阻火段应符合消防设计文件</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高压电缆的中间接头应缠包自粘性防火包带或刷防火涂料，或用专用难燃或耐火接头盒</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电缆中间接头处在两侧电缆各约</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区段和该范围并列的其它电缆上缠绕自粘性防火</w:t>
            </w:r>
            <w:r>
              <w:rPr>
                <w:rFonts w:ascii="Times New Roman" w:eastAsia="宋体" w:hAnsi="Times New Roman" w:cs="Times New Roman"/>
                <w:kern w:val="2"/>
                <w:sz w:val="15"/>
                <w:szCs w:val="15"/>
              </w:rPr>
              <w:lastRenderedPageBreak/>
              <w:t>包带</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防火隔板安装应牢固，对工艺缺口与缝做较大静证要进何脚火封堵，外观应平整美观</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防火涂料的涂刷表面应光洁干燥，涂刷应均匀，不应有漏涂现象</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电缆贯穿隔墙的孔洞处、电缆引至控制设施处等均应实施具有足够机械强度的防火封堵。防火封堵材料应密实无气孔，封堵材料厚度不应小于</w:t>
            </w:r>
            <w:r>
              <w:rPr>
                <w:rFonts w:ascii="Times New Roman" w:eastAsia="宋体" w:hAnsi="Times New Roman" w:cs="Times New Roman"/>
                <w:kern w:val="2"/>
                <w:sz w:val="15"/>
                <w:szCs w:val="15"/>
              </w:rPr>
              <w:t>100mm</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隧道和电缆沟、竖井接口处应采用防火包等材料封堵</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防火墙上的电缆孔洞应采用电缆防火封堵材料或防火封堵组件进行封堵，并应采取防止火焰延燃的措施，其防火封堵组件的耐火极限应为</w:t>
            </w:r>
            <w:r>
              <w:rPr>
                <w:rFonts w:ascii="Times New Roman" w:eastAsia="宋体" w:hAnsi="Times New Roman" w:cs="Times New Roman"/>
                <w:kern w:val="2"/>
                <w:sz w:val="15"/>
                <w:szCs w:val="15"/>
              </w:rPr>
              <w:t>3.0h</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在电缆进出隧道处用防火封堵材料密实封堵</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有机防火堵料封堵应牢固严实，无脱落现象，表面应平整光洁</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无机防火堵料的封堵表面应平整光洁，不得有粉化、不硬化、开裂等缺陷</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消防配电应符合消防设计文件，验收标准和验收方法应符合本标准的相关规定</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消防电气设备安装应牢固，电气设备防护等级应采取防水防潮措施，防护等级不应低于</w:t>
            </w:r>
            <w:r>
              <w:rPr>
                <w:rFonts w:ascii="Times New Roman" w:eastAsia="宋体" w:hAnsi="Times New Roman" w:cs="Times New Roman"/>
                <w:kern w:val="2"/>
                <w:sz w:val="15"/>
                <w:szCs w:val="15"/>
              </w:rPr>
              <w:t>IP54</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应急照明系统设置应符合消防设计文件，验收标准和验收方法应符合本标准的相关规</w:t>
            </w:r>
            <w:r>
              <w:rPr>
                <w:rFonts w:ascii="Times New Roman" w:eastAsia="宋体" w:hAnsi="Times New Roman" w:cs="Times New Roman"/>
                <w:kern w:val="2"/>
                <w:sz w:val="15"/>
                <w:szCs w:val="15"/>
              </w:rPr>
              <w:lastRenderedPageBreak/>
              <w:t>定</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灯具应采取防水防潮措施，防护等级不应低于</w:t>
            </w:r>
            <w:r>
              <w:rPr>
                <w:rFonts w:ascii="Times New Roman" w:eastAsia="宋体" w:hAnsi="Times New Roman" w:cs="Times New Roman"/>
                <w:kern w:val="2"/>
                <w:sz w:val="15"/>
                <w:szCs w:val="15"/>
              </w:rPr>
              <w:t>IP65</w:t>
            </w:r>
            <w:r>
              <w:rPr>
                <w:rFonts w:ascii="Times New Roman" w:eastAsia="宋体" w:hAnsi="Times New Roman" w:cs="Times New Roman"/>
                <w:kern w:val="2"/>
                <w:sz w:val="15"/>
                <w:szCs w:val="15"/>
              </w:rPr>
              <w:t>，并应具有防外力冲撞的防护措施</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管廊内疏散应急照明照度不应低于</w:t>
            </w:r>
            <w:r>
              <w:rPr>
                <w:rFonts w:ascii="Times New Roman" w:eastAsia="宋体" w:hAnsi="Times New Roman" w:cs="Times New Roman"/>
                <w:kern w:val="2"/>
                <w:sz w:val="15"/>
                <w:szCs w:val="15"/>
              </w:rPr>
              <w:t>5lx</w:t>
            </w:r>
            <w:r>
              <w:rPr>
                <w:rFonts w:ascii="Times New Roman" w:eastAsia="宋体" w:hAnsi="Times New Roman" w:cs="Times New Roman"/>
                <w:kern w:val="2"/>
                <w:sz w:val="15"/>
                <w:szCs w:val="15"/>
              </w:rPr>
              <w:t>，应急电源持续供电时间不应小于</w:t>
            </w:r>
            <w:r>
              <w:rPr>
                <w:rFonts w:ascii="Times New Roman" w:eastAsia="宋体" w:hAnsi="Times New Roman" w:cs="Times New Roman"/>
                <w:kern w:val="2"/>
                <w:sz w:val="15"/>
                <w:szCs w:val="15"/>
              </w:rPr>
              <w:t>60min</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Merge w:val="restart"/>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火灾自动报警系统</w:t>
            </w: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火灾自动报警系统设置应符合消防设计文件，验收标准和验收方法应符合本标准的相关规定</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0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0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电缆隧道应设置电气火灾监控系统。在电缆接头处应设置自动灭火装置</w:t>
            </w:r>
          </w:p>
        </w:tc>
        <w:tc>
          <w:tcPr>
            <w:tcW w:w="893"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0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00" w:lineRule="exact"/>
              <w:jc w:val="center"/>
              <w:rPr>
                <w:rFonts w:ascii="Times New Roman" w:eastAsia="宋体" w:hAnsi="Times New Roman" w:cs="Times New Roman"/>
                <w:kern w:val="2"/>
                <w:sz w:val="15"/>
                <w:szCs w:val="15"/>
              </w:rPr>
            </w:pPr>
          </w:p>
        </w:tc>
      </w:tr>
    </w:tbl>
    <w:p w:rsidR="009846C2" w:rsidRDefault="00A433A0">
      <w:pPr>
        <w:pStyle w:val="11"/>
        <w:keepNext w:val="0"/>
        <w:keepLines w:val="0"/>
        <w:numPr>
          <w:ilvl w:val="0"/>
          <w:numId w:val="117"/>
        </w:numPr>
        <w:tabs>
          <w:tab w:val="left" w:pos="0"/>
        </w:tabs>
        <w:topLinePunct/>
        <w:autoSpaceDE/>
        <w:autoSpaceDN/>
        <w:spacing w:before="0" w:after="0" w:line="360" w:lineRule="exact"/>
        <w:ind w:left="0" w:firstLine="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综合管廊敷设</w:t>
      </w:r>
    </w:p>
    <w:p w:rsidR="009846C2" w:rsidRDefault="00A433A0">
      <w:pPr>
        <w:pStyle w:val="11"/>
        <w:keepNext w:val="0"/>
        <w:keepLines w:val="0"/>
        <w:numPr>
          <w:ilvl w:val="0"/>
          <w:numId w:val="122"/>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检查数量：全数检查。</w:t>
      </w:r>
    </w:p>
    <w:p w:rsidR="009846C2" w:rsidRDefault="00A433A0">
      <w:pPr>
        <w:pStyle w:val="11"/>
        <w:keepNext w:val="0"/>
        <w:keepLines w:val="0"/>
        <w:numPr>
          <w:ilvl w:val="0"/>
          <w:numId w:val="122"/>
        </w:numPr>
        <w:tabs>
          <w:tab w:val="left" w:pos="0"/>
        </w:tabs>
        <w:topLinePunct/>
        <w:autoSpaceDE/>
        <w:autoSpaceDN/>
        <w:snapToGrid w:val="0"/>
        <w:spacing w:before="0" w:after="0" w:line="360" w:lineRule="exact"/>
        <w:ind w:firstLineChars="200" w:firstLine="420"/>
        <w:jc w:val="both"/>
        <w:outlineLvl w:val="9"/>
        <w:rPr>
          <w:rFonts w:ascii="Times New Roman" w:eastAsiaTheme="minorEastAsia" w:hAnsi="Times New Roman"/>
          <w:b w:val="0"/>
          <w:kern w:val="2"/>
          <w:sz w:val="21"/>
        </w:rPr>
      </w:pPr>
      <w:r>
        <w:rPr>
          <w:rFonts w:ascii="Times New Roman" w:eastAsiaTheme="minorEastAsia" w:hAnsi="Times New Roman"/>
          <w:b w:val="0"/>
          <w:kern w:val="2"/>
          <w:sz w:val="21"/>
        </w:rPr>
        <w:t>验收标准和验收方法：见表</w:t>
      </w:r>
      <w:r>
        <w:rPr>
          <w:rFonts w:ascii="Times New Roman" w:eastAsiaTheme="minorEastAsia" w:hAnsi="Times New Roman"/>
          <w:b w:val="0"/>
          <w:kern w:val="2"/>
          <w:sz w:val="21"/>
        </w:rPr>
        <w:t>8.2.5</w:t>
      </w:r>
      <w:r>
        <w:rPr>
          <w:rFonts w:ascii="Times New Roman" w:eastAsiaTheme="minorEastAsia" w:hAnsi="Times New Roman"/>
          <w:b w:val="0"/>
          <w:kern w:val="2"/>
          <w:sz w:val="21"/>
        </w:rPr>
        <w:t>。</w:t>
      </w:r>
    </w:p>
    <w:p w:rsidR="009846C2" w:rsidRDefault="00A433A0">
      <w:pPr>
        <w:pStyle w:val="af1"/>
        <w:widowControl w:val="0"/>
        <w:tabs>
          <w:tab w:val="left" w:pos="0"/>
        </w:tabs>
        <w:topLinePunct/>
        <w:spacing w:line="360" w:lineRule="exact"/>
        <w:ind w:firstLineChars="0" w:firstLine="0"/>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b/>
          <w:kern w:val="2"/>
          <w:sz w:val="18"/>
          <w:szCs w:val="18"/>
        </w:rPr>
        <w:t>8.2.5</w:t>
      </w:r>
      <w:r>
        <w:rPr>
          <w:rFonts w:ascii="Times New Roman" w:eastAsia="黑体" w:hAnsi="Times New Roman" w:cs="Times New Roman"/>
          <w:kern w:val="2"/>
          <w:sz w:val="18"/>
          <w:szCs w:val="18"/>
        </w:rPr>
        <w:t xml:space="preserve">  </w:t>
      </w:r>
      <w:r>
        <w:rPr>
          <w:rFonts w:ascii="Times New Roman" w:eastAsia="黑体" w:hAnsi="Times New Roman" w:cs="Times New Roman"/>
          <w:kern w:val="2"/>
          <w:sz w:val="18"/>
          <w:szCs w:val="18"/>
        </w:rPr>
        <w:t>综合管廊敷设验收标准和检验方法</w:t>
      </w:r>
    </w:p>
    <w:tbl>
      <w:tblPr>
        <w:tblW w:w="5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16"/>
        <w:gridCol w:w="893"/>
        <w:gridCol w:w="2916"/>
        <w:gridCol w:w="893"/>
        <w:gridCol w:w="417"/>
        <w:gridCol w:w="417"/>
      </w:tblGrid>
      <w:tr w:rsidR="009846C2">
        <w:trPr>
          <w:tblHeader/>
        </w:trPr>
        <w:tc>
          <w:tcPr>
            <w:tcW w:w="416"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序号</w:t>
            </w:r>
          </w:p>
        </w:tc>
        <w:tc>
          <w:tcPr>
            <w:tcW w:w="893"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子项名称</w:t>
            </w:r>
          </w:p>
        </w:tc>
        <w:tc>
          <w:tcPr>
            <w:tcW w:w="2916"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验收标准</w:t>
            </w:r>
          </w:p>
        </w:tc>
        <w:tc>
          <w:tcPr>
            <w:tcW w:w="893"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验收方法</w:t>
            </w:r>
          </w:p>
        </w:tc>
        <w:tc>
          <w:tcPr>
            <w:tcW w:w="417"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类别</w:t>
            </w:r>
          </w:p>
        </w:tc>
        <w:tc>
          <w:tcPr>
            <w:tcW w:w="417" w:type="dxa"/>
            <w:vAlign w:val="center"/>
          </w:tcPr>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子项</w:t>
            </w:r>
          </w:p>
          <w:p w:rsidR="009846C2" w:rsidRDefault="00A433A0">
            <w:pPr>
              <w:widowControl w:val="0"/>
              <w:tabs>
                <w:tab w:val="left" w:pos="0"/>
              </w:tabs>
              <w:topLinePunct/>
              <w:spacing w:line="28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结论</w:t>
            </w:r>
          </w:p>
        </w:tc>
      </w:tr>
      <w:tr w:rsidR="009846C2">
        <w:tc>
          <w:tcPr>
            <w:tcW w:w="416"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1</w:t>
            </w:r>
          </w:p>
        </w:tc>
        <w:tc>
          <w:tcPr>
            <w:tcW w:w="893" w:type="dxa"/>
            <w:vMerge w:val="restart"/>
            <w:vAlign w:val="center"/>
          </w:tcPr>
          <w:p w:rsidR="009846C2" w:rsidRDefault="00A433A0">
            <w:pPr>
              <w:widowControl w:val="0"/>
              <w:tabs>
                <w:tab w:val="left" w:pos="0"/>
              </w:tabs>
              <w:topLinePunct/>
              <w:spacing w:line="320" w:lineRule="exact"/>
              <w:jc w:val="both"/>
              <w:rPr>
                <w:rStyle w:val="af0"/>
                <w:rFonts w:ascii="Times New Roman" w:hAnsi="Times New Roman" w:cs="Times New Roman"/>
                <w:kern w:val="2"/>
                <w:sz w:val="15"/>
                <w:szCs w:val="15"/>
              </w:rPr>
            </w:pPr>
            <w:r>
              <w:rPr>
                <w:rStyle w:val="af0"/>
                <w:rFonts w:ascii="Times New Roman" w:hAnsi="Times New Roman" w:cs="Times New Roman"/>
                <w:kern w:val="2"/>
                <w:sz w:val="15"/>
                <w:szCs w:val="15"/>
              </w:rPr>
              <w:t>一</w:t>
            </w:r>
            <w:r>
              <w:rPr>
                <w:rFonts w:ascii="Times New Roman" w:eastAsia="宋体" w:hAnsi="Times New Roman" w:cs="Times New Roman"/>
                <w:kern w:val="2"/>
                <w:sz w:val="15"/>
                <w:szCs w:val="15"/>
              </w:rPr>
              <w:t>般规定</w:t>
            </w: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热力管道、天然气管道不应与电力电缆同舱敷设</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综合管廊的每个舱室应设置人员出入口、逃生口、吊装口、进风口、排风口、管线分支口等</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逃生口尺寸不应小于</w:t>
            </w:r>
            <w:r>
              <w:rPr>
                <w:rFonts w:ascii="Times New Roman" w:eastAsia="宋体" w:hAnsi="Times New Roman" w:cs="Times New Roman"/>
                <w:kern w:val="2"/>
                <w:sz w:val="15"/>
                <w:szCs w:val="15"/>
              </w:rPr>
              <w:t>1m*1m</w:t>
            </w:r>
            <w:r>
              <w:rPr>
                <w:rFonts w:ascii="Times New Roman" w:eastAsia="宋体" w:hAnsi="Times New Roman" w:cs="Times New Roman"/>
                <w:kern w:val="2"/>
                <w:sz w:val="15"/>
                <w:szCs w:val="15"/>
              </w:rPr>
              <w:t>，当为圆形时，内径不应小于</w:t>
            </w:r>
            <w:r>
              <w:rPr>
                <w:rFonts w:ascii="Times New Roman" w:eastAsia="宋体" w:hAnsi="Times New Roman" w:cs="Times New Roman"/>
                <w:kern w:val="2"/>
                <w:sz w:val="15"/>
                <w:szCs w:val="15"/>
              </w:rPr>
              <w:t>1m</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电力电缆应采用阻燃电缆或不燃电缆，通信线缆应采用阻燃线缆</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A</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综合管廊内应设置事故后机械排烟设施</w:t>
            </w:r>
          </w:p>
        </w:tc>
        <w:tc>
          <w:tcPr>
            <w:tcW w:w="893" w:type="dxa"/>
            <w:vAlign w:val="center"/>
          </w:tcPr>
          <w:p w:rsidR="009846C2" w:rsidRDefault="00A433A0">
            <w:pPr>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atLeas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电缆通道中</w:t>
            </w:r>
            <w:r>
              <w:rPr>
                <w:rFonts w:ascii="Times New Roman" w:eastAsia="宋体" w:hAnsi="Times New Roman" w:cs="Times New Roman"/>
                <w:kern w:val="2"/>
                <w:sz w:val="15"/>
                <w:szCs w:val="15"/>
              </w:rPr>
              <w:t xml:space="preserve"> </w:t>
            </w:r>
            <w:r>
              <w:rPr>
                <w:rFonts w:ascii="Times New Roman" w:eastAsia="宋体" w:hAnsi="Times New Roman" w:cs="Times New Roman"/>
                <w:kern w:val="2"/>
                <w:sz w:val="15"/>
                <w:szCs w:val="15"/>
              </w:rPr>
              <w:t>严禁易燃气体或易燃液体的管道穿越</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tcBorders>
              <w:top w:val="single" w:sz="4" w:space="0" w:color="auto"/>
            </w:tcBorders>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tcBorders>
              <w:top w:val="single" w:sz="4" w:space="0" w:color="auto"/>
            </w:tcBorders>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敷设电力电缆的舱室应每隔</w:t>
            </w:r>
            <w:r>
              <w:rPr>
                <w:rFonts w:ascii="Times New Roman" w:eastAsia="宋体" w:hAnsi="Times New Roman" w:cs="Times New Roman"/>
                <w:kern w:val="2"/>
                <w:sz w:val="15"/>
                <w:szCs w:val="15"/>
              </w:rPr>
              <w:t>200m</w:t>
            </w:r>
            <w:r>
              <w:rPr>
                <w:rFonts w:ascii="Times New Roman" w:eastAsia="宋体" w:hAnsi="Times New Roman" w:cs="Times New Roman"/>
                <w:kern w:val="2"/>
                <w:sz w:val="15"/>
                <w:szCs w:val="15"/>
              </w:rPr>
              <w:t>采用耐火极限不低于</w:t>
            </w:r>
            <w:r>
              <w:rPr>
                <w:rFonts w:ascii="Times New Roman" w:eastAsia="宋体" w:hAnsi="Times New Roman" w:cs="Times New Roman"/>
                <w:kern w:val="2"/>
                <w:sz w:val="15"/>
                <w:szCs w:val="15"/>
              </w:rPr>
              <w:t>3.0h</w:t>
            </w:r>
            <w:r>
              <w:rPr>
                <w:rFonts w:ascii="Times New Roman" w:eastAsia="宋体" w:hAnsi="Times New Roman" w:cs="Times New Roman"/>
                <w:kern w:val="2"/>
                <w:sz w:val="15"/>
                <w:szCs w:val="15"/>
              </w:rPr>
              <w:t>的不燃性墙体进行防火分隔；防火分隔处的门应采用甲级防火门，管线穿越防火隔断部位应采用阻火包等防火封堵措施进行严密封堵</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高压电缆的中间接头应缠包自粘性防火包带或刷防火涂料，或用专用难燃或耐火接头盒</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Style w:val="af0"/>
                <w:rFonts w:ascii="Times New Roman"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电缆中间接头处在两侧电缆各约</w:t>
            </w:r>
            <w:r>
              <w:rPr>
                <w:rFonts w:ascii="Times New Roman" w:eastAsia="宋体" w:hAnsi="Times New Roman" w:cs="Times New Roman"/>
                <w:kern w:val="2"/>
                <w:sz w:val="15"/>
                <w:szCs w:val="15"/>
              </w:rPr>
              <w:t>3m</w:t>
            </w:r>
            <w:r>
              <w:rPr>
                <w:rFonts w:ascii="Times New Roman" w:eastAsia="宋体" w:hAnsi="Times New Roman" w:cs="Times New Roman"/>
                <w:kern w:val="2"/>
                <w:sz w:val="15"/>
                <w:szCs w:val="15"/>
              </w:rPr>
              <w:t>区段和该范围并列的其它电缆上缠绕自粘性防火包带</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防火隔板安装应牢固，对工艺缺口与缝做较大静证要进何脚火封堵，外观应平整美观</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防火涂料的涂刷表面应光洁干燥，涂刷应均匀，不应有漏涂现象</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3</w:t>
            </w:r>
          </w:p>
        </w:tc>
        <w:tc>
          <w:tcPr>
            <w:tcW w:w="893" w:type="dxa"/>
            <w:vMerge w:val="restart"/>
            <w:vAlign w:val="center"/>
          </w:tcPr>
          <w:p w:rsidR="009846C2" w:rsidRDefault="00A433A0">
            <w:pPr>
              <w:widowControl w:val="0"/>
              <w:tabs>
                <w:tab w:val="left" w:pos="0"/>
              </w:tabs>
              <w:topLinePunct/>
              <w:spacing w:line="32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防火封阻</w:t>
            </w: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电缆贯穿隔墙的孔洞处、电缆引至控制设施处等均应实施具有足够机械强度的防火封堵。防火封堵材料应密实无气孔，封堵材料厚度不应小于</w:t>
            </w:r>
            <w:r>
              <w:rPr>
                <w:rFonts w:ascii="Times New Roman" w:eastAsia="宋体" w:hAnsi="Times New Roman" w:cs="Times New Roman"/>
                <w:kern w:val="2"/>
                <w:sz w:val="15"/>
                <w:szCs w:val="15"/>
              </w:rPr>
              <w:t>100mm</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隧道和电缆沟、竖井接口处应采用防火包等材料封堵</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防火墙上的电缆孔洞应采用电缆防火封堵材料或防火封堵组件进行封堵，并应采取防</w:t>
            </w:r>
            <w:r>
              <w:rPr>
                <w:rFonts w:ascii="Times New Roman" w:eastAsia="宋体" w:hAnsi="Times New Roman" w:cs="Times New Roman"/>
                <w:kern w:val="2"/>
                <w:sz w:val="15"/>
                <w:szCs w:val="15"/>
              </w:rPr>
              <w:lastRenderedPageBreak/>
              <w:t>止火焰延燃的措施，其防火封堵组件的耐火极限应为</w:t>
            </w:r>
            <w:r>
              <w:rPr>
                <w:rFonts w:ascii="Times New Roman" w:eastAsia="宋体" w:hAnsi="Times New Roman" w:cs="Times New Roman"/>
                <w:kern w:val="2"/>
                <w:sz w:val="15"/>
                <w:szCs w:val="15"/>
              </w:rPr>
              <w:t>3.0h</w:t>
            </w:r>
            <w:r>
              <w:rPr>
                <w:rFonts w:ascii="Times New Roman" w:eastAsia="宋体" w:hAnsi="Times New Roman" w:cs="Times New Roman"/>
                <w:kern w:val="2"/>
                <w:sz w:val="15"/>
                <w:szCs w:val="15"/>
              </w:rPr>
              <w:t>。</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在电缆进出隧道处用防火封堵材料密实封</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有机防火堵料封堵应牢固严实，无脱落现象，表面应平整光洁</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无机防火堵料的封堵表面应平整光洁，不得有粉化、不硬化、开裂等缺陷</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4</w:t>
            </w:r>
          </w:p>
        </w:tc>
        <w:tc>
          <w:tcPr>
            <w:tcW w:w="893" w:type="dxa"/>
            <w:vMerge w:val="restart"/>
            <w:vAlign w:val="center"/>
          </w:tcPr>
          <w:p w:rsidR="009846C2" w:rsidRDefault="00A433A0">
            <w:pPr>
              <w:widowControl w:val="0"/>
              <w:tabs>
                <w:tab w:val="left" w:pos="0"/>
              </w:tabs>
              <w:topLinePunct/>
              <w:spacing w:line="32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w:t>
            </w: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消防配电应符合消防设计文件，验收标准和验收方法应符合本标准的相关规定</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消防电气设备安装应牢固，电气设备防护等级应采取防水防潮措施，防护等级不应低于</w:t>
            </w:r>
            <w:r>
              <w:rPr>
                <w:rFonts w:ascii="Times New Roman" w:eastAsia="宋体" w:hAnsi="Times New Roman" w:cs="Times New Roman"/>
                <w:kern w:val="2"/>
                <w:sz w:val="15"/>
                <w:szCs w:val="15"/>
              </w:rPr>
              <w:t>IP54</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5</w:t>
            </w:r>
          </w:p>
        </w:tc>
        <w:tc>
          <w:tcPr>
            <w:tcW w:w="893" w:type="dxa"/>
            <w:vMerge w:val="restart"/>
            <w:vAlign w:val="center"/>
          </w:tcPr>
          <w:p w:rsidR="009846C2" w:rsidRDefault="00A433A0">
            <w:pPr>
              <w:widowControl w:val="0"/>
              <w:tabs>
                <w:tab w:val="left" w:pos="0"/>
              </w:tabs>
              <w:topLinePunct/>
              <w:spacing w:line="32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w:t>
            </w: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应急照明系统设置应符合消防设计文件，验收标准和验收方法应符合本标准的相关规定</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灯具应采取防水防潮措施，防护等级不应低于</w:t>
            </w:r>
            <w:r>
              <w:rPr>
                <w:rFonts w:ascii="Times New Roman" w:eastAsia="宋体" w:hAnsi="Times New Roman" w:cs="Times New Roman"/>
                <w:kern w:val="2"/>
                <w:sz w:val="15"/>
                <w:szCs w:val="15"/>
              </w:rPr>
              <w:t>IP65</w:t>
            </w:r>
            <w:r>
              <w:rPr>
                <w:rFonts w:ascii="Times New Roman" w:eastAsia="宋体" w:hAnsi="Times New Roman" w:cs="Times New Roman"/>
                <w:kern w:val="2"/>
                <w:sz w:val="15"/>
                <w:szCs w:val="15"/>
              </w:rPr>
              <w:t>，并应具有防外力冲撞的防护措施</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管廊内疏散应急照明照度不应低于</w:t>
            </w:r>
            <w:r>
              <w:rPr>
                <w:rFonts w:ascii="Times New Roman" w:eastAsia="宋体" w:hAnsi="Times New Roman" w:cs="Times New Roman"/>
                <w:kern w:val="2"/>
                <w:sz w:val="15"/>
                <w:szCs w:val="15"/>
              </w:rPr>
              <w:t>5lx</w:t>
            </w:r>
            <w:r>
              <w:rPr>
                <w:rFonts w:ascii="Times New Roman" w:eastAsia="宋体" w:hAnsi="Times New Roman" w:cs="Times New Roman"/>
                <w:kern w:val="2"/>
                <w:sz w:val="15"/>
                <w:szCs w:val="15"/>
              </w:rPr>
              <w:t>，应急电源持续供电时间不应小于</w:t>
            </w:r>
            <w:r>
              <w:rPr>
                <w:rFonts w:ascii="Times New Roman" w:eastAsia="宋体" w:hAnsi="Times New Roman" w:cs="Times New Roman"/>
                <w:kern w:val="2"/>
                <w:sz w:val="15"/>
                <w:szCs w:val="15"/>
              </w:rPr>
              <w:t>60min</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restart"/>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6</w:t>
            </w:r>
          </w:p>
        </w:tc>
        <w:tc>
          <w:tcPr>
            <w:tcW w:w="893" w:type="dxa"/>
            <w:vMerge w:val="restart"/>
            <w:vAlign w:val="center"/>
          </w:tcPr>
          <w:p w:rsidR="009846C2" w:rsidRDefault="00A433A0">
            <w:pPr>
              <w:widowControl w:val="0"/>
              <w:tabs>
                <w:tab w:val="left" w:pos="0"/>
              </w:tabs>
              <w:topLinePunct/>
              <w:spacing w:line="320" w:lineRule="exact"/>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火灾自动报警系统</w:t>
            </w: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火灾自动报警系统设置应符合消防设计文件，验收标准和验收方法应符合本标准的相关规定</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b/>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电力电缆舱室应在电力电缆表层设置线型感温火灾探测器，并应在舱室顶部设置线型</w:t>
            </w:r>
            <w:r>
              <w:rPr>
                <w:rFonts w:ascii="Times New Roman" w:eastAsia="宋体" w:hAnsi="Times New Roman" w:cs="Times New Roman"/>
                <w:kern w:val="2"/>
                <w:sz w:val="15"/>
                <w:szCs w:val="15"/>
              </w:rPr>
              <w:lastRenderedPageBreak/>
              <w:t>光纤感温火灾探测器或感烟火灾探测器</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b/>
                <w:kern w:val="2"/>
                <w:sz w:val="15"/>
                <w:szCs w:val="15"/>
              </w:rPr>
            </w:pPr>
            <w:r>
              <w:rPr>
                <w:rFonts w:ascii="Times New Roman" w:eastAsia="宋体" w:hAnsi="Times New Roman" w:cs="Times New Roman"/>
                <w:kern w:val="2"/>
                <w:sz w:val="15"/>
                <w:szCs w:val="15"/>
              </w:rPr>
              <w:lastRenderedPageBreak/>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综合管廊内应设置防火门监控系统</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r w:rsidR="009846C2">
        <w:tc>
          <w:tcPr>
            <w:tcW w:w="416" w:type="dxa"/>
            <w:vMerge/>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c>
          <w:tcPr>
            <w:tcW w:w="893" w:type="dxa"/>
            <w:vMerge/>
            <w:vAlign w:val="center"/>
          </w:tcPr>
          <w:p w:rsidR="009846C2" w:rsidRDefault="009846C2">
            <w:pPr>
              <w:widowControl w:val="0"/>
              <w:tabs>
                <w:tab w:val="left" w:pos="0"/>
              </w:tabs>
              <w:topLinePunct/>
              <w:spacing w:line="320" w:lineRule="exact"/>
              <w:jc w:val="both"/>
              <w:rPr>
                <w:rFonts w:ascii="Times New Roman" w:eastAsia="宋体" w:hAnsi="Times New Roman" w:cs="Times New Roman"/>
                <w:kern w:val="2"/>
                <w:sz w:val="15"/>
                <w:szCs w:val="15"/>
              </w:rPr>
            </w:pPr>
          </w:p>
        </w:tc>
        <w:tc>
          <w:tcPr>
            <w:tcW w:w="2916"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综合管廊内在电缆接头处应设置自动灭火装置</w:t>
            </w:r>
          </w:p>
        </w:tc>
        <w:tc>
          <w:tcPr>
            <w:tcW w:w="893" w:type="dxa"/>
            <w:vAlign w:val="center"/>
          </w:tcPr>
          <w:p w:rsidR="009846C2" w:rsidRDefault="00A433A0">
            <w:pPr>
              <w:widowControl w:val="0"/>
              <w:tabs>
                <w:tab w:val="left" w:pos="0"/>
              </w:tabs>
              <w:topLinePunct/>
              <w:spacing w:line="320" w:lineRule="exact"/>
              <w:ind w:firstLineChars="100" w:firstLine="150"/>
              <w:jc w:val="both"/>
              <w:rPr>
                <w:rFonts w:ascii="Times New Roman" w:eastAsia="宋体" w:hAnsi="Times New Roman" w:cs="Times New Roman"/>
                <w:kern w:val="2"/>
                <w:sz w:val="15"/>
                <w:szCs w:val="15"/>
              </w:rPr>
            </w:pPr>
            <w:r>
              <w:rPr>
                <w:rFonts w:ascii="Times New Roman" w:eastAsia="宋体" w:hAnsi="Times New Roman" w:cs="Times New Roman"/>
                <w:kern w:val="2"/>
                <w:sz w:val="15"/>
                <w:szCs w:val="15"/>
              </w:rPr>
              <w:t>现场检查</w:t>
            </w:r>
          </w:p>
        </w:tc>
        <w:tc>
          <w:tcPr>
            <w:tcW w:w="417" w:type="dxa"/>
            <w:vAlign w:val="center"/>
          </w:tcPr>
          <w:p w:rsidR="009846C2" w:rsidRDefault="00A433A0">
            <w:pPr>
              <w:widowControl w:val="0"/>
              <w:tabs>
                <w:tab w:val="left" w:pos="0"/>
              </w:tabs>
              <w:topLinePunct/>
              <w:spacing w:line="320" w:lineRule="exact"/>
              <w:jc w:val="center"/>
              <w:rPr>
                <w:rFonts w:ascii="Times New Roman" w:eastAsia="宋体" w:hAnsi="Times New Roman" w:cs="Times New Roman"/>
                <w:kern w:val="2"/>
                <w:sz w:val="15"/>
                <w:szCs w:val="15"/>
              </w:rPr>
            </w:pPr>
            <w:r>
              <w:rPr>
                <w:rFonts w:ascii="Times New Roman" w:eastAsia="宋体" w:hAnsi="Times New Roman" w:cs="Times New Roman"/>
                <w:kern w:val="2"/>
                <w:sz w:val="15"/>
                <w:szCs w:val="15"/>
              </w:rPr>
              <w:t>B</w:t>
            </w:r>
          </w:p>
        </w:tc>
        <w:tc>
          <w:tcPr>
            <w:tcW w:w="417" w:type="dxa"/>
            <w:vAlign w:val="center"/>
          </w:tcPr>
          <w:p w:rsidR="009846C2" w:rsidRDefault="009846C2">
            <w:pPr>
              <w:widowControl w:val="0"/>
              <w:tabs>
                <w:tab w:val="left" w:pos="0"/>
              </w:tabs>
              <w:topLinePunct/>
              <w:spacing w:line="320" w:lineRule="exact"/>
              <w:jc w:val="center"/>
              <w:rPr>
                <w:rFonts w:ascii="Times New Roman" w:eastAsia="宋体" w:hAnsi="Times New Roman" w:cs="Times New Roman"/>
                <w:kern w:val="2"/>
                <w:sz w:val="15"/>
                <w:szCs w:val="15"/>
              </w:rPr>
            </w:pPr>
          </w:p>
        </w:tc>
      </w:tr>
    </w:tbl>
    <w:p w:rsidR="009846C2" w:rsidRDefault="009846C2" w:rsidP="007974B4">
      <w:pPr>
        <w:pStyle w:val="af1"/>
        <w:widowControl w:val="0"/>
        <w:tabs>
          <w:tab w:val="left" w:pos="0"/>
        </w:tabs>
        <w:topLinePunct/>
        <w:spacing w:beforeLines="50" w:afterLines="50" w:line="360" w:lineRule="exact"/>
        <w:ind w:firstLineChars="0" w:firstLine="0"/>
        <w:rPr>
          <w:rFonts w:ascii="Times New Roman" w:eastAsia="宋体" w:hAnsi="Times New Roman" w:cs="Times New Roman"/>
          <w:kern w:val="2"/>
          <w:sz w:val="21"/>
          <w:szCs w:val="21"/>
        </w:rPr>
      </w:pPr>
    </w:p>
    <w:p w:rsidR="009846C2" w:rsidRDefault="009846C2" w:rsidP="007974B4">
      <w:pPr>
        <w:pStyle w:val="af1"/>
        <w:widowControl w:val="0"/>
        <w:tabs>
          <w:tab w:val="left" w:pos="0"/>
        </w:tabs>
        <w:topLinePunct/>
        <w:spacing w:beforeLines="50" w:afterLines="50" w:line="360" w:lineRule="exact"/>
        <w:ind w:firstLineChars="0" w:firstLine="0"/>
        <w:rPr>
          <w:rFonts w:ascii="Times New Roman" w:eastAsia="宋体" w:hAnsi="Times New Roman" w:cs="Times New Roman"/>
          <w:kern w:val="2"/>
          <w:sz w:val="21"/>
          <w:szCs w:val="21"/>
        </w:rPr>
      </w:pPr>
    </w:p>
    <w:p w:rsidR="009846C2" w:rsidRDefault="009846C2" w:rsidP="007974B4">
      <w:pPr>
        <w:pStyle w:val="af1"/>
        <w:widowControl w:val="0"/>
        <w:tabs>
          <w:tab w:val="left" w:pos="0"/>
        </w:tabs>
        <w:topLinePunct/>
        <w:spacing w:beforeLines="50" w:afterLines="50" w:line="360" w:lineRule="exact"/>
        <w:ind w:firstLineChars="0" w:firstLine="0"/>
        <w:rPr>
          <w:rFonts w:ascii="Times New Roman" w:eastAsia="宋体" w:hAnsi="Times New Roman" w:cs="Times New Roman"/>
          <w:kern w:val="2"/>
          <w:sz w:val="21"/>
          <w:szCs w:val="21"/>
        </w:rPr>
      </w:pPr>
    </w:p>
    <w:p w:rsidR="009846C2" w:rsidRDefault="009846C2" w:rsidP="007974B4">
      <w:pPr>
        <w:pStyle w:val="af1"/>
        <w:widowControl w:val="0"/>
        <w:tabs>
          <w:tab w:val="left" w:pos="0"/>
        </w:tabs>
        <w:topLinePunct/>
        <w:spacing w:beforeLines="50" w:afterLines="50" w:line="360" w:lineRule="exact"/>
        <w:ind w:firstLineChars="0" w:firstLine="0"/>
        <w:rPr>
          <w:rFonts w:ascii="Times New Roman" w:eastAsia="宋体" w:hAnsi="Times New Roman" w:cs="Times New Roman"/>
          <w:kern w:val="2"/>
          <w:sz w:val="21"/>
          <w:szCs w:val="21"/>
        </w:rPr>
      </w:pPr>
    </w:p>
    <w:p w:rsidR="009846C2" w:rsidRDefault="009846C2" w:rsidP="007974B4">
      <w:pPr>
        <w:pStyle w:val="af1"/>
        <w:widowControl w:val="0"/>
        <w:tabs>
          <w:tab w:val="left" w:pos="0"/>
        </w:tabs>
        <w:topLinePunct/>
        <w:spacing w:beforeLines="50" w:afterLines="50" w:line="360" w:lineRule="exact"/>
        <w:ind w:firstLineChars="0" w:firstLine="0"/>
        <w:rPr>
          <w:rFonts w:ascii="Times New Roman" w:eastAsia="宋体" w:hAnsi="Times New Roman" w:cs="Times New Roman"/>
          <w:kern w:val="2"/>
          <w:sz w:val="21"/>
          <w:szCs w:val="21"/>
        </w:rPr>
      </w:pPr>
    </w:p>
    <w:p w:rsidR="009846C2" w:rsidRDefault="009846C2">
      <w:pPr>
        <w:widowControl w:val="0"/>
        <w:tabs>
          <w:tab w:val="left" w:pos="0"/>
        </w:tabs>
        <w:topLinePunct/>
        <w:spacing w:line="360" w:lineRule="exact"/>
        <w:jc w:val="both"/>
        <w:rPr>
          <w:rFonts w:ascii="Times New Roman" w:eastAsiaTheme="minorEastAsia" w:hAnsi="Times New Roman" w:cs="Times New Roman"/>
          <w:kern w:val="2"/>
        </w:rPr>
        <w:sectPr w:rsidR="009846C2">
          <w:pgSz w:w="7938" w:h="11510"/>
          <w:pgMar w:top="1247" w:right="1021" w:bottom="907" w:left="1021" w:header="708" w:footer="708" w:gutter="0"/>
          <w:cols w:space="708"/>
          <w:docGrid w:linePitch="360"/>
        </w:sectPr>
      </w:pPr>
    </w:p>
    <w:p w:rsidR="009846C2" w:rsidRDefault="00A433A0" w:rsidP="007974B4">
      <w:pPr>
        <w:widowControl w:val="0"/>
        <w:tabs>
          <w:tab w:val="left" w:pos="0"/>
        </w:tabs>
        <w:topLinePunct/>
        <w:spacing w:beforeLines="100" w:afterLines="50"/>
        <w:jc w:val="center"/>
        <w:rPr>
          <w:rFonts w:ascii="Times New Roman" w:eastAsiaTheme="minorEastAsia" w:hAnsi="Times New Roman" w:cs="Times New Roman"/>
          <w:kern w:val="2"/>
          <w:sz w:val="28"/>
          <w:szCs w:val="28"/>
        </w:rPr>
      </w:pPr>
      <w:r>
        <w:rPr>
          <w:rFonts w:ascii="Times New Roman" w:eastAsiaTheme="minorEastAsia" w:hAnsi="Times New Roman" w:cs="Times New Roman"/>
          <w:kern w:val="2"/>
          <w:sz w:val="28"/>
          <w:szCs w:val="28"/>
        </w:rPr>
        <w:lastRenderedPageBreak/>
        <w:t>附录</w:t>
      </w:r>
      <w:r>
        <w:rPr>
          <w:rFonts w:ascii="Times New Roman" w:eastAsiaTheme="minorEastAsia" w:hAnsi="Times New Roman" w:cs="Times New Roman"/>
          <w:kern w:val="2"/>
          <w:sz w:val="28"/>
          <w:szCs w:val="28"/>
        </w:rPr>
        <w:t>A</w:t>
      </w:r>
    </w:p>
    <w:p w:rsidR="009846C2" w:rsidRDefault="00A433A0">
      <w:pPr>
        <w:pStyle w:val="af1"/>
        <w:widowControl w:val="0"/>
        <w:tabs>
          <w:tab w:val="left" w:pos="0"/>
        </w:tabs>
        <w:topLinePunct/>
        <w:spacing w:line="360" w:lineRule="exact"/>
        <w:ind w:firstLineChars="0" w:firstLine="0"/>
        <w:jc w:val="center"/>
        <w:rPr>
          <w:rFonts w:ascii="Times New Roman" w:eastAsiaTheme="minorEastAsia" w:hAnsi="Times New Roman" w:cs="Times New Roman"/>
          <w:kern w:val="2"/>
        </w:rPr>
      </w:pPr>
      <w:r>
        <w:rPr>
          <w:rFonts w:ascii="Times New Roman" w:eastAsiaTheme="minorEastAsia" w:hAnsi="Times New Roman" w:cs="Times New Roman"/>
          <w:b/>
          <w:kern w:val="2"/>
        </w:rPr>
        <w:tab/>
      </w:r>
      <w:r>
        <w:rPr>
          <w:rFonts w:ascii="Times New Roman" w:eastAsia="黑体" w:hAnsi="Times New Roman" w:cs="Times New Roman"/>
          <w:kern w:val="2"/>
          <w:sz w:val="18"/>
          <w:szCs w:val="18"/>
        </w:rPr>
        <w:t>输变电工程消防验收情况记录表</w:t>
      </w:r>
    </w:p>
    <w:tbl>
      <w:tblPr>
        <w:tblStyle w:val="13"/>
        <w:tblW w:w="9572" w:type="dxa"/>
        <w:tblLayout w:type="fixed"/>
        <w:tblLook w:val="04A0"/>
      </w:tblPr>
      <w:tblGrid>
        <w:gridCol w:w="1039"/>
        <w:gridCol w:w="997"/>
        <w:gridCol w:w="578"/>
        <w:gridCol w:w="320"/>
        <w:gridCol w:w="1654"/>
        <w:gridCol w:w="651"/>
        <w:gridCol w:w="965"/>
        <w:gridCol w:w="214"/>
        <w:gridCol w:w="655"/>
        <w:gridCol w:w="525"/>
        <w:gridCol w:w="733"/>
        <w:gridCol w:w="496"/>
        <w:gridCol w:w="745"/>
      </w:tblGrid>
      <w:tr w:rsidR="009846C2">
        <w:trPr>
          <w:trHeight w:hRule="exact" w:val="516"/>
        </w:trPr>
        <w:tc>
          <w:tcPr>
            <w:tcW w:w="1039" w:type="dxa"/>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工程名称</w:t>
            </w:r>
          </w:p>
        </w:tc>
        <w:tc>
          <w:tcPr>
            <w:tcW w:w="1895" w:type="dxa"/>
            <w:gridSpan w:val="3"/>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2305"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工程地址</w:t>
            </w:r>
          </w:p>
        </w:tc>
        <w:tc>
          <w:tcPr>
            <w:tcW w:w="2359" w:type="dxa"/>
            <w:gridSpan w:val="4"/>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29" w:type="dxa"/>
            <w:gridSpan w:val="2"/>
            <w:vAlign w:val="center"/>
          </w:tcPr>
          <w:p w:rsidR="009846C2" w:rsidRDefault="00A433A0">
            <w:pPr>
              <w:widowControl w:val="0"/>
              <w:autoSpaceDE w:val="0"/>
              <w:autoSpaceDN w:val="0"/>
              <w:adjustRightInd w:val="0"/>
              <w:snapToGrid w:val="0"/>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现场检查日期</w:t>
            </w:r>
          </w:p>
        </w:tc>
        <w:tc>
          <w:tcPr>
            <w:tcW w:w="745" w:type="dxa"/>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1039" w:type="dxa"/>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建设单位</w:t>
            </w:r>
          </w:p>
        </w:tc>
        <w:tc>
          <w:tcPr>
            <w:tcW w:w="1895" w:type="dxa"/>
            <w:gridSpan w:val="3"/>
            <w:vAlign w:val="center"/>
          </w:tcPr>
          <w:p w:rsidR="009846C2" w:rsidRDefault="009846C2">
            <w:pPr>
              <w:widowControl w:val="0"/>
              <w:autoSpaceDE w:val="0"/>
              <w:autoSpaceDN w:val="0"/>
              <w:adjustRightInd w:val="0"/>
              <w:snapToGrid w:val="0"/>
              <w:spacing w:line="240" w:lineRule="exact"/>
              <w:jc w:val="both"/>
              <w:rPr>
                <w:rFonts w:ascii="Times New Roman" w:eastAsiaTheme="minorEastAsia" w:hAnsi="Times New Roman"/>
                <w:sz w:val="18"/>
                <w:szCs w:val="18"/>
              </w:rPr>
            </w:pPr>
          </w:p>
        </w:tc>
        <w:tc>
          <w:tcPr>
            <w:tcW w:w="2305"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受理</w:t>
            </w:r>
            <w:r>
              <w:rPr>
                <w:rFonts w:ascii="Times New Roman" w:eastAsiaTheme="minorEastAsia" w:hAnsi="Times New Roman" w:hint="eastAsia"/>
                <w:sz w:val="18"/>
                <w:szCs w:val="18"/>
              </w:rPr>
              <w:t>/</w:t>
            </w:r>
            <w:r>
              <w:rPr>
                <w:rFonts w:ascii="Times New Roman" w:eastAsiaTheme="minorEastAsia" w:hAnsi="Times New Roman" w:hint="eastAsia"/>
                <w:sz w:val="18"/>
                <w:szCs w:val="18"/>
              </w:rPr>
              <w:t>备案凭证文号</w:t>
            </w:r>
          </w:p>
        </w:tc>
        <w:tc>
          <w:tcPr>
            <w:tcW w:w="1179" w:type="dxa"/>
            <w:gridSpan w:val="2"/>
            <w:vAlign w:val="center"/>
          </w:tcPr>
          <w:p w:rsidR="009846C2" w:rsidRDefault="009846C2">
            <w:pPr>
              <w:widowControl w:val="0"/>
              <w:autoSpaceDE w:val="0"/>
              <w:autoSpaceDN w:val="0"/>
              <w:adjustRightInd w:val="0"/>
              <w:snapToGrid w:val="0"/>
              <w:spacing w:line="240" w:lineRule="exact"/>
              <w:jc w:val="center"/>
              <w:rPr>
                <w:rFonts w:ascii="Times New Roman" w:eastAsiaTheme="minorEastAsia" w:hAnsi="Times New Roman"/>
                <w:sz w:val="18"/>
                <w:szCs w:val="18"/>
              </w:rPr>
            </w:pPr>
          </w:p>
        </w:tc>
        <w:tc>
          <w:tcPr>
            <w:tcW w:w="655" w:type="dxa"/>
            <w:vAlign w:val="center"/>
          </w:tcPr>
          <w:p w:rsidR="009846C2" w:rsidRDefault="00A433A0">
            <w:pPr>
              <w:widowControl w:val="0"/>
              <w:autoSpaceDE w:val="0"/>
              <w:autoSpaceDN w:val="0"/>
              <w:adjustRightInd w:val="0"/>
              <w:snapToGrid w:val="0"/>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联系人</w:t>
            </w:r>
          </w:p>
        </w:tc>
        <w:tc>
          <w:tcPr>
            <w:tcW w:w="525" w:type="dxa"/>
            <w:vAlign w:val="center"/>
          </w:tcPr>
          <w:p w:rsidR="009846C2" w:rsidRDefault="009846C2">
            <w:pPr>
              <w:widowControl w:val="0"/>
              <w:autoSpaceDE w:val="0"/>
              <w:autoSpaceDN w:val="0"/>
              <w:adjustRightInd w:val="0"/>
              <w:snapToGrid w:val="0"/>
              <w:spacing w:line="240" w:lineRule="exact"/>
              <w:jc w:val="center"/>
              <w:rPr>
                <w:rFonts w:ascii="Times New Roman" w:eastAsiaTheme="minorEastAsia" w:hAnsi="Times New Roman"/>
                <w:sz w:val="18"/>
                <w:szCs w:val="18"/>
              </w:rPr>
            </w:pPr>
          </w:p>
        </w:tc>
        <w:tc>
          <w:tcPr>
            <w:tcW w:w="1229" w:type="dxa"/>
            <w:gridSpan w:val="2"/>
            <w:vAlign w:val="center"/>
          </w:tcPr>
          <w:p w:rsidR="009846C2" w:rsidRDefault="00A433A0">
            <w:pPr>
              <w:widowControl w:val="0"/>
              <w:autoSpaceDE w:val="0"/>
              <w:autoSpaceDN w:val="0"/>
              <w:adjustRightInd w:val="0"/>
              <w:snapToGrid w:val="0"/>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联系电话</w:t>
            </w:r>
          </w:p>
        </w:tc>
        <w:tc>
          <w:tcPr>
            <w:tcW w:w="745" w:type="dxa"/>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1039" w:type="dxa"/>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工程类别</w:t>
            </w:r>
          </w:p>
        </w:tc>
        <w:tc>
          <w:tcPr>
            <w:tcW w:w="4200" w:type="dxa"/>
            <w:gridSpan w:val="5"/>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新建</w:t>
            </w:r>
            <w:r>
              <w:rPr>
                <w:rFonts w:ascii="Times New Roman" w:eastAsiaTheme="minorEastAsia" w:hAnsi="Times New Roman" w:hint="eastAsia"/>
                <w:sz w:val="18"/>
                <w:szCs w:val="18"/>
              </w:rPr>
              <w:t xml:space="preserve">     </w:t>
            </w: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扩建</w:t>
            </w:r>
            <w:r>
              <w:rPr>
                <w:rFonts w:ascii="Times New Roman" w:eastAsiaTheme="minorEastAsia" w:hAnsi="Times New Roman" w:hint="eastAsia"/>
                <w:sz w:val="18"/>
                <w:szCs w:val="18"/>
              </w:rPr>
              <w:t xml:space="preserve">    </w:t>
            </w: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改建</w:t>
            </w:r>
          </w:p>
        </w:tc>
        <w:tc>
          <w:tcPr>
            <w:tcW w:w="1179" w:type="dxa"/>
            <w:gridSpan w:val="2"/>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使用性质</w:t>
            </w:r>
          </w:p>
        </w:tc>
        <w:tc>
          <w:tcPr>
            <w:tcW w:w="1180" w:type="dxa"/>
            <w:gridSpan w:val="2"/>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29" w:type="dxa"/>
            <w:gridSpan w:val="2"/>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火灾危险性</w:t>
            </w:r>
          </w:p>
        </w:tc>
        <w:tc>
          <w:tcPr>
            <w:tcW w:w="745" w:type="dxa"/>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建筑面积（</w:t>
            </w:r>
            <w:r>
              <w:rPr>
                <w:rFonts w:ascii="Times New Roman" w:eastAsiaTheme="minorEastAsia" w:hAnsi="Times New Roman" w:hint="eastAsia"/>
                <w:sz w:val="18"/>
                <w:szCs w:val="18"/>
              </w:rPr>
              <w:t>m</w:t>
            </w:r>
            <w:r>
              <w:rPr>
                <w:rFonts w:ascii="Times New Roman" w:eastAsiaTheme="minorEastAsia" w:hAnsi="Times New Roman" w:hint="eastAsia"/>
                <w:sz w:val="18"/>
                <w:szCs w:val="18"/>
                <w:vertAlign w:val="superscript"/>
              </w:rPr>
              <w:t>2</w:t>
            </w:r>
            <w:r>
              <w:rPr>
                <w:rFonts w:ascii="Times New Roman" w:eastAsiaTheme="minorEastAsia" w:hAnsi="Times New Roman" w:hint="eastAsia"/>
                <w:sz w:val="18"/>
                <w:szCs w:val="18"/>
              </w:rPr>
              <w:t>）</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占地面积（</w:t>
            </w:r>
            <w:r>
              <w:rPr>
                <w:rFonts w:ascii="Times New Roman" w:eastAsiaTheme="minorEastAsia" w:hAnsi="Times New Roman" w:hint="eastAsia"/>
                <w:sz w:val="18"/>
                <w:szCs w:val="18"/>
              </w:rPr>
              <w:t>m</w:t>
            </w:r>
            <w:r>
              <w:rPr>
                <w:rFonts w:ascii="Times New Roman" w:eastAsiaTheme="minorEastAsia" w:hAnsi="Times New Roman" w:hint="eastAsia"/>
                <w:sz w:val="18"/>
                <w:szCs w:val="18"/>
                <w:vertAlign w:val="superscript"/>
              </w:rPr>
              <w:t>2</w:t>
            </w:r>
            <w:r>
              <w:rPr>
                <w:rFonts w:ascii="Times New Roman" w:eastAsiaTheme="minorEastAsia" w:hAnsi="Times New Roman" w:hint="eastAsia"/>
                <w:sz w:val="18"/>
                <w:szCs w:val="18"/>
              </w:rPr>
              <w:t>）</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179" w:type="dxa"/>
            <w:gridSpan w:val="2"/>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建筑高（</w:t>
            </w:r>
            <w:r>
              <w:rPr>
                <w:rFonts w:ascii="Times New Roman" w:eastAsiaTheme="minorEastAsia" w:hAnsi="Times New Roman" w:hint="eastAsia"/>
                <w:sz w:val="18"/>
                <w:szCs w:val="18"/>
              </w:rPr>
              <w:t>m</w:t>
            </w:r>
            <w:r>
              <w:rPr>
                <w:rFonts w:ascii="Times New Roman" w:eastAsiaTheme="minorEastAsia" w:hAnsi="Times New Roman" w:hint="eastAsia"/>
                <w:sz w:val="18"/>
                <w:szCs w:val="18"/>
              </w:rPr>
              <w:t>）</w:t>
            </w:r>
          </w:p>
        </w:tc>
        <w:tc>
          <w:tcPr>
            <w:tcW w:w="1180" w:type="dxa"/>
            <w:gridSpan w:val="2"/>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29" w:type="dxa"/>
            <w:gridSpan w:val="2"/>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层数</w:t>
            </w:r>
          </w:p>
        </w:tc>
        <w:tc>
          <w:tcPr>
            <w:tcW w:w="745" w:type="dxa"/>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单项名称</w:t>
            </w:r>
          </w:p>
        </w:tc>
        <w:tc>
          <w:tcPr>
            <w:tcW w:w="578" w:type="dxa"/>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评定结论</w:t>
            </w: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单项名称</w:t>
            </w:r>
          </w:p>
        </w:tc>
        <w:tc>
          <w:tcPr>
            <w:tcW w:w="651" w:type="dxa"/>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评定结论</w:t>
            </w:r>
          </w:p>
        </w:tc>
        <w:tc>
          <w:tcPr>
            <w:tcW w:w="4333" w:type="dxa"/>
            <w:gridSpan w:val="7"/>
            <w:vMerge w:val="restart"/>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输变电工程消防验收和综合评定意见：</w:t>
            </w:r>
          </w:p>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p w:rsidR="009846C2" w:rsidRDefault="00A433A0">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合格</w:t>
            </w:r>
            <w:r>
              <w:rPr>
                <w:rFonts w:ascii="Times New Roman" w:eastAsiaTheme="minorEastAsia" w:hAnsi="Times New Roman" w:hint="eastAsia"/>
                <w:sz w:val="18"/>
                <w:szCs w:val="18"/>
              </w:rPr>
              <w:t xml:space="preserve">               </w:t>
            </w: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不合格</w:t>
            </w:r>
          </w:p>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hint="eastAsia"/>
                <w:sz w:val="18"/>
                <w:szCs w:val="18"/>
              </w:rPr>
              <w:t>主责承办人（签名）：</w:t>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年</w:t>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月</w:t>
            </w:r>
            <w:r>
              <w:rPr>
                <w:rFonts w:ascii="Times New Roman" w:eastAsiaTheme="minorEastAsia" w:hAnsi="Times New Roman" w:hint="eastAsia"/>
                <w:sz w:val="18"/>
                <w:szCs w:val="18"/>
              </w:rPr>
              <w:t xml:space="preserve">      </w:t>
            </w:r>
            <w:r>
              <w:rPr>
                <w:rFonts w:ascii="Times New Roman" w:eastAsiaTheme="minorEastAsia" w:hAnsi="Times New Roman" w:hint="eastAsia"/>
                <w:sz w:val="18"/>
                <w:szCs w:val="18"/>
              </w:rPr>
              <w:t>日</w:t>
            </w: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火灾危险性分类、耐火等级</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排油注氮灭火系统</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总平面布局</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超细干粉灭火系统</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平面布置</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建筑灭火器</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lastRenderedPageBreak/>
              <w:sym w:font="Wingdings" w:char="F0A8"/>
            </w:r>
            <w:r>
              <w:rPr>
                <w:rFonts w:ascii="Times New Roman" w:eastAsiaTheme="minorEastAsia" w:hAnsi="Times New Roman" w:hint="eastAsia"/>
                <w:sz w:val="18"/>
                <w:szCs w:val="18"/>
              </w:rPr>
              <w:t>安全疏散</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通风、空气调节系统</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ind w:firstLineChars="300" w:firstLine="540"/>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lastRenderedPageBreak/>
              <w:sym w:font="Wingdings" w:char="F0A8"/>
            </w:r>
            <w:r>
              <w:rPr>
                <w:rFonts w:ascii="Times New Roman" w:eastAsiaTheme="minorEastAsia" w:hAnsi="Times New Roman" w:hint="eastAsia"/>
                <w:sz w:val="18"/>
                <w:szCs w:val="18"/>
              </w:rPr>
              <w:t>建筑构造</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防排烟系统</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sidR="001A28A3">
              <w:rPr>
                <w:rFonts w:ascii="Times New Roman" w:eastAsiaTheme="minorEastAsia" w:hAnsi="Times New Roman" w:hint="eastAsia"/>
                <w:sz w:val="18"/>
                <w:szCs w:val="18"/>
              </w:rPr>
              <w:t>建筑内部装修</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消防电源及其配电</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变压器及其他带油电气设备防火</w:t>
            </w:r>
          </w:p>
        </w:tc>
        <w:tc>
          <w:tcPr>
            <w:tcW w:w="578" w:type="dxa"/>
            <w:vAlign w:val="center"/>
          </w:tcPr>
          <w:p w:rsidR="009846C2" w:rsidRDefault="009846C2">
            <w:pPr>
              <w:widowControl w:val="0"/>
              <w:autoSpaceDE w:val="0"/>
              <w:autoSpaceDN w:val="0"/>
              <w:adjustRightInd w:val="0"/>
              <w:snapToGrid w:val="0"/>
              <w:spacing w:line="24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消防应急照明和疏散指示系统</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消防给水及消火栓系统</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火灾自动报警系统</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4333" w:type="dxa"/>
            <w:gridSpan w:val="7"/>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24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水喷雾、细水雾、自动喷水灭火系统</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电力线路</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965" w:type="dxa"/>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单位类别</w:t>
            </w:r>
          </w:p>
        </w:tc>
        <w:tc>
          <w:tcPr>
            <w:tcW w:w="2127" w:type="dxa"/>
            <w:gridSpan w:val="4"/>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单位名称</w:t>
            </w:r>
          </w:p>
        </w:tc>
        <w:tc>
          <w:tcPr>
            <w:tcW w:w="1241" w:type="dxa"/>
            <w:gridSpan w:val="2"/>
            <w:vAlign w:val="center"/>
          </w:tcPr>
          <w:p w:rsidR="009846C2" w:rsidRDefault="00A433A0">
            <w:pPr>
              <w:widowControl w:val="0"/>
              <w:autoSpaceDE w:val="0"/>
              <w:autoSpaceDN w:val="0"/>
              <w:adjustRightInd w:val="0"/>
              <w:snapToGrid w:val="0"/>
              <w:spacing w:line="24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项目负责人签名</w:t>
            </w: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泡沫灭火系统</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其他</w:t>
            </w: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965" w:type="dxa"/>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建设单位</w:t>
            </w:r>
          </w:p>
        </w:tc>
        <w:tc>
          <w:tcPr>
            <w:tcW w:w="2127" w:type="dxa"/>
            <w:gridSpan w:val="4"/>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41" w:type="dxa"/>
            <w:gridSpan w:val="2"/>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2036" w:type="dxa"/>
            <w:gridSpan w:val="2"/>
            <w:vAlign w:val="center"/>
          </w:tcPr>
          <w:p w:rsidR="009846C2" w:rsidRDefault="00A433A0">
            <w:pPr>
              <w:widowControl w:val="0"/>
              <w:autoSpaceDE w:val="0"/>
              <w:autoSpaceDN w:val="0"/>
              <w:adjustRightInd w:val="0"/>
              <w:snapToGrid w:val="0"/>
              <w:spacing w:line="320" w:lineRule="exact"/>
              <w:jc w:val="both"/>
              <w:rPr>
                <w:rFonts w:ascii="Times New Roman" w:eastAsiaTheme="minorEastAsia" w:hAnsi="Times New Roman"/>
                <w:sz w:val="18"/>
                <w:szCs w:val="18"/>
              </w:rPr>
            </w:pPr>
            <w:r>
              <w:rPr>
                <w:rFonts w:ascii="Times New Roman" w:eastAsiaTheme="minorEastAsia" w:hAnsi="Times New Roman"/>
                <w:sz w:val="18"/>
                <w:szCs w:val="18"/>
              </w:rPr>
              <w:sym w:font="Wingdings" w:char="F0A8"/>
            </w:r>
            <w:r>
              <w:rPr>
                <w:rFonts w:ascii="Times New Roman" w:eastAsiaTheme="minorEastAsia" w:hAnsi="Times New Roman" w:hint="eastAsia"/>
                <w:sz w:val="18"/>
                <w:szCs w:val="18"/>
              </w:rPr>
              <w:t>气体灭火系统</w:t>
            </w:r>
          </w:p>
        </w:tc>
        <w:tc>
          <w:tcPr>
            <w:tcW w:w="578"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1974" w:type="dxa"/>
            <w:gridSpan w:val="2"/>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651" w:type="dxa"/>
            <w:vAlign w:val="center"/>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965" w:type="dxa"/>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设计单位</w:t>
            </w:r>
          </w:p>
        </w:tc>
        <w:tc>
          <w:tcPr>
            <w:tcW w:w="2127" w:type="dxa"/>
            <w:gridSpan w:val="4"/>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41" w:type="dxa"/>
            <w:gridSpan w:val="2"/>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5239" w:type="dxa"/>
            <w:gridSpan w:val="6"/>
            <w:vMerge w:val="restart"/>
          </w:tcPr>
          <w:p w:rsidR="009846C2" w:rsidRDefault="00A433A0">
            <w:pPr>
              <w:widowControl w:val="0"/>
              <w:autoSpaceDE w:val="0"/>
              <w:autoSpaceDN w:val="0"/>
              <w:adjustRightInd w:val="0"/>
              <w:snapToGrid w:val="0"/>
              <w:spacing w:line="320" w:lineRule="exact"/>
              <w:rPr>
                <w:rFonts w:ascii="Times New Roman" w:eastAsiaTheme="minorEastAsia" w:hAnsi="Times New Roman"/>
                <w:sz w:val="18"/>
                <w:szCs w:val="18"/>
              </w:rPr>
            </w:pPr>
            <w:r>
              <w:rPr>
                <w:rFonts w:ascii="Times New Roman" w:eastAsiaTheme="minorEastAsia" w:hAnsi="Times New Roman" w:hint="eastAsia"/>
                <w:sz w:val="18"/>
                <w:szCs w:val="18"/>
              </w:rPr>
              <w:t>现场消防检查人员（签名）：</w:t>
            </w:r>
          </w:p>
        </w:tc>
        <w:tc>
          <w:tcPr>
            <w:tcW w:w="965" w:type="dxa"/>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施工单位</w:t>
            </w:r>
          </w:p>
        </w:tc>
        <w:tc>
          <w:tcPr>
            <w:tcW w:w="2127" w:type="dxa"/>
            <w:gridSpan w:val="4"/>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41" w:type="dxa"/>
            <w:gridSpan w:val="2"/>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r w:rsidR="009846C2">
        <w:trPr>
          <w:trHeight w:hRule="exact" w:val="516"/>
        </w:trPr>
        <w:tc>
          <w:tcPr>
            <w:tcW w:w="5239" w:type="dxa"/>
            <w:gridSpan w:val="6"/>
            <w:vMerge/>
          </w:tcPr>
          <w:p w:rsidR="009846C2" w:rsidRDefault="009846C2">
            <w:pPr>
              <w:widowControl w:val="0"/>
              <w:autoSpaceDE w:val="0"/>
              <w:autoSpaceDN w:val="0"/>
              <w:adjustRightInd w:val="0"/>
              <w:snapToGrid w:val="0"/>
              <w:spacing w:line="320" w:lineRule="exact"/>
              <w:jc w:val="both"/>
              <w:rPr>
                <w:rFonts w:ascii="Times New Roman" w:eastAsiaTheme="minorEastAsia" w:hAnsi="Times New Roman"/>
                <w:sz w:val="18"/>
                <w:szCs w:val="18"/>
              </w:rPr>
            </w:pPr>
          </w:p>
        </w:tc>
        <w:tc>
          <w:tcPr>
            <w:tcW w:w="965" w:type="dxa"/>
            <w:vAlign w:val="center"/>
          </w:tcPr>
          <w:p w:rsidR="009846C2" w:rsidRDefault="00A433A0">
            <w:pPr>
              <w:widowControl w:val="0"/>
              <w:autoSpaceDE w:val="0"/>
              <w:autoSpaceDN w:val="0"/>
              <w:adjustRightInd w:val="0"/>
              <w:snapToGrid w:val="0"/>
              <w:spacing w:line="320" w:lineRule="exact"/>
              <w:jc w:val="center"/>
              <w:rPr>
                <w:rFonts w:ascii="Times New Roman" w:eastAsiaTheme="minorEastAsia" w:hAnsi="Times New Roman"/>
                <w:sz w:val="18"/>
                <w:szCs w:val="18"/>
              </w:rPr>
            </w:pPr>
            <w:r>
              <w:rPr>
                <w:rFonts w:ascii="Times New Roman" w:eastAsiaTheme="minorEastAsia" w:hAnsi="Times New Roman" w:hint="eastAsia"/>
                <w:sz w:val="18"/>
                <w:szCs w:val="18"/>
              </w:rPr>
              <w:t>监理单位</w:t>
            </w:r>
          </w:p>
        </w:tc>
        <w:tc>
          <w:tcPr>
            <w:tcW w:w="2127" w:type="dxa"/>
            <w:gridSpan w:val="4"/>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c>
          <w:tcPr>
            <w:tcW w:w="1241" w:type="dxa"/>
            <w:gridSpan w:val="2"/>
            <w:vAlign w:val="center"/>
          </w:tcPr>
          <w:p w:rsidR="009846C2" w:rsidRDefault="009846C2">
            <w:pPr>
              <w:widowControl w:val="0"/>
              <w:autoSpaceDE w:val="0"/>
              <w:autoSpaceDN w:val="0"/>
              <w:adjustRightInd w:val="0"/>
              <w:snapToGrid w:val="0"/>
              <w:spacing w:line="320" w:lineRule="exact"/>
              <w:jc w:val="center"/>
              <w:rPr>
                <w:rFonts w:ascii="Times New Roman" w:eastAsiaTheme="minorEastAsia" w:hAnsi="Times New Roman"/>
                <w:sz w:val="18"/>
                <w:szCs w:val="18"/>
              </w:rPr>
            </w:pPr>
          </w:p>
        </w:tc>
      </w:tr>
    </w:tbl>
    <w:p w:rsidR="009846C2" w:rsidRDefault="009846C2">
      <w:pPr>
        <w:tabs>
          <w:tab w:val="left" w:pos="0"/>
        </w:tabs>
        <w:topLinePunct/>
        <w:spacing w:line="360" w:lineRule="exact"/>
        <w:jc w:val="both"/>
        <w:rPr>
          <w:rFonts w:ascii="Times New Roman" w:eastAsia="宋体" w:hAnsi="Times New Roman" w:cs="Times New Roman"/>
          <w:kern w:val="2"/>
          <w:sz w:val="21"/>
          <w:szCs w:val="21"/>
        </w:rPr>
      </w:pPr>
    </w:p>
    <w:p w:rsidR="009846C2" w:rsidRDefault="00A433A0">
      <w:pPr>
        <w:spacing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br w:type="page"/>
      </w:r>
    </w:p>
    <w:p w:rsidR="009846C2" w:rsidRDefault="009846C2">
      <w:pPr>
        <w:tabs>
          <w:tab w:val="left" w:pos="0"/>
        </w:tabs>
        <w:topLinePunct/>
        <w:spacing w:line="360" w:lineRule="exact"/>
        <w:jc w:val="both"/>
        <w:rPr>
          <w:rFonts w:ascii="Times New Roman" w:eastAsia="宋体" w:hAnsi="Times New Roman" w:cs="Times New Roman"/>
          <w:kern w:val="2"/>
          <w:sz w:val="21"/>
          <w:szCs w:val="21"/>
        </w:rPr>
        <w:sectPr w:rsidR="009846C2">
          <w:pgSz w:w="11510" w:h="7938" w:orient="landscape"/>
          <w:pgMar w:top="1021" w:right="1247" w:bottom="1021" w:left="907" w:header="709" w:footer="709" w:gutter="0"/>
          <w:cols w:space="708"/>
          <w:docGrid w:linePitch="360"/>
        </w:sectPr>
      </w:pPr>
    </w:p>
    <w:p w:rsidR="009846C2" w:rsidRDefault="00A433A0" w:rsidP="007974B4">
      <w:pPr>
        <w:spacing w:beforeLines="100" w:after="100" w:afterAutospacing="1"/>
        <w:jc w:val="center"/>
        <w:rPr>
          <w:rFonts w:ascii="Times New Roman" w:eastAsia="宋体" w:hAnsi="Times New Roman" w:cs="Times New Roman"/>
          <w:b/>
          <w:bCs/>
          <w:sz w:val="28"/>
          <w:szCs w:val="28"/>
        </w:rPr>
      </w:pPr>
      <w:r>
        <w:rPr>
          <w:rFonts w:ascii="Times New Roman" w:eastAsia="宋体" w:hAnsi="宋体" w:cs="Times New Roman"/>
          <w:b/>
          <w:bCs/>
          <w:sz w:val="28"/>
          <w:szCs w:val="28"/>
        </w:rPr>
        <w:lastRenderedPageBreak/>
        <w:t>本规范用词说明</w:t>
      </w:r>
    </w:p>
    <w:p w:rsidR="009846C2" w:rsidRDefault="00A433A0">
      <w:pPr>
        <w:pStyle w:val="11"/>
        <w:keepNext w:val="0"/>
        <w:keepLines w:val="0"/>
        <w:numPr>
          <w:ilvl w:val="0"/>
          <w:numId w:val="123"/>
        </w:numPr>
        <w:tabs>
          <w:tab w:val="left" w:pos="0"/>
        </w:tabs>
        <w:topLinePunct/>
        <w:autoSpaceDE/>
        <w:autoSpaceDN/>
        <w:snapToGrid w:val="0"/>
        <w:spacing w:before="0" w:after="0" w:line="360" w:lineRule="exact"/>
        <w:ind w:firstLineChars="200" w:firstLine="420"/>
        <w:jc w:val="both"/>
        <w:outlineLvl w:val="9"/>
        <w:rPr>
          <w:rFonts w:ascii="宋体" w:hAnsi="宋体" w:cs="宋体"/>
          <w:b w:val="0"/>
          <w:sz w:val="21"/>
        </w:rPr>
      </w:pPr>
      <w:r>
        <w:rPr>
          <w:rFonts w:ascii="宋体" w:hAnsi="宋体" w:cs="宋体"/>
          <w:b w:val="0"/>
          <w:sz w:val="21"/>
        </w:rPr>
        <w:t>为便于</w:t>
      </w:r>
      <w:r>
        <w:rPr>
          <w:rFonts w:ascii="宋体" w:hAnsi="宋体" w:cs="宋体" w:hint="eastAsia"/>
          <w:b w:val="0"/>
          <w:sz w:val="21"/>
        </w:rPr>
        <w:t>在</w:t>
      </w:r>
      <w:r>
        <w:rPr>
          <w:rFonts w:ascii="宋体" w:hAnsi="宋体" w:cs="宋体"/>
          <w:b w:val="0"/>
          <w:sz w:val="21"/>
        </w:rPr>
        <w:t>执行本规范条文时区别对待，对要求严格程度不同的用词说明如下：</w:t>
      </w:r>
    </w:p>
    <w:p w:rsidR="009846C2" w:rsidRDefault="00A433A0">
      <w:pPr>
        <w:pStyle w:val="af1"/>
        <w:widowControl w:val="0"/>
        <w:numPr>
          <w:ilvl w:val="0"/>
          <w:numId w:val="124"/>
        </w:numPr>
        <w:adjustRightInd w:val="0"/>
        <w:snapToGrid w:val="0"/>
        <w:spacing w:line="360" w:lineRule="exact"/>
        <w:ind w:left="0" w:firstLineChars="300" w:firstLine="630"/>
        <w:jc w:val="both"/>
        <w:rPr>
          <w:rFonts w:ascii="宋体" w:eastAsia="宋体" w:hAnsi="宋体" w:cs="宋体"/>
          <w:sz w:val="21"/>
          <w:szCs w:val="21"/>
        </w:rPr>
      </w:pPr>
      <w:r>
        <w:rPr>
          <w:rFonts w:ascii="宋体" w:eastAsia="宋体" w:hAnsi="宋体" w:cs="宋体"/>
          <w:sz w:val="21"/>
          <w:szCs w:val="21"/>
        </w:rPr>
        <w:t>表示很严格，非这样做不可的：</w:t>
      </w:r>
    </w:p>
    <w:p w:rsidR="009846C2" w:rsidRDefault="00A433A0">
      <w:pPr>
        <w:pStyle w:val="af1"/>
        <w:widowControl w:val="0"/>
        <w:tabs>
          <w:tab w:val="left" w:pos="680"/>
        </w:tabs>
        <w:adjustRightInd w:val="0"/>
        <w:snapToGrid w:val="0"/>
        <w:spacing w:line="360" w:lineRule="exact"/>
        <w:ind w:firstLineChars="400" w:firstLine="840"/>
        <w:jc w:val="both"/>
        <w:rPr>
          <w:rFonts w:ascii="宋体" w:eastAsia="宋体" w:hAnsi="宋体" w:cs="宋体"/>
          <w:sz w:val="21"/>
          <w:szCs w:val="21"/>
        </w:rPr>
      </w:pPr>
      <w:r>
        <w:rPr>
          <w:rFonts w:ascii="宋体" w:eastAsia="宋体" w:hAnsi="宋体" w:cs="宋体"/>
          <w:sz w:val="21"/>
          <w:szCs w:val="21"/>
        </w:rPr>
        <w:t>正面词采用“必须”，反面词采用“严禁”</w:t>
      </w:r>
      <w:r>
        <w:rPr>
          <w:rFonts w:ascii="宋体" w:eastAsia="宋体" w:hAnsi="宋体" w:cs="宋体" w:hint="eastAsia"/>
          <w:sz w:val="21"/>
          <w:szCs w:val="21"/>
        </w:rPr>
        <w:t>。</w:t>
      </w:r>
    </w:p>
    <w:p w:rsidR="009846C2" w:rsidRDefault="00A433A0">
      <w:pPr>
        <w:pStyle w:val="af1"/>
        <w:widowControl w:val="0"/>
        <w:numPr>
          <w:ilvl w:val="0"/>
          <w:numId w:val="124"/>
        </w:numPr>
        <w:adjustRightInd w:val="0"/>
        <w:snapToGrid w:val="0"/>
        <w:spacing w:line="360" w:lineRule="exact"/>
        <w:ind w:left="0" w:firstLineChars="300" w:firstLine="630"/>
        <w:jc w:val="both"/>
        <w:rPr>
          <w:rFonts w:ascii="宋体" w:eastAsia="宋体" w:hAnsi="宋体" w:cs="宋体"/>
          <w:sz w:val="21"/>
          <w:szCs w:val="21"/>
        </w:rPr>
      </w:pPr>
      <w:r>
        <w:rPr>
          <w:rFonts w:ascii="宋体" w:eastAsia="宋体" w:hAnsi="宋体" w:cs="宋体"/>
          <w:sz w:val="21"/>
          <w:szCs w:val="21"/>
        </w:rPr>
        <w:t>表示严格，在正常情况下均应这样做的：</w:t>
      </w:r>
    </w:p>
    <w:p w:rsidR="009846C2" w:rsidRDefault="00A433A0">
      <w:pPr>
        <w:pStyle w:val="af1"/>
        <w:widowControl w:val="0"/>
        <w:tabs>
          <w:tab w:val="left" w:pos="680"/>
        </w:tabs>
        <w:adjustRightInd w:val="0"/>
        <w:snapToGrid w:val="0"/>
        <w:spacing w:line="360" w:lineRule="exact"/>
        <w:ind w:firstLineChars="400" w:firstLine="840"/>
        <w:jc w:val="both"/>
        <w:rPr>
          <w:rFonts w:ascii="宋体" w:eastAsia="宋体" w:hAnsi="宋体" w:cs="宋体"/>
          <w:sz w:val="21"/>
          <w:szCs w:val="21"/>
        </w:rPr>
      </w:pPr>
      <w:r>
        <w:rPr>
          <w:rFonts w:ascii="宋体" w:eastAsia="宋体" w:hAnsi="宋体" w:cs="宋体"/>
          <w:sz w:val="21"/>
          <w:szCs w:val="21"/>
        </w:rPr>
        <w:t>正面词采用“应”，反面词采用“不应”或“不得”</w:t>
      </w:r>
      <w:r>
        <w:rPr>
          <w:rFonts w:ascii="宋体" w:eastAsia="宋体" w:hAnsi="宋体" w:cs="宋体" w:hint="eastAsia"/>
          <w:sz w:val="21"/>
          <w:szCs w:val="21"/>
        </w:rPr>
        <w:t>。</w:t>
      </w:r>
    </w:p>
    <w:p w:rsidR="009846C2" w:rsidRDefault="00A433A0">
      <w:pPr>
        <w:pStyle w:val="af1"/>
        <w:widowControl w:val="0"/>
        <w:numPr>
          <w:ilvl w:val="0"/>
          <w:numId w:val="124"/>
        </w:numPr>
        <w:adjustRightInd w:val="0"/>
        <w:snapToGrid w:val="0"/>
        <w:spacing w:line="360" w:lineRule="exact"/>
        <w:ind w:left="0" w:firstLineChars="300" w:firstLine="630"/>
        <w:jc w:val="both"/>
        <w:rPr>
          <w:rFonts w:ascii="宋体" w:eastAsia="宋体" w:hAnsi="宋体" w:cs="宋体"/>
          <w:sz w:val="21"/>
          <w:szCs w:val="21"/>
        </w:rPr>
      </w:pPr>
      <w:r>
        <w:rPr>
          <w:rFonts w:ascii="宋体" w:eastAsia="宋体" w:hAnsi="宋体" w:cs="宋体"/>
          <w:sz w:val="21"/>
          <w:szCs w:val="21"/>
        </w:rPr>
        <w:t>表示允许稍有选择，在条件许可时首先应这样做的：</w:t>
      </w:r>
    </w:p>
    <w:p w:rsidR="009846C2" w:rsidRDefault="00A433A0">
      <w:pPr>
        <w:pStyle w:val="af1"/>
        <w:widowControl w:val="0"/>
        <w:tabs>
          <w:tab w:val="left" w:pos="680"/>
        </w:tabs>
        <w:adjustRightInd w:val="0"/>
        <w:snapToGrid w:val="0"/>
        <w:spacing w:line="360" w:lineRule="exact"/>
        <w:ind w:firstLineChars="400" w:firstLine="840"/>
        <w:jc w:val="both"/>
        <w:rPr>
          <w:rFonts w:ascii="宋体" w:eastAsia="宋体" w:hAnsi="宋体" w:cs="宋体"/>
          <w:sz w:val="21"/>
          <w:szCs w:val="21"/>
        </w:rPr>
      </w:pPr>
      <w:r>
        <w:rPr>
          <w:rFonts w:ascii="宋体" w:eastAsia="宋体" w:hAnsi="宋体" w:cs="宋体"/>
          <w:sz w:val="21"/>
          <w:szCs w:val="21"/>
        </w:rPr>
        <w:t>正面词采用“宜”，反面词采用“不宜”</w:t>
      </w:r>
      <w:r>
        <w:rPr>
          <w:rFonts w:ascii="宋体" w:eastAsia="宋体" w:hAnsi="宋体" w:cs="宋体" w:hint="eastAsia"/>
          <w:sz w:val="21"/>
          <w:szCs w:val="21"/>
        </w:rPr>
        <w:t>。</w:t>
      </w:r>
    </w:p>
    <w:p w:rsidR="009846C2" w:rsidRDefault="00A433A0">
      <w:pPr>
        <w:pStyle w:val="af1"/>
        <w:widowControl w:val="0"/>
        <w:numPr>
          <w:ilvl w:val="0"/>
          <w:numId w:val="124"/>
        </w:numPr>
        <w:adjustRightInd w:val="0"/>
        <w:snapToGrid w:val="0"/>
        <w:spacing w:line="360" w:lineRule="exact"/>
        <w:ind w:left="0" w:firstLineChars="300" w:firstLine="630"/>
        <w:jc w:val="both"/>
        <w:rPr>
          <w:rFonts w:ascii="宋体" w:eastAsia="宋体" w:hAnsi="宋体" w:cs="宋体"/>
          <w:sz w:val="21"/>
          <w:szCs w:val="21"/>
        </w:rPr>
      </w:pPr>
      <w:r>
        <w:rPr>
          <w:rFonts w:ascii="宋体" w:eastAsia="宋体" w:hAnsi="宋体" w:cs="宋体"/>
          <w:sz w:val="21"/>
          <w:szCs w:val="21"/>
        </w:rPr>
        <w:t>表示有选择，在一定条件下可以这样做的，采用</w:t>
      </w:r>
    </w:p>
    <w:p w:rsidR="009846C2" w:rsidRDefault="00A433A0">
      <w:pPr>
        <w:pStyle w:val="af1"/>
        <w:widowControl w:val="0"/>
        <w:tabs>
          <w:tab w:val="left" w:pos="680"/>
        </w:tabs>
        <w:adjustRightInd w:val="0"/>
        <w:snapToGrid w:val="0"/>
        <w:spacing w:line="360" w:lineRule="exact"/>
        <w:ind w:firstLineChars="400" w:firstLine="840"/>
        <w:jc w:val="both"/>
        <w:rPr>
          <w:rFonts w:ascii="宋体" w:eastAsia="宋体" w:hAnsi="宋体" w:cs="宋体"/>
          <w:sz w:val="21"/>
          <w:szCs w:val="21"/>
        </w:rPr>
      </w:pPr>
      <w:r>
        <w:rPr>
          <w:rFonts w:ascii="宋体" w:eastAsia="宋体" w:hAnsi="宋体" w:cs="宋体"/>
          <w:sz w:val="21"/>
          <w:szCs w:val="21"/>
        </w:rPr>
        <w:t>“可”。</w:t>
      </w:r>
    </w:p>
    <w:p w:rsidR="009846C2" w:rsidRDefault="00A433A0">
      <w:pPr>
        <w:pStyle w:val="11"/>
        <w:keepNext w:val="0"/>
        <w:keepLines w:val="0"/>
        <w:numPr>
          <w:ilvl w:val="0"/>
          <w:numId w:val="123"/>
        </w:numPr>
        <w:tabs>
          <w:tab w:val="left" w:pos="0"/>
        </w:tabs>
        <w:topLinePunct/>
        <w:autoSpaceDE/>
        <w:autoSpaceDN/>
        <w:snapToGrid w:val="0"/>
        <w:spacing w:before="0" w:after="0" w:line="360" w:lineRule="exact"/>
        <w:ind w:firstLineChars="200" w:firstLine="420"/>
        <w:jc w:val="both"/>
        <w:outlineLvl w:val="9"/>
        <w:rPr>
          <w:rFonts w:ascii="宋体" w:hAnsi="宋体" w:cs="宋体"/>
          <w:b w:val="0"/>
          <w:sz w:val="21"/>
        </w:rPr>
      </w:pPr>
      <w:r>
        <w:rPr>
          <w:rFonts w:ascii="宋体" w:hAnsi="宋体" w:cs="宋体"/>
          <w:b w:val="0"/>
          <w:sz w:val="21"/>
        </w:rPr>
        <w:t>条文中指明应按其他有关标准执行的写法为“应按……执行” 或“应符合……的规定</w:t>
      </w:r>
      <w:r>
        <w:rPr>
          <w:rFonts w:ascii="宋体" w:hAnsi="宋体" w:cs="宋体" w:hint="eastAsia"/>
          <w:b w:val="0"/>
          <w:sz w:val="21"/>
        </w:rPr>
        <w:t>（或要求）”。</w:t>
      </w:r>
    </w:p>
    <w:p w:rsidR="009846C2" w:rsidRDefault="009846C2">
      <w:pPr>
        <w:pStyle w:val="11"/>
        <w:keepNext w:val="0"/>
        <w:keepLines w:val="0"/>
        <w:tabs>
          <w:tab w:val="left" w:pos="0"/>
        </w:tabs>
        <w:topLinePunct/>
        <w:autoSpaceDE/>
        <w:autoSpaceDN/>
        <w:snapToGrid w:val="0"/>
        <w:spacing w:before="0" w:after="0" w:line="360" w:lineRule="exact"/>
        <w:ind w:left="420"/>
        <w:jc w:val="both"/>
        <w:outlineLvl w:val="9"/>
        <w:rPr>
          <w:rFonts w:ascii="宋体" w:hAnsi="宋体" w:cs="宋体"/>
          <w:b w:val="0"/>
          <w:sz w:val="21"/>
        </w:rPr>
      </w:pPr>
    </w:p>
    <w:p w:rsidR="009846C2" w:rsidRDefault="009846C2">
      <w:pPr>
        <w:pStyle w:val="11"/>
        <w:keepNext w:val="0"/>
        <w:keepLines w:val="0"/>
        <w:tabs>
          <w:tab w:val="left" w:pos="0"/>
        </w:tabs>
        <w:topLinePunct/>
        <w:autoSpaceDE/>
        <w:autoSpaceDN/>
        <w:snapToGrid w:val="0"/>
        <w:spacing w:before="0" w:after="0" w:line="360" w:lineRule="exact"/>
        <w:ind w:left="420"/>
        <w:jc w:val="both"/>
        <w:outlineLvl w:val="9"/>
        <w:rPr>
          <w:rFonts w:ascii="宋体" w:hAnsi="宋体" w:cs="宋体"/>
          <w:b w:val="0"/>
          <w:sz w:val="21"/>
        </w:rPr>
      </w:pPr>
    </w:p>
    <w:p w:rsidR="009846C2" w:rsidRDefault="00A433A0">
      <w:pPr>
        <w:spacing w:line="240" w:lineRule="auto"/>
        <w:rPr>
          <w:rFonts w:ascii="Times New Roman" w:eastAsia="宋体" w:hAnsi="Times New Roman" w:cs="Times New Roman"/>
          <w:kern w:val="2"/>
          <w:sz w:val="21"/>
          <w:szCs w:val="21"/>
        </w:rPr>
      </w:pPr>
      <w:r>
        <w:rPr>
          <w:rFonts w:ascii="Times New Roman" w:eastAsia="宋体" w:hAnsi="Times New Roman" w:cs="Times New Roman"/>
          <w:kern w:val="2"/>
          <w:sz w:val="21"/>
          <w:szCs w:val="21"/>
        </w:rPr>
        <w:br w:type="page"/>
      </w:r>
    </w:p>
    <w:p w:rsidR="009846C2" w:rsidRDefault="00A433A0" w:rsidP="007974B4">
      <w:pPr>
        <w:spacing w:beforeLines="100" w:after="100" w:afterAutospacing="1"/>
        <w:jc w:val="center"/>
        <w:rPr>
          <w:rFonts w:ascii="Times New Roman" w:eastAsia="宋体" w:hAnsi="Times New Roman" w:cs="Times New Roman"/>
          <w:b/>
          <w:bCs/>
          <w:sz w:val="28"/>
          <w:szCs w:val="28"/>
        </w:rPr>
      </w:pPr>
      <w:r>
        <w:rPr>
          <w:rFonts w:ascii="Times New Roman" w:eastAsia="宋体" w:hAnsi="宋体" w:cs="Times New Roman" w:hint="eastAsia"/>
          <w:b/>
          <w:bCs/>
          <w:sz w:val="28"/>
          <w:szCs w:val="28"/>
        </w:rPr>
        <w:lastRenderedPageBreak/>
        <w:t>引用标准名录</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《火力发电厂与变电站设计防火标准》</w:t>
      </w:r>
      <w:r>
        <w:rPr>
          <w:rFonts w:ascii="Times New Roman" w:eastAsia="宋体" w:hAnsi="Times New Roman" w:cs="Times New Roman"/>
          <w:kern w:val="2"/>
          <w:sz w:val="21"/>
          <w:szCs w:val="21"/>
        </w:rPr>
        <w:t>GB 50229</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《建筑设计防火规范》</w:t>
      </w:r>
      <w:r>
        <w:rPr>
          <w:rFonts w:ascii="Times New Roman" w:eastAsia="宋体" w:hAnsi="Times New Roman" w:cs="Times New Roman" w:hint="eastAsia"/>
          <w:kern w:val="2"/>
          <w:sz w:val="21"/>
          <w:szCs w:val="21"/>
        </w:rPr>
        <w:t>GB 50016</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w:t>
      </w:r>
      <w:r>
        <w:rPr>
          <w:rFonts w:ascii="Times New Roman" w:eastAsia="宋体" w:hAnsi="Times New Roman" w:cs="Times New Roman"/>
          <w:kern w:val="2"/>
          <w:sz w:val="21"/>
          <w:szCs w:val="21"/>
        </w:rPr>
        <w:t>消防给水及消火栓系统技术规范</w:t>
      </w:r>
      <w:r>
        <w:rPr>
          <w:rFonts w:ascii="Times New Roman" w:eastAsia="宋体" w:hAnsi="Times New Roman" w:cs="Times New Roman" w:hint="eastAsia"/>
          <w:kern w:val="2"/>
          <w:sz w:val="21"/>
          <w:szCs w:val="21"/>
        </w:rPr>
        <w:t>》</w:t>
      </w:r>
      <w:r>
        <w:rPr>
          <w:rFonts w:ascii="Times New Roman" w:eastAsia="宋体" w:hAnsi="Times New Roman" w:cs="Times New Roman" w:hint="eastAsia"/>
          <w:kern w:val="2"/>
          <w:sz w:val="21"/>
          <w:szCs w:val="21"/>
        </w:rPr>
        <w:t>GB 50974</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《自动喷水灭火系统设计规范》</w:t>
      </w:r>
      <w:r>
        <w:rPr>
          <w:rFonts w:ascii="Times New Roman" w:eastAsia="宋体" w:hAnsi="Times New Roman" w:cs="Times New Roman" w:hint="eastAsia"/>
          <w:kern w:val="2"/>
          <w:sz w:val="21"/>
          <w:szCs w:val="21"/>
        </w:rPr>
        <w:t>GB 50084</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《自动喷水灭火系统施工及验收规范》</w:t>
      </w:r>
      <w:r>
        <w:rPr>
          <w:rFonts w:ascii="Times New Roman" w:eastAsia="宋体" w:hAnsi="Times New Roman" w:cs="Times New Roman" w:hint="eastAsia"/>
          <w:kern w:val="2"/>
          <w:sz w:val="21"/>
          <w:szCs w:val="21"/>
        </w:rPr>
        <w:t>GB 50261</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《水喷雾灭火系统技术规范》</w:t>
      </w:r>
      <w:r>
        <w:rPr>
          <w:rFonts w:ascii="Times New Roman" w:eastAsia="宋体" w:hAnsi="Times New Roman" w:cs="Times New Roman" w:hint="eastAsia"/>
          <w:kern w:val="2"/>
          <w:sz w:val="21"/>
          <w:szCs w:val="21"/>
        </w:rPr>
        <w:t>GB 50219</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《细水雾灭火系统技术规范》</w:t>
      </w:r>
      <w:r>
        <w:rPr>
          <w:rFonts w:ascii="Times New Roman" w:eastAsia="宋体" w:hAnsi="Times New Roman" w:cs="Times New Roman" w:hint="eastAsia"/>
          <w:kern w:val="2"/>
          <w:sz w:val="21"/>
          <w:szCs w:val="21"/>
        </w:rPr>
        <w:t>GB 50898</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《气体灭火系统设计规范》</w:t>
      </w:r>
      <w:r>
        <w:rPr>
          <w:rFonts w:ascii="Times New Roman" w:eastAsia="宋体" w:hAnsi="Times New Roman" w:cs="Times New Roman" w:hint="eastAsia"/>
          <w:kern w:val="2"/>
          <w:sz w:val="21"/>
          <w:szCs w:val="21"/>
        </w:rPr>
        <w:t>GB 50370</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《气体灭火系统施工及验收规范》</w:t>
      </w:r>
      <w:r>
        <w:rPr>
          <w:rFonts w:ascii="Times New Roman" w:eastAsia="宋体" w:hAnsi="Times New Roman" w:cs="Times New Roman" w:hint="eastAsia"/>
          <w:kern w:val="2"/>
          <w:sz w:val="21"/>
          <w:szCs w:val="21"/>
        </w:rPr>
        <w:t>GB 50263</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《泡沫灭火系统设计规范》</w:t>
      </w:r>
      <w:r>
        <w:rPr>
          <w:rFonts w:ascii="Times New Roman" w:eastAsia="宋体" w:hAnsi="Times New Roman" w:cs="Times New Roman" w:hint="eastAsia"/>
          <w:kern w:val="2"/>
          <w:sz w:val="21"/>
          <w:szCs w:val="21"/>
        </w:rPr>
        <w:t>GB 50151</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《泡沫灭火系统施工及验收规范》</w:t>
      </w:r>
      <w:r>
        <w:rPr>
          <w:rFonts w:ascii="Times New Roman" w:eastAsia="宋体" w:hAnsi="Times New Roman" w:cs="Times New Roman" w:hint="eastAsia"/>
          <w:kern w:val="2"/>
          <w:sz w:val="21"/>
          <w:szCs w:val="21"/>
        </w:rPr>
        <w:t>GB 50281</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《建筑灭火器配置设计规范》</w:t>
      </w:r>
      <w:r>
        <w:rPr>
          <w:rFonts w:ascii="Times New Roman" w:eastAsia="宋体" w:hAnsi="Times New Roman" w:cs="Times New Roman" w:hint="eastAsia"/>
          <w:kern w:val="2"/>
          <w:sz w:val="21"/>
          <w:szCs w:val="21"/>
        </w:rPr>
        <w:t>GB 50140</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《建筑灭火器配置验收及检查规范》</w:t>
      </w:r>
      <w:r>
        <w:rPr>
          <w:rFonts w:ascii="Times New Roman" w:eastAsia="宋体" w:hAnsi="Times New Roman" w:cs="Times New Roman" w:hint="eastAsia"/>
          <w:kern w:val="2"/>
          <w:sz w:val="21"/>
          <w:szCs w:val="21"/>
        </w:rPr>
        <w:t>GB 50444</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《建筑防烟排烟系统技术标准》</w:t>
      </w:r>
      <w:r>
        <w:rPr>
          <w:rFonts w:ascii="Times New Roman" w:eastAsia="宋体" w:hAnsi="Times New Roman" w:cs="Times New Roman" w:hint="eastAsia"/>
          <w:kern w:val="2"/>
          <w:sz w:val="21"/>
          <w:szCs w:val="21"/>
        </w:rPr>
        <w:t>GB 51251</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《建筑内部装修设计防火规范》</w:t>
      </w:r>
      <w:r>
        <w:rPr>
          <w:rFonts w:ascii="Times New Roman" w:eastAsia="宋体" w:hAnsi="Times New Roman" w:cs="Times New Roman" w:hint="eastAsia"/>
          <w:kern w:val="2"/>
          <w:sz w:val="21"/>
          <w:szCs w:val="21"/>
        </w:rPr>
        <w:t>GB 50222</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《建筑内部装修防火施工及验收规范》</w:t>
      </w:r>
      <w:r>
        <w:rPr>
          <w:rFonts w:ascii="Times New Roman" w:eastAsia="宋体" w:hAnsi="Times New Roman" w:cs="Times New Roman" w:hint="eastAsia"/>
          <w:kern w:val="2"/>
          <w:sz w:val="21"/>
          <w:szCs w:val="21"/>
        </w:rPr>
        <w:t>GB 50354</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《建筑防火封堵应用技术标准》</w:t>
      </w:r>
      <w:r>
        <w:rPr>
          <w:rFonts w:ascii="Times New Roman" w:eastAsia="宋体" w:hAnsi="Times New Roman" w:cs="Times New Roman" w:hint="eastAsia"/>
          <w:kern w:val="2"/>
          <w:sz w:val="21"/>
          <w:szCs w:val="21"/>
        </w:rPr>
        <w:t>GB/T 51410</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《供配电系统设计规范》</w:t>
      </w:r>
      <w:r>
        <w:rPr>
          <w:rFonts w:ascii="Times New Roman" w:eastAsia="宋体" w:hAnsi="Times New Roman" w:cs="Times New Roman" w:hint="eastAsia"/>
          <w:kern w:val="2"/>
          <w:sz w:val="21"/>
          <w:szCs w:val="21"/>
        </w:rPr>
        <w:t>GB50052</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《消防应急照明和疏散指示系统技术标准》</w:t>
      </w:r>
      <w:r>
        <w:rPr>
          <w:rFonts w:ascii="Times New Roman" w:eastAsia="宋体" w:hAnsi="Times New Roman" w:cs="Times New Roman" w:hint="eastAsia"/>
          <w:kern w:val="2"/>
          <w:sz w:val="21"/>
          <w:szCs w:val="21"/>
        </w:rPr>
        <w:t>GB 51309</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《火灾自动报警系统施工及验收标准》</w:t>
      </w:r>
      <w:r>
        <w:rPr>
          <w:rFonts w:ascii="Times New Roman" w:eastAsia="宋体" w:hAnsi="Times New Roman" w:cs="Times New Roman" w:hint="eastAsia"/>
          <w:kern w:val="2"/>
          <w:sz w:val="21"/>
          <w:szCs w:val="21"/>
        </w:rPr>
        <w:t>GB50166</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《城市综合管廊工程技术规范》</w:t>
      </w:r>
      <w:r>
        <w:rPr>
          <w:rFonts w:ascii="Times New Roman" w:eastAsia="宋体" w:hAnsi="Times New Roman" w:cs="Times New Roman" w:hint="eastAsia"/>
          <w:kern w:val="2"/>
          <w:sz w:val="21"/>
          <w:szCs w:val="21"/>
        </w:rPr>
        <w:t>GB 50838</w:t>
      </w:r>
    </w:p>
    <w:p w:rsidR="009846C2" w:rsidRDefault="00A433A0">
      <w:pPr>
        <w:pStyle w:val="af1"/>
        <w:numPr>
          <w:ilvl w:val="0"/>
          <w:numId w:val="125"/>
        </w:numPr>
        <w:tabs>
          <w:tab w:val="left" w:pos="0"/>
        </w:tabs>
        <w:topLinePunct/>
        <w:spacing w:line="360" w:lineRule="exact"/>
        <w:ind w:firstLineChars="0"/>
        <w:jc w:val="both"/>
        <w:rPr>
          <w:rFonts w:ascii="Times New Roman" w:eastAsia="宋体" w:hAnsi="Times New Roman" w:cs="Times New Roman"/>
          <w:kern w:val="2"/>
          <w:sz w:val="21"/>
          <w:szCs w:val="21"/>
        </w:rPr>
      </w:pPr>
      <w:r>
        <w:rPr>
          <w:rFonts w:ascii="Times New Roman" w:eastAsia="宋体" w:hAnsi="Times New Roman" w:cs="Times New Roman" w:hint="eastAsia"/>
          <w:kern w:val="2"/>
          <w:sz w:val="21"/>
          <w:szCs w:val="21"/>
        </w:rPr>
        <w:t>《电力电缆隧道设计规程》</w:t>
      </w:r>
      <w:r>
        <w:rPr>
          <w:rFonts w:ascii="Times New Roman" w:eastAsia="宋体" w:hAnsi="Times New Roman" w:cs="Times New Roman" w:hint="eastAsia"/>
          <w:kern w:val="2"/>
          <w:sz w:val="21"/>
          <w:szCs w:val="21"/>
        </w:rPr>
        <w:t>DL/T 5484</w:t>
      </w:r>
    </w:p>
    <w:sectPr w:rsidR="009846C2" w:rsidSect="009846C2">
      <w:pgSz w:w="7938" w:h="11510"/>
      <w:pgMar w:top="1247" w:right="1021" w:bottom="90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23" w:rsidRDefault="00BE6823" w:rsidP="009846C2">
      <w:pPr>
        <w:spacing w:line="240" w:lineRule="auto"/>
      </w:pPr>
      <w:r>
        <w:separator/>
      </w:r>
    </w:p>
  </w:endnote>
  <w:endnote w:type="continuationSeparator" w:id="0">
    <w:p w:rsidR="00BE6823" w:rsidRDefault="00BE6823" w:rsidP="009846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Times New Roman"/>
    <w:charset w:val="00"/>
    <w:family w:val="roman"/>
    <w:pitch w:val="default"/>
    <w:sig w:usb0="00000000" w:usb1="00000000" w:usb2="00000000" w:usb3="00000000" w:csb0="00000000" w:csb1="00000000"/>
  </w:font>
  <w:font w:name="Vineta BT">
    <w:panose1 w:val="04020906050602070202"/>
    <w:charset w:val="00"/>
    <w:family w:val="decorative"/>
    <w:pitch w:val="variable"/>
    <w:sig w:usb0="00000087" w:usb1="00000000" w:usb2="00000000" w:usb3="00000000" w:csb0="0000001B"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9846C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9846C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9846C2">
    <w:pPr>
      <w:pStyle w:val="a5"/>
      <w:ind w:right="360" w:firstLine="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9846C2">
    <w:pPr>
      <w:pStyle w:val="a5"/>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330AD5">
    <w:pPr>
      <w:pStyle w:val="a5"/>
      <w:ind w:right="360" w:firstLine="360"/>
      <w:jc w:val="right"/>
    </w:pPr>
    <w:r>
      <w:pict>
        <v:shapetype id="_x0000_t202" coordsize="21600,21600" o:spt="202" path="m,l,21600r21600,l21600,xe">
          <v:stroke joinstyle="miter"/>
          <v:path gradientshapeok="t" o:connecttype="rect"/>
        </v:shapetype>
        <v:shape id="_x0000_s2050" type="#_x0000_t202" style="position:absolute;left:0;text-align:left;margin-left:312pt;margin-top:0;width:2in;height:2in;z-index:251659264;mso-wrap-style:none;mso-position-horizontal:outside;mso-position-horizontal-relative:margin" filled="f" stroked="f">
          <v:textbox style="mso-fit-shape-to-text:t" inset="0,0,0,0">
            <w:txbxContent>
              <w:p w:rsidR="009846C2" w:rsidRDefault="00330AD5">
                <w:pPr>
                  <w:pStyle w:val="a5"/>
                  <w:jc w:val="both"/>
                  <w:rPr>
                    <w:rStyle w:val="ac"/>
                  </w:rPr>
                </w:pPr>
                <w:r w:rsidRPr="00330AD5">
                  <w:rPr>
                    <w:rStyle w:val="ac"/>
                  </w:rPr>
                  <w:fldChar w:fldCharType="begin"/>
                </w:r>
                <w:r w:rsidR="00A433A0">
                  <w:rPr>
                    <w:rStyle w:val="ac"/>
                  </w:rPr>
                  <w:instrText xml:space="preserve">PAGE  </w:instrText>
                </w:r>
                <w:r>
                  <w:fldChar w:fldCharType="separate"/>
                </w:r>
                <w:r w:rsidR="00F73ADA">
                  <w:rPr>
                    <w:rStyle w:val="ac"/>
                    <w:noProof/>
                  </w:rPr>
                  <w:t>2</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330AD5">
    <w:pPr>
      <w:pStyle w:val="a5"/>
      <w:jc w:val="both"/>
    </w:pPr>
    <w: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251658240;mso-wrap-style:none;mso-position-horizontal:outside;mso-position-horizontal-relative:margin" filled="f" stroked="f">
          <v:textbox style="mso-fit-shape-to-text:t" inset="0,0,0,0">
            <w:txbxContent>
              <w:p w:rsidR="009846C2" w:rsidRDefault="00330AD5">
                <w:pPr>
                  <w:pStyle w:val="a5"/>
                </w:pPr>
                <w:r>
                  <w:rPr>
                    <w:rFonts w:hint="eastAsia"/>
                  </w:rPr>
                  <w:fldChar w:fldCharType="begin"/>
                </w:r>
                <w:r w:rsidR="00A433A0">
                  <w:rPr>
                    <w:rFonts w:hint="eastAsia"/>
                  </w:rPr>
                  <w:instrText xml:space="preserve"> PAGE  \* MERGEFORMAT </w:instrText>
                </w:r>
                <w:r>
                  <w:rPr>
                    <w:rFonts w:hint="eastAsia"/>
                  </w:rPr>
                  <w:fldChar w:fldCharType="separate"/>
                </w:r>
                <w:r w:rsidR="00F73ADA">
                  <w:rPr>
                    <w:noProof/>
                  </w:rPr>
                  <w:t>3</w:t>
                </w:r>
                <w:r>
                  <w:rPr>
                    <w:rFonts w:hint="eastAsia"/>
                  </w:rPr>
                  <w:fldChar w:fldCharType="end"/>
                </w:r>
              </w:p>
            </w:txbxContent>
          </v:textbox>
          <w10:wrap anchorx="margin"/>
        </v:shape>
      </w:pict>
    </w:r>
    <w:sdt>
      <w:sdtPr>
        <w:id w:val="2019882484"/>
      </w:sdtP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330AD5">
    <w:pPr>
      <w:pStyle w:val="a5"/>
      <w:ind w:right="360" w:firstLine="360"/>
      <w:jc w:val="right"/>
    </w:pPr>
    <w:r>
      <w:pict>
        <v:shapetype id="_x0000_t202" coordsize="21600,21600" o:spt="202" path="m,l,21600r21600,l21600,xe">
          <v:stroke joinstyle="miter"/>
          <v:path gradientshapeok="t" o:connecttype="rect"/>
        </v:shapetype>
        <v:shape id="_x0000_s2052" type="#_x0000_t202" style="position:absolute;left:0;text-align:left;margin-left:312pt;margin-top:0;width:2in;height:2in;z-index:251661312;mso-wrap-style:none;mso-position-horizontal:outside;mso-position-horizontal-relative:margin" filled="f" stroked="f">
          <v:textbox style="mso-fit-shape-to-text:t" inset="0,0,0,0">
            <w:txbxContent>
              <w:p w:rsidR="009846C2" w:rsidRDefault="00330AD5">
                <w:pPr>
                  <w:pStyle w:val="a5"/>
                  <w:jc w:val="both"/>
                  <w:rPr>
                    <w:rStyle w:val="ac"/>
                  </w:rPr>
                </w:pPr>
                <w:r w:rsidRPr="00330AD5">
                  <w:rPr>
                    <w:rStyle w:val="ac"/>
                  </w:rPr>
                  <w:fldChar w:fldCharType="begin"/>
                </w:r>
                <w:r w:rsidR="00A433A0">
                  <w:rPr>
                    <w:rStyle w:val="ac"/>
                  </w:rPr>
                  <w:instrText xml:space="preserve">PAGE  </w:instrText>
                </w:r>
                <w:r>
                  <w:fldChar w:fldCharType="separate"/>
                </w:r>
                <w:r w:rsidR="007974B4">
                  <w:rPr>
                    <w:rStyle w:val="ac"/>
                    <w:noProof/>
                  </w:rPr>
                  <w:t>108</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C2" w:rsidRDefault="00330AD5">
    <w:pPr>
      <w:pStyle w:val="a5"/>
      <w:jc w:val="right"/>
    </w:pPr>
    <w:r>
      <w:pict>
        <v:shapetype id="_x0000_t202" coordsize="21600,21600" o:spt="202" path="m,l,21600r21600,l21600,xe">
          <v:stroke joinstyle="miter"/>
          <v:path gradientshapeok="t" o:connecttype="rect"/>
        </v:shapetype>
        <v:shape id="_x0000_s2051" type="#_x0000_t202" style="position:absolute;left:0;text-align:left;margin-left:312pt;margin-top:0;width:2in;height:2in;z-index:251660288;mso-wrap-style:none;mso-position-horizontal:outside;mso-position-horizontal-relative:margin" filled="f" stroked="f">
          <v:textbox style="mso-fit-shape-to-text:t" inset="0,0,0,0">
            <w:txbxContent>
              <w:sdt>
                <w:sdtPr>
                  <w:id w:val="1630895880"/>
                </w:sdtPr>
                <w:sdtContent>
                  <w:p w:rsidR="009846C2" w:rsidRDefault="00330AD5">
                    <w:pPr>
                      <w:pStyle w:val="a5"/>
                      <w:jc w:val="right"/>
                    </w:pPr>
                    <w:r w:rsidRPr="00330AD5">
                      <w:fldChar w:fldCharType="begin"/>
                    </w:r>
                    <w:r w:rsidR="00A433A0">
                      <w:instrText xml:space="preserve"> PAGE   \* MERGEFORMAT </w:instrText>
                    </w:r>
                    <w:r w:rsidRPr="00330AD5">
                      <w:fldChar w:fldCharType="separate"/>
                    </w:r>
                    <w:r w:rsidR="007974B4" w:rsidRPr="007974B4">
                      <w:rPr>
                        <w:noProof/>
                        <w:lang w:val="zh-CN"/>
                      </w:rPr>
                      <w:t>107</w:t>
                    </w:r>
                    <w:r>
                      <w:rPr>
                        <w:lang w:val="zh-CN"/>
                      </w:rPr>
                      <w:fldChar w:fldCharType="end"/>
                    </w:r>
                  </w:p>
                </w:sdtContent>
              </w:sdt>
              <w:p w:rsidR="009846C2" w:rsidRDefault="009846C2"/>
            </w:txbxContent>
          </v:textbox>
          <w10:wrap anchorx="margin"/>
        </v:shape>
      </w:pict>
    </w:r>
  </w:p>
  <w:p w:rsidR="009846C2" w:rsidRDefault="009846C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23" w:rsidRDefault="00BE6823" w:rsidP="009846C2">
      <w:pPr>
        <w:spacing w:line="240" w:lineRule="auto"/>
      </w:pPr>
      <w:r>
        <w:separator/>
      </w:r>
    </w:p>
  </w:footnote>
  <w:footnote w:type="continuationSeparator" w:id="0">
    <w:p w:rsidR="00BE6823" w:rsidRDefault="00BE6823" w:rsidP="009846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30C"/>
    <w:multiLevelType w:val="multilevel"/>
    <w:tmpl w:val="0015430C"/>
    <w:lvl w:ilvl="0">
      <w:start w:val="1"/>
      <w:numFmt w:val="decimal"/>
      <w:lvlText w:val="%1"/>
      <w:lvlJc w:val="left"/>
      <w:pPr>
        <w:tabs>
          <w:tab w:val="left" w:pos="680"/>
        </w:tabs>
        <w:ind w:left="680" w:hanging="68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B420A0"/>
    <w:multiLevelType w:val="multilevel"/>
    <w:tmpl w:val="00B420A0"/>
    <w:lvl w:ilvl="0">
      <w:start w:val="1"/>
      <w:numFmt w:val="decimal"/>
      <w:lvlText w:val="7.3.%1"/>
      <w:lvlJc w:val="left"/>
      <w:pPr>
        <w:ind w:left="508" w:hanging="420"/>
      </w:pPr>
      <w:rPr>
        <w:rFonts w:hint="eastAsia"/>
        <w:b/>
        <w:bCs w:val="0"/>
      </w:rPr>
    </w:lvl>
    <w:lvl w:ilvl="1">
      <w:start w:val="1"/>
      <w:numFmt w:val="lowerLetter"/>
      <w:lvlText w:val="%2)"/>
      <w:lvlJc w:val="left"/>
      <w:pPr>
        <w:ind w:left="928" w:hanging="420"/>
      </w:pPr>
    </w:lvl>
    <w:lvl w:ilvl="2">
      <w:start w:val="1"/>
      <w:numFmt w:val="lowerRoman"/>
      <w:lvlText w:val="%3."/>
      <w:lvlJc w:val="right"/>
      <w:pPr>
        <w:ind w:left="1348" w:hanging="420"/>
      </w:pPr>
    </w:lvl>
    <w:lvl w:ilvl="3">
      <w:start w:val="1"/>
      <w:numFmt w:val="decimal"/>
      <w:lvlText w:val="%4."/>
      <w:lvlJc w:val="left"/>
      <w:pPr>
        <w:ind w:left="1768" w:hanging="420"/>
      </w:pPr>
    </w:lvl>
    <w:lvl w:ilvl="4">
      <w:start w:val="1"/>
      <w:numFmt w:val="lowerLetter"/>
      <w:lvlText w:val="%5)"/>
      <w:lvlJc w:val="left"/>
      <w:pPr>
        <w:ind w:left="2188" w:hanging="420"/>
      </w:pPr>
    </w:lvl>
    <w:lvl w:ilvl="5">
      <w:start w:val="1"/>
      <w:numFmt w:val="lowerRoman"/>
      <w:lvlText w:val="%6."/>
      <w:lvlJc w:val="right"/>
      <w:pPr>
        <w:ind w:left="2608" w:hanging="420"/>
      </w:pPr>
    </w:lvl>
    <w:lvl w:ilvl="6">
      <w:start w:val="1"/>
      <w:numFmt w:val="decimal"/>
      <w:lvlText w:val="%7."/>
      <w:lvlJc w:val="left"/>
      <w:pPr>
        <w:ind w:left="3028" w:hanging="420"/>
      </w:pPr>
    </w:lvl>
    <w:lvl w:ilvl="7">
      <w:start w:val="1"/>
      <w:numFmt w:val="lowerLetter"/>
      <w:lvlText w:val="%8)"/>
      <w:lvlJc w:val="left"/>
      <w:pPr>
        <w:ind w:left="3448" w:hanging="420"/>
      </w:pPr>
    </w:lvl>
    <w:lvl w:ilvl="8">
      <w:start w:val="1"/>
      <w:numFmt w:val="lowerRoman"/>
      <w:lvlText w:val="%9."/>
      <w:lvlJc w:val="right"/>
      <w:pPr>
        <w:ind w:left="3868" w:hanging="420"/>
      </w:pPr>
    </w:lvl>
  </w:abstractNum>
  <w:abstractNum w:abstractNumId="2">
    <w:nsid w:val="00F974CD"/>
    <w:multiLevelType w:val="multilevel"/>
    <w:tmpl w:val="00F974CD"/>
    <w:lvl w:ilvl="0">
      <w:start w:val="1"/>
      <w:numFmt w:val="decimal"/>
      <w:lvlText w:val="7.1.%1"/>
      <w:lvlJc w:val="left"/>
      <w:pPr>
        <w:ind w:left="420" w:hanging="420"/>
      </w:pPr>
      <w:rPr>
        <w:rFonts w:hint="eastAsia"/>
      </w:rPr>
    </w:lvl>
    <w:lvl w:ilvl="1">
      <w:start w:val="1"/>
      <w:numFmt w:val="lowerLetter"/>
      <w:lvlText w:val="%2)"/>
      <w:lvlJc w:val="left"/>
      <w:pPr>
        <w:ind w:left="840" w:hanging="420"/>
      </w:pPr>
    </w:lvl>
    <w:lvl w:ilvl="2">
      <w:start w:val="1"/>
      <w:numFmt w:val="decimal"/>
      <w:lvlText w:val="7.1.%3."/>
      <w:lvlJc w:val="right"/>
      <w:pPr>
        <w:ind w:left="1260" w:hanging="420"/>
      </w:pPr>
      <w:rPr>
        <w:rFonts w:hint="eastAsia"/>
      </w:rPr>
    </w:lvl>
    <w:lvl w:ilvl="3">
      <w:start w:val="1"/>
      <w:numFmt w:val="decimal"/>
      <w:lvlText w:val="7.1.%4"/>
      <w:lvlJc w:val="left"/>
      <w:pPr>
        <w:ind w:left="1680" w:hanging="420"/>
      </w:pPr>
      <w:rPr>
        <w:rFonts w:hint="eastAsia"/>
        <w:b/>
        <w:bCs/>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7338C1"/>
    <w:multiLevelType w:val="multilevel"/>
    <w:tmpl w:val="017338C1"/>
    <w:lvl w:ilvl="0">
      <w:start w:val="1"/>
      <w:numFmt w:val="decimal"/>
      <w:lvlText w:val="%1"/>
      <w:lvlJc w:val="left"/>
      <w:pPr>
        <w:tabs>
          <w:tab w:val="left" w:pos="680"/>
        </w:tabs>
        <w:ind w:left="0" w:firstLine="0"/>
      </w:pPr>
      <w:rPr>
        <w:rFonts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24E0FA0"/>
    <w:multiLevelType w:val="multilevel"/>
    <w:tmpl w:val="024E0FA0"/>
    <w:lvl w:ilvl="0">
      <w:start w:val="1"/>
      <w:numFmt w:val="decimal"/>
      <w:lvlText w:val="%1"/>
      <w:lvlJc w:val="left"/>
      <w:pPr>
        <w:ind w:left="860" w:hanging="420"/>
      </w:pPr>
      <w:rPr>
        <w:rFonts w:hint="eastAsia"/>
        <w:b/>
        <w:sz w:val="21"/>
        <w:szCs w:val="21"/>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
    <w:nsid w:val="02D37BDD"/>
    <w:multiLevelType w:val="multilevel"/>
    <w:tmpl w:val="02D37BDD"/>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32969D3"/>
    <w:multiLevelType w:val="multilevel"/>
    <w:tmpl w:val="032969D3"/>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5216E72"/>
    <w:multiLevelType w:val="multilevel"/>
    <w:tmpl w:val="05216E72"/>
    <w:lvl w:ilvl="0">
      <w:start w:val="8"/>
      <w:numFmt w:val="decimal"/>
      <w:lvlText w:val="%1"/>
      <w:lvlJc w:val="left"/>
      <w:pPr>
        <w:ind w:left="420" w:hanging="420"/>
      </w:pPr>
      <w:rPr>
        <w:rFonts w:hint="eastAsia"/>
      </w:rPr>
    </w:lvl>
    <w:lvl w:ilvl="1">
      <w:start w:val="1"/>
      <w:numFmt w:val="decimal"/>
      <w:isLgl/>
      <w:lvlText w:val="%1.%2"/>
      <w:lvlJc w:val="left"/>
      <w:pPr>
        <w:ind w:left="750" w:hanging="750"/>
      </w:pPr>
      <w:rPr>
        <w:rFonts w:hint="default"/>
        <w:b/>
      </w:rPr>
    </w:lvl>
    <w:lvl w:ilvl="2">
      <w:start w:val="1"/>
      <w:numFmt w:val="decimal"/>
      <w:isLgl/>
      <w:lvlText w:val="%1.%2.%3"/>
      <w:lvlJc w:val="left"/>
      <w:pPr>
        <w:ind w:left="750" w:hanging="75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nsid w:val="053036C0"/>
    <w:multiLevelType w:val="multilevel"/>
    <w:tmpl w:val="053036C0"/>
    <w:lvl w:ilvl="0">
      <w:start w:val="1"/>
      <w:numFmt w:val="decimal"/>
      <w:lvlText w:val="%1"/>
      <w:lvlJc w:val="left"/>
      <w:pPr>
        <w:tabs>
          <w:tab w:val="left" w:pos="680"/>
        </w:tabs>
        <w:ind w:left="0" w:firstLine="0"/>
      </w:pPr>
      <w:rPr>
        <w:rFonts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62142BE"/>
    <w:multiLevelType w:val="multilevel"/>
    <w:tmpl w:val="062142BE"/>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798145D"/>
    <w:multiLevelType w:val="multilevel"/>
    <w:tmpl w:val="0798145D"/>
    <w:lvl w:ilvl="0">
      <w:start w:val="1"/>
      <w:numFmt w:val="decimal"/>
      <w:lvlText w:val="%1)"/>
      <w:lvlJc w:val="left"/>
      <w:pPr>
        <w:tabs>
          <w:tab w:val="left" w:pos="851"/>
        </w:tabs>
        <w:ind w:left="0" w:firstLine="420"/>
      </w:pPr>
      <w:rPr>
        <w:rFonts w:hint="default"/>
        <w:b/>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095A021E"/>
    <w:multiLevelType w:val="multilevel"/>
    <w:tmpl w:val="095A021E"/>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9647749"/>
    <w:multiLevelType w:val="multilevel"/>
    <w:tmpl w:val="09647749"/>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09791162"/>
    <w:multiLevelType w:val="multilevel"/>
    <w:tmpl w:val="09791162"/>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0AC26AE1"/>
    <w:multiLevelType w:val="multilevel"/>
    <w:tmpl w:val="0AC26AE1"/>
    <w:lvl w:ilvl="0">
      <w:start w:val="1"/>
      <w:numFmt w:val="decimal"/>
      <w:lvlText w:val="4.6.%1"/>
      <w:lvlJc w:val="left"/>
      <w:pPr>
        <w:ind w:left="420" w:hanging="420"/>
      </w:pPr>
      <w:rPr>
        <w:rFonts w:hint="eastAsia"/>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B1E24DB"/>
    <w:multiLevelType w:val="multilevel"/>
    <w:tmpl w:val="0B1E24DB"/>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0B933DA3"/>
    <w:multiLevelType w:val="multilevel"/>
    <w:tmpl w:val="0B933DA3"/>
    <w:lvl w:ilvl="0">
      <w:start w:val="1"/>
      <w:numFmt w:val="decimal"/>
      <w:lvlText w:val="8.%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7">
    <w:nsid w:val="0CE4450A"/>
    <w:multiLevelType w:val="multilevel"/>
    <w:tmpl w:val="0CE4450A"/>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0D3D0B2A"/>
    <w:multiLevelType w:val="multilevel"/>
    <w:tmpl w:val="0D3D0B2A"/>
    <w:lvl w:ilvl="0">
      <w:start w:val="1"/>
      <w:numFmt w:val="decimal"/>
      <w:lvlText w:val="%1"/>
      <w:lvlJc w:val="left"/>
      <w:pPr>
        <w:tabs>
          <w:tab w:val="left" w:pos="680"/>
        </w:tabs>
        <w:ind w:left="680" w:hanging="68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0E935BB8"/>
    <w:multiLevelType w:val="multilevel"/>
    <w:tmpl w:val="0E935BB8"/>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102925E6"/>
    <w:multiLevelType w:val="multilevel"/>
    <w:tmpl w:val="102925E6"/>
    <w:lvl w:ilvl="0">
      <w:start w:val="1"/>
      <w:numFmt w:val="decimal"/>
      <w:lvlText w:val="%1"/>
      <w:lvlJc w:val="left"/>
      <w:pPr>
        <w:tabs>
          <w:tab w:val="left" w:pos="680"/>
        </w:tabs>
        <w:ind w:left="420" w:hanging="42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10750AEC"/>
    <w:multiLevelType w:val="multilevel"/>
    <w:tmpl w:val="10750AEC"/>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11C56099"/>
    <w:multiLevelType w:val="multilevel"/>
    <w:tmpl w:val="11C56099"/>
    <w:lvl w:ilvl="0">
      <w:start w:val="1"/>
      <w:numFmt w:val="decimal"/>
      <w:lvlText w:val="6.%1"/>
      <w:lvlJc w:val="left"/>
      <w:pPr>
        <w:ind w:left="420" w:hanging="420"/>
      </w:pPr>
      <w:rPr>
        <w:rFonts w:hint="eastAsia"/>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1EF2203"/>
    <w:multiLevelType w:val="multilevel"/>
    <w:tmpl w:val="11EF2203"/>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15075B13"/>
    <w:multiLevelType w:val="multilevel"/>
    <w:tmpl w:val="15075B13"/>
    <w:lvl w:ilvl="0">
      <w:start w:val="1"/>
      <w:numFmt w:val="decimal"/>
      <w:lvlText w:val="5.6.%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71401A8"/>
    <w:multiLevelType w:val="multilevel"/>
    <w:tmpl w:val="171401A8"/>
    <w:lvl w:ilvl="0">
      <w:start w:val="1"/>
      <w:numFmt w:val="decimal"/>
      <w:lvlText w:val="%1"/>
      <w:lvlJc w:val="left"/>
      <w:pPr>
        <w:tabs>
          <w:tab w:val="left" w:pos="737"/>
        </w:tabs>
        <w:ind w:left="851" w:hanging="851"/>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6">
    <w:nsid w:val="176C2EEB"/>
    <w:multiLevelType w:val="multilevel"/>
    <w:tmpl w:val="176C2EEB"/>
    <w:lvl w:ilvl="0">
      <w:start w:val="1"/>
      <w:numFmt w:val="decimal"/>
      <w:lvlText w:val="%1"/>
      <w:lvlJc w:val="left"/>
      <w:pPr>
        <w:tabs>
          <w:tab w:val="left" w:pos="680"/>
        </w:tabs>
        <w:ind w:left="0" w:firstLine="0"/>
      </w:pPr>
      <w:rPr>
        <w:rFonts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17C51F03"/>
    <w:multiLevelType w:val="multilevel"/>
    <w:tmpl w:val="17C51F03"/>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180534E9"/>
    <w:multiLevelType w:val="multilevel"/>
    <w:tmpl w:val="180534E9"/>
    <w:lvl w:ilvl="0">
      <w:start w:val="1"/>
      <w:numFmt w:val="decimal"/>
      <w:lvlText w:val="5.7.%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847094D"/>
    <w:multiLevelType w:val="multilevel"/>
    <w:tmpl w:val="1847094D"/>
    <w:lvl w:ilvl="0">
      <w:start w:val="1"/>
      <w:numFmt w:val="decimal"/>
      <w:lvlText w:val="4.7.%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decimal"/>
      <w:lvlText w:val="4.7.%3"/>
      <w:lvlJc w:val="left"/>
      <w:pPr>
        <w:ind w:left="1260" w:hanging="420"/>
      </w:pPr>
      <w:rPr>
        <w:rFonts w:hint="eastAsia"/>
        <w:b/>
        <w:sz w:val="21"/>
        <w:szCs w:val="21"/>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1A100459"/>
    <w:multiLevelType w:val="multilevel"/>
    <w:tmpl w:val="1A100459"/>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1">
    <w:nsid w:val="1C4E12C6"/>
    <w:multiLevelType w:val="multilevel"/>
    <w:tmpl w:val="1C4E12C6"/>
    <w:lvl w:ilvl="0">
      <w:start w:val="1"/>
      <w:numFmt w:val="decimal"/>
      <w:lvlText w:val="4.1.%1"/>
      <w:lvlJc w:val="left"/>
      <w:pPr>
        <w:ind w:left="420"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1E0E31D8"/>
    <w:multiLevelType w:val="multilevel"/>
    <w:tmpl w:val="1E0E31D8"/>
    <w:lvl w:ilvl="0">
      <w:start w:val="1"/>
      <w:numFmt w:val="decimal"/>
      <w:lvlText w:val="%1"/>
      <w:lvlJc w:val="left"/>
      <w:pPr>
        <w:tabs>
          <w:tab w:val="left" w:pos="737"/>
        </w:tabs>
        <w:ind w:left="851" w:hanging="851"/>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3">
    <w:nsid w:val="1E5723A3"/>
    <w:multiLevelType w:val="multilevel"/>
    <w:tmpl w:val="1E5723A3"/>
    <w:lvl w:ilvl="0">
      <w:start w:val="1"/>
      <w:numFmt w:val="decimal"/>
      <w:lvlText w:val="%1"/>
      <w:lvlJc w:val="left"/>
      <w:pPr>
        <w:tabs>
          <w:tab w:val="left" w:pos="680"/>
        </w:tabs>
        <w:ind w:left="0" w:firstLine="0"/>
      </w:pPr>
      <w:rPr>
        <w:rFonts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1ECD66AD"/>
    <w:multiLevelType w:val="multilevel"/>
    <w:tmpl w:val="1ECD66AD"/>
    <w:lvl w:ilvl="0">
      <w:start w:val="1"/>
      <w:numFmt w:val="decimal"/>
      <w:lvlText w:val="%1"/>
      <w:lvlJc w:val="left"/>
      <w:pPr>
        <w:ind w:left="860" w:hanging="420"/>
      </w:pPr>
      <w:rPr>
        <w:rFonts w:hint="eastAsia"/>
        <w:b/>
        <w:sz w:val="21"/>
        <w:szCs w:val="21"/>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35">
    <w:nsid w:val="1ED15FC5"/>
    <w:multiLevelType w:val="multilevel"/>
    <w:tmpl w:val="1ED15FC5"/>
    <w:lvl w:ilvl="0">
      <w:start w:val="1"/>
      <w:numFmt w:val="decimal"/>
      <w:lvlText w:val="6.2.%1"/>
      <w:lvlJc w:val="left"/>
      <w:pPr>
        <w:ind w:left="1412" w:hanging="420"/>
      </w:pPr>
      <w:rPr>
        <w:rFonts w:hint="eastAsia"/>
        <w:b/>
        <w:sz w:val="21"/>
        <w:szCs w:val="21"/>
      </w:rPr>
    </w:lvl>
    <w:lvl w:ilvl="1">
      <w:start w:val="1"/>
      <w:numFmt w:val="decimal"/>
      <w:lvlText w:val="%2"/>
      <w:lvlJc w:val="left"/>
      <w:pPr>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F925415"/>
    <w:multiLevelType w:val="multilevel"/>
    <w:tmpl w:val="1F925415"/>
    <w:lvl w:ilvl="0">
      <w:start w:val="1"/>
      <w:numFmt w:val="decimal"/>
      <w:lvlText w:val="8.1.%1"/>
      <w:lvlJc w:val="left"/>
      <w:pPr>
        <w:ind w:left="168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1FDA34E6"/>
    <w:multiLevelType w:val="multilevel"/>
    <w:tmpl w:val="1FDA34E6"/>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1FE53D10"/>
    <w:multiLevelType w:val="multilevel"/>
    <w:tmpl w:val="1FE53D10"/>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nsid w:val="200520FB"/>
    <w:multiLevelType w:val="multilevel"/>
    <w:tmpl w:val="200520FB"/>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25F150B7"/>
    <w:multiLevelType w:val="multilevel"/>
    <w:tmpl w:val="25F150B7"/>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nsid w:val="271516FC"/>
    <w:multiLevelType w:val="multilevel"/>
    <w:tmpl w:val="271516FC"/>
    <w:lvl w:ilvl="0">
      <w:start w:val="1"/>
      <w:numFmt w:val="decimal"/>
      <w:lvlText w:val="%1)"/>
      <w:lvlJc w:val="left"/>
      <w:pPr>
        <w:ind w:left="1260" w:hanging="420"/>
      </w:pPr>
      <w:rPr>
        <w:rFonts w:ascii="Times New Roman" w:hAnsi="Times New Roman" w:cs="Times New Roman" w:hint="default"/>
        <w:b/>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2">
    <w:nsid w:val="286C78C0"/>
    <w:multiLevelType w:val="multilevel"/>
    <w:tmpl w:val="286C78C0"/>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28A33EFB"/>
    <w:multiLevelType w:val="multilevel"/>
    <w:tmpl w:val="28A33EFB"/>
    <w:lvl w:ilvl="0">
      <w:start w:val="1"/>
      <w:numFmt w:val="decimal"/>
      <w:lvlText w:val="3.2.%1"/>
      <w:lvlJc w:val="left"/>
      <w:pPr>
        <w:tabs>
          <w:tab w:val="left" w:pos="0"/>
        </w:tabs>
        <w:ind w:left="420" w:hanging="420"/>
      </w:pPr>
      <w:rPr>
        <w:rFonts w:ascii="Times New Roman" w:eastAsia="宋体" w:hAnsi="Times New Roman" w:cs="Times New Roman" w:hint="default"/>
        <w:b/>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44">
    <w:nsid w:val="29850D9C"/>
    <w:multiLevelType w:val="multilevel"/>
    <w:tmpl w:val="29850D9C"/>
    <w:lvl w:ilvl="0">
      <w:start w:val="1"/>
      <w:numFmt w:val="decimal"/>
      <w:lvlText w:val="%1"/>
      <w:lvlJc w:val="left"/>
      <w:pPr>
        <w:tabs>
          <w:tab w:val="left" w:pos="680"/>
        </w:tabs>
        <w:ind w:left="0" w:firstLine="0"/>
      </w:pPr>
      <w:rPr>
        <w:rFonts w:ascii="Times New Roman" w:eastAsia="宋体" w:hAnsi="Times New Roman" w:cs="Times New Roman" w:hint="default"/>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2B4D6C28"/>
    <w:multiLevelType w:val="multilevel"/>
    <w:tmpl w:val="2B4D6C28"/>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nsid w:val="2B82573B"/>
    <w:multiLevelType w:val="multilevel"/>
    <w:tmpl w:val="2B82573B"/>
    <w:lvl w:ilvl="0">
      <w:start w:val="1"/>
      <w:numFmt w:val="decimal"/>
      <w:lvlText w:val="%1"/>
      <w:lvlJc w:val="left"/>
      <w:pPr>
        <w:tabs>
          <w:tab w:val="left" w:pos="737"/>
        </w:tabs>
        <w:ind w:left="851" w:hanging="851"/>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7">
    <w:nsid w:val="2BDC4D6A"/>
    <w:multiLevelType w:val="multilevel"/>
    <w:tmpl w:val="2BDC4D6A"/>
    <w:lvl w:ilvl="0">
      <w:start w:val="1"/>
      <w:numFmt w:val="decimal"/>
      <w:lvlText w:val="%1"/>
      <w:lvlJc w:val="right"/>
      <w:pPr>
        <w:ind w:left="420" w:hanging="420"/>
      </w:pPr>
      <w:rPr>
        <w:rFonts w:ascii="Times New Roman" w:eastAsia="宋体" w:hAnsi="Times New Roman" w:cs="Times New Roman" w:hint="default"/>
        <w:b/>
      </w:rPr>
    </w:lvl>
    <w:lvl w:ilvl="1">
      <w:start w:val="7"/>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8">
    <w:nsid w:val="2D59627A"/>
    <w:multiLevelType w:val="multilevel"/>
    <w:tmpl w:val="2D59627A"/>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9">
    <w:nsid w:val="2D75151F"/>
    <w:multiLevelType w:val="multilevel"/>
    <w:tmpl w:val="2D75151F"/>
    <w:lvl w:ilvl="0">
      <w:start w:val="1"/>
      <w:numFmt w:val="decimal"/>
      <w:lvlText w:val="%1"/>
      <w:lvlJc w:val="left"/>
      <w:pPr>
        <w:tabs>
          <w:tab w:val="left" w:pos="737"/>
        </w:tabs>
        <w:ind w:left="851" w:hanging="431"/>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0">
    <w:nsid w:val="2E0E7A5E"/>
    <w:multiLevelType w:val="multilevel"/>
    <w:tmpl w:val="2E0E7A5E"/>
    <w:lvl w:ilvl="0">
      <w:start w:val="1"/>
      <w:numFmt w:val="decimal"/>
      <w:lvlText w:val="6.%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51">
    <w:nsid w:val="2E397597"/>
    <w:multiLevelType w:val="multilevel"/>
    <w:tmpl w:val="2E397597"/>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2">
    <w:nsid w:val="2E7D2DA6"/>
    <w:multiLevelType w:val="multilevel"/>
    <w:tmpl w:val="2E7D2DA6"/>
    <w:lvl w:ilvl="0">
      <w:start w:val="1"/>
      <w:numFmt w:val="decimal"/>
      <w:lvlText w:val="3.%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53">
    <w:nsid w:val="30962467"/>
    <w:multiLevelType w:val="multilevel"/>
    <w:tmpl w:val="3096246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32551F81"/>
    <w:multiLevelType w:val="multilevel"/>
    <w:tmpl w:val="32551F81"/>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nsid w:val="329D5C39"/>
    <w:multiLevelType w:val="multilevel"/>
    <w:tmpl w:val="329D5C39"/>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nsid w:val="32A22780"/>
    <w:multiLevelType w:val="multilevel"/>
    <w:tmpl w:val="32A22780"/>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33174745"/>
    <w:multiLevelType w:val="multilevel"/>
    <w:tmpl w:val="33174745"/>
    <w:lvl w:ilvl="0">
      <w:start w:val="1"/>
      <w:numFmt w:val="decimal"/>
      <w:lvlText w:val="%1"/>
      <w:lvlJc w:val="left"/>
      <w:pPr>
        <w:tabs>
          <w:tab w:val="left" w:pos="680"/>
        </w:tabs>
        <w:ind w:left="0" w:firstLine="0"/>
      </w:pPr>
      <w:rPr>
        <w:rFonts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nsid w:val="337A1DF9"/>
    <w:multiLevelType w:val="multilevel"/>
    <w:tmpl w:val="337A1DF9"/>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nsid w:val="36133989"/>
    <w:multiLevelType w:val="multilevel"/>
    <w:tmpl w:val="36133989"/>
    <w:lvl w:ilvl="0">
      <w:start w:val="1"/>
      <w:numFmt w:val="decimal"/>
      <w:lvlText w:val="3.1.%1"/>
      <w:lvlJc w:val="left"/>
      <w:pPr>
        <w:tabs>
          <w:tab w:val="left" w:pos="0"/>
        </w:tabs>
        <w:ind w:left="420" w:hanging="420"/>
      </w:pPr>
      <w:rPr>
        <w:rFonts w:ascii="Times New Roman" w:eastAsia="宋体" w:hAnsi="Times New Roman" w:cs="Times New Roman" w:hint="default"/>
        <w:b/>
      </w:rPr>
    </w:lvl>
    <w:lvl w:ilvl="1">
      <w:start w:val="1"/>
      <w:numFmt w:val="lowerLetter"/>
      <w:lvlText w:val="%2)"/>
      <w:lvlJc w:val="left"/>
      <w:pPr>
        <w:tabs>
          <w:tab w:val="left" w:pos="0"/>
        </w:tabs>
        <w:ind w:left="840" w:hanging="420"/>
      </w:pPr>
      <w:rPr>
        <w:rFonts w:hint="eastAsia"/>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60">
    <w:nsid w:val="36CE3821"/>
    <w:multiLevelType w:val="multilevel"/>
    <w:tmpl w:val="36CE3821"/>
    <w:lvl w:ilvl="0">
      <w:start w:val="1"/>
      <w:numFmt w:val="decimal"/>
      <w:lvlText w:val="%1"/>
      <w:lvlJc w:val="left"/>
      <w:pPr>
        <w:tabs>
          <w:tab w:val="left" w:pos="680"/>
        </w:tabs>
        <w:ind w:left="0" w:firstLine="0"/>
      </w:pPr>
      <w:rPr>
        <w:rFonts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nsid w:val="37240D17"/>
    <w:multiLevelType w:val="multilevel"/>
    <w:tmpl w:val="37240D17"/>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nsid w:val="376A0C12"/>
    <w:multiLevelType w:val="multilevel"/>
    <w:tmpl w:val="376A0C12"/>
    <w:lvl w:ilvl="0">
      <w:start w:val="1"/>
      <w:numFmt w:val="decimal"/>
      <w:lvlText w:val="%1"/>
      <w:lvlJc w:val="left"/>
      <w:pPr>
        <w:tabs>
          <w:tab w:val="left" w:pos="680"/>
        </w:tabs>
        <w:ind w:left="0" w:firstLine="0"/>
      </w:pPr>
      <w:rPr>
        <w:rFonts w:ascii="Times New Roman" w:eastAsia="宋体" w:hAnsi="Times New Roman" w:cs="Times New Roman" w:hint="default"/>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3">
    <w:nsid w:val="3A482964"/>
    <w:multiLevelType w:val="multilevel"/>
    <w:tmpl w:val="3A482964"/>
    <w:lvl w:ilvl="0">
      <w:start w:val="1"/>
      <w:numFmt w:val="decimal"/>
      <w:lvlText w:val="%1)"/>
      <w:lvlJc w:val="left"/>
      <w:pPr>
        <w:tabs>
          <w:tab w:val="left" w:pos="907"/>
        </w:tabs>
        <w:ind w:left="0" w:firstLine="0"/>
      </w:pPr>
      <w:rPr>
        <w:rFonts w:hint="default"/>
        <w:b/>
        <w:bC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4">
    <w:nsid w:val="3AB9027B"/>
    <w:multiLevelType w:val="multilevel"/>
    <w:tmpl w:val="3AB9027B"/>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3C7B7BBD"/>
    <w:multiLevelType w:val="multilevel"/>
    <w:tmpl w:val="3C7B7BBD"/>
    <w:lvl w:ilvl="0">
      <w:start w:val="1"/>
      <w:numFmt w:val="decimal"/>
      <w:lvlText w:val="%1"/>
      <w:lvlJc w:val="left"/>
      <w:pPr>
        <w:tabs>
          <w:tab w:val="left" w:pos="680"/>
        </w:tabs>
        <w:ind w:left="420" w:hanging="42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3F107C6C"/>
    <w:multiLevelType w:val="multilevel"/>
    <w:tmpl w:val="3F107C6C"/>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41454761"/>
    <w:multiLevelType w:val="multilevel"/>
    <w:tmpl w:val="41454761"/>
    <w:lvl w:ilvl="0">
      <w:start w:val="1"/>
      <w:numFmt w:val="decimal"/>
      <w:lvlText w:val="4.%1"/>
      <w:lvlJc w:val="left"/>
      <w:pPr>
        <w:ind w:left="420" w:hanging="420"/>
      </w:pPr>
      <w:rPr>
        <w:rFonts w:hint="eastAsia"/>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41495539"/>
    <w:multiLevelType w:val="multilevel"/>
    <w:tmpl w:val="41495539"/>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9">
    <w:nsid w:val="43B2590F"/>
    <w:multiLevelType w:val="multilevel"/>
    <w:tmpl w:val="43B2590F"/>
    <w:lvl w:ilvl="0">
      <w:start w:val="1"/>
      <w:numFmt w:val="decimal"/>
      <w:lvlText w:val="%1"/>
      <w:lvlJc w:val="left"/>
      <w:pPr>
        <w:tabs>
          <w:tab w:val="left" w:pos="680"/>
        </w:tabs>
        <w:ind w:left="0" w:firstLine="0"/>
      </w:pPr>
      <w:rPr>
        <w:rFonts w:ascii="Times New Roman" w:eastAsia="宋体" w:hAnsi="Times New Roman" w:cs="Times New Roman" w:hint="default"/>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0">
    <w:nsid w:val="44523405"/>
    <w:multiLevelType w:val="multilevel"/>
    <w:tmpl w:val="44523405"/>
    <w:lvl w:ilvl="0">
      <w:start w:val="1"/>
      <w:numFmt w:val="decimal"/>
      <w:lvlText w:val="8.%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71">
    <w:nsid w:val="44D71C25"/>
    <w:multiLevelType w:val="multilevel"/>
    <w:tmpl w:val="44D71C25"/>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2">
    <w:nsid w:val="45AC2686"/>
    <w:multiLevelType w:val="multilevel"/>
    <w:tmpl w:val="45AC2686"/>
    <w:lvl w:ilvl="0">
      <w:start w:val="1"/>
      <w:numFmt w:val="decimal"/>
      <w:lvlText w:val="%1"/>
      <w:lvlJc w:val="left"/>
      <w:pPr>
        <w:tabs>
          <w:tab w:val="left" w:pos="680"/>
        </w:tabs>
        <w:ind w:left="680" w:hanging="68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3">
    <w:nsid w:val="46A27780"/>
    <w:multiLevelType w:val="multilevel"/>
    <w:tmpl w:val="46A27780"/>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4">
    <w:nsid w:val="49515B90"/>
    <w:multiLevelType w:val="multilevel"/>
    <w:tmpl w:val="49515B9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49D831FB"/>
    <w:multiLevelType w:val="multilevel"/>
    <w:tmpl w:val="49D831FB"/>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4B611B86"/>
    <w:multiLevelType w:val="multilevel"/>
    <w:tmpl w:val="4B611B86"/>
    <w:lvl w:ilvl="0">
      <w:start w:val="1"/>
      <w:numFmt w:val="decimal"/>
      <w:lvlText w:val="4.%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77">
    <w:nsid w:val="4B9A13E7"/>
    <w:multiLevelType w:val="multilevel"/>
    <w:tmpl w:val="4B9A13E7"/>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nsid w:val="4CD971D4"/>
    <w:multiLevelType w:val="multilevel"/>
    <w:tmpl w:val="4CD971D4"/>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9">
    <w:nsid w:val="4E5A1C69"/>
    <w:multiLevelType w:val="multilevel"/>
    <w:tmpl w:val="4E5A1C69"/>
    <w:lvl w:ilvl="0">
      <w:start w:val="1"/>
      <w:numFmt w:val="decimal"/>
      <w:lvlText w:val="3.%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80">
    <w:nsid w:val="4EE33312"/>
    <w:multiLevelType w:val="multilevel"/>
    <w:tmpl w:val="4EE33312"/>
    <w:lvl w:ilvl="0">
      <w:start w:val="1"/>
      <w:numFmt w:val="decimal"/>
      <w:lvlText w:val="%1"/>
      <w:lvlJc w:val="left"/>
      <w:pPr>
        <w:tabs>
          <w:tab w:val="left" w:pos="680"/>
        </w:tabs>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1">
    <w:nsid w:val="4F913E0E"/>
    <w:multiLevelType w:val="multilevel"/>
    <w:tmpl w:val="4F913E0E"/>
    <w:lvl w:ilvl="0">
      <w:start w:val="1"/>
      <w:numFmt w:val="decimal"/>
      <w:lvlText w:val="7.4.%1"/>
      <w:lvlJc w:val="left"/>
      <w:pPr>
        <w:ind w:left="420" w:hanging="420"/>
      </w:pPr>
      <w:rPr>
        <w:rFonts w:hint="eastAsia"/>
        <w:b/>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4FAB2730"/>
    <w:multiLevelType w:val="multilevel"/>
    <w:tmpl w:val="4FAB273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50DD0446"/>
    <w:multiLevelType w:val="multilevel"/>
    <w:tmpl w:val="50DD0446"/>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4">
    <w:nsid w:val="51934AA3"/>
    <w:multiLevelType w:val="multilevel"/>
    <w:tmpl w:val="51934AA3"/>
    <w:lvl w:ilvl="0">
      <w:start w:val="1"/>
      <w:numFmt w:val="decimal"/>
      <w:lvlText w:val="5.1.%1"/>
      <w:lvlJc w:val="left"/>
      <w:pPr>
        <w:ind w:left="420" w:hanging="420"/>
      </w:pPr>
      <w:rPr>
        <w:rFonts w:ascii="Times New Roman" w:eastAsia="宋体" w:hAnsi="Times New Roman" w:cs="Times New Roman" w:hint="default"/>
        <w:b/>
        <w:bCs/>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5214C309"/>
    <w:multiLevelType w:val="multilevel"/>
    <w:tmpl w:val="5214C309"/>
    <w:lvl w:ilvl="0">
      <w:start w:val="1"/>
      <w:numFmt w:val="decimal"/>
      <w:lvlText w:val="5.%1"/>
      <w:lvlJc w:val="left"/>
      <w:pPr>
        <w:ind w:left="420" w:hanging="420"/>
      </w:pPr>
      <w:rPr>
        <w:rFonts w:ascii="黑体" w:eastAsia="黑体" w:hAnsi="黑体" w:cs="宋体" w:hint="default"/>
        <w:b/>
        <w:bCs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52D16006"/>
    <w:multiLevelType w:val="multilevel"/>
    <w:tmpl w:val="52D16006"/>
    <w:lvl w:ilvl="0">
      <w:start w:val="1"/>
      <w:numFmt w:val="decimal"/>
      <w:lvlText w:val="5.%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87">
    <w:nsid w:val="54C95A90"/>
    <w:multiLevelType w:val="multilevel"/>
    <w:tmpl w:val="54C95A90"/>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8">
    <w:nsid w:val="54E05DB1"/>
    <w:multiLevelType w:val="multilevel"/>
    <w:tmpl w:val="54E05DB1"/>
    <w:lvl w:ilvl="0">
      <w:start w:val="1"/>
      <w:numFmt w:val="decimal"/>
      <w:lvlText w:val="4.4.%1"/>
      <w:lvlJc w:val="left"/>
      <w:pPr>
        <w:ind w:left="420" w:hanging="420"/>
      </w:pPr>
      <w:rPr>
        <w:rFonts w:hint="eastAsia"/>
        <w:b/>
      </w:rPr>
    </w:lvl>
    <w:lvl w:ilvl="1">
      <w:start w:val="1"/>
      <w:numFmt w:val="lowerLetter"/>
      <w:lvlText w:val="%2）"/>
      <w:lvlJc w:val="left"/>
      <w:pPr>
        <w:ind w:left="825" w:hanging="40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55E27BA1"/>
    <w:multiLevelType w:val="multilevel"/>
    <w:tmpl w:val="55E27BA1"/>
    <w:lvl w:ilvl="0">
      <w:start w:val="1"/>
      <w:numFmt w:val="decimal"/>
      <w:lvlText w:val="%1"/>
      <w:lvlJc w:val="left"/>
      <w:pPr>
        <w:tabs>
          <w:tab w:val="left" w:pos="680"/>
        </w:tabs>
        <w:ind w:left="0" w:firstLine="0"/>
      </w:pPr>
      <w:rPr>
        <w:rFonts w:ascii="Times New Roman" w:eastAsia="宋体" w:hAnsi="Times New Roman" w:cs="Times New Roman" w:hint="default"/>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0">
    <w:nsid w:val="57081736"/>
    <w:multiLevelType w:val="multilevel"/>
    <w:tmpl w:val="57081736"/>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1">
    <w:nsid w:val="57AC23C1"/>
    <w:multiLevelType w:val="multilevel"/>
    <w:tmpl w:val="57AC23C1"/>
    <w:lvl w:ilvl="0">
      <w:start w:val="1"/>
      <w:numFmt w:val="decimal"/>
      <w:lvlText w:val="%1"/>
      <w:lvlJc w:val="left"/>
      <w:pPr>
        <w:tabs>
          <w:tab w:val="left" w:pos="680"/>
        </w:tabs>
        <w:ind w:left="0" w:firstLine="0"/>
      </w:pPr>
      <w:rPr>
        <w:rFonts w:ascii="Times New Roman" w:eastAsia="宋体" w:hAnsi="Times New Roman" w:cs="Times New Roman" w:hint="default"/>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2">
    <w:nsid w:val="58B14F13"/>
    <w:multiLevelType w:val="multilevel"/>
    <w:tmpl w:val="58B14F13"/>
    <w:lvl w:ilvl="0">
      <w:start w:val="1"/>
      <w:numFmt w:val="decimal"/>
      <w:lvlText w:val="%1"/>
      <w:lvlJc w:val="left"/>
      <w:pPr>
        <w:tabs>
          <w:tab w:val="left" w:pos="737"/>
        </w:tabs>
        <w:ind w:left="851" w:hanging="851"/>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3">
    <w:nsid w:val="5D596374"/>
    <w:multiLevelType w:val="multilevel"/>
    <w:tmpl w:val="5D596374"/>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4">
    <w:nsid w:val="5E151EBB"/>
    <w:multiLevelType w:val="multilevel"/>
    <w:tmpl w:val="5E151EBB"/>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5">
    <w:nsid w:val="6187563B"/>
    <w:multiLevelType w:val="multilevel"/>
    <w:tmpl w:val="6187563B"/>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6">
    <w:nsid w:val="627D133F"/>
    <w:multiLevelType w:val="multilevel"/>
    <w:tmpl w:val="627D133F"/>
    <w:lvl w:ilvl="0">
      <w:start w:val="1"/>
      <w:numFmt w:val="decimal"/>
      <w:lvlText w:val="4.5.%1"/>
      <w:lvlJc w:val="left"/>
      <w:pPr>
        <w:ind w:left="420" w:hanging="420"/>
      </w:pPr>
      <w:rPr>
        <w:rFonts w:ascii="Times New Roman" w:hAnsi="Times New Roman" w:cs="Times New Roman" w:hint="default"/>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nsid w:val="632F4C14"/>
    <w:multiLevelType w:val="multilevel"/>
    <w:tmpl w:val="632F4C14"/>
    <w:lvl w:ilvl="0">
      <w:start w:val="1"/>
      <w:numFmt w:val="decimal"/>
      <w:lvlText w:val="%1"/>
      <w:lvlJc w:val="left"/>
      <w:pPr>
        <w:tabs>
          <w:tab w:val="left" w:pos="737"/>
        </w:tabs>
        <w:ind w:left="851" w:hanging="851"/>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8">
    <w:nsid w:val="63341522"/>
    <w:multiLevelType w:val="multilevel"/>
    <w:tmpl w:val="63341522"/>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9">
    <w:nsid w:val="652E6F34"/>
    <w:multiLevelType w:val="multilevel"/>
    <w:tmpl w:val="652E6F34"/>
    <w:lvl w:ilvl="0">
      <w:start w:val="1"/>
      <w:numFmt w:val="decimal"/>
      <w:lvlText w:val="%1"/>
      <w:lvlJc w:val="left"/>
      <w:pPr>
        <w:tabs>
          <w:tab w:val="left" w:pos="680"/>
        </w:tabs>
        <w:ind w:left="680" w:hanging="68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0">
    <w:nsid w:val="66290083"/>
    <w:multiLevelType w:val="multilevel"/>
    <w:tmpl w:val="66290083"/>
    <w:lvl w:ilvl="0">
      <w:start w:val="1"/>
      <w:numFmt w:val="decimal"/>
      <w:lvlText w:val="8.2.%1"/>
      <w:lvlJc w:val="left"/>
      <w:pPr>
        <w:ind w:left="562" w:hanging="420"/>
      </w:pPr>
      <w:rPr>
        <w:rFonts w:hint="eastAsia"/>
        <w:b/>
      </w:rPr>
    </w:lvl>
    <w:lvl w:ilvl="1">
      <w:start w:val="1"/>
      <w:numFmt w:val="lowerLetter"/>
      <w:lvlText w:val="%2)"/>
      <w:lvlJc w:val="left"/>
      <w:pPr>
        <w:ind w:left="928" w:hanging="420"/>
      </w:pPr>
    </w:lvl>
    <w:lvl w:ilvl="2">
      <w:start w:val="1"/>
      <w:numFmt w:val="lowerRoman"/>
      <w:lvlText w:val="%3."/>
      <w:lvlJc w:val="right"/>
      <w:pPr>
        <w:ind w:left="1348" w:hanging="420"/>
      </w:pPr>
    </w:lvl>
    <w:lvl w:ilvl="3">
      <w:start w:val="1"/>
      <w:numFmt w:val="decimal"/>
      <w:lvlText w:val="%4."/>
      <w:lvlJc w:val="left"/>
      <w:pPr>
        <w:ind w:left="1768" w:hanging="420"/>
      </w:pPr>
    </w:lvl>
    <w:lvl w:ilvl="4">
      <w:start w:val="1"/>
      <w:numFmt w:val="lowerLetter"/>
      <w:lvlText w:val="%5)"/>
      <w:lvlJc w:val="left"/>
      <w:pPr>
        <w:ind w:left="2188" w:hanging="420"/>
      </w:pPr>
    </w:lvl>
    <w:lvl w:ilvl="5">
      <w:start w:val="1"/>
      <w:numFmt w:val="lowerRoman"/>
      <w:lvlText w:val="%6."/>
      <w:lvlJc w:val="right"/>
      <w:pPr>
        <w:ind w:left="2608" w:hanging="420"/>
      </w:pPr>
    </w:lvl>
    <w:lvl w:ilvl="6">
      <w:start w:val="1"/>
      <w:numFmt w:val="decimal"/>
      <w:lvlText w:val="%7."/>
      <w:lvlJc w:val="left"/>
      <w:pPr>
        <w:ind w:left="3028" w:hanging="420"/>
      </w:pPr>
    </w:lvl>
    <w:lvl w:ilvl="7">
      <w:start w:val="1"/>
      <w:numFmt w:val="lowerLetter"/>
      <w:lvlText w:val="%8)"/>
      <w:lvlJc w:val="left"/>
      <w:pPr>
        <w:ind w:left="3448" w:hanging="420"/>
      </w:pPr>
    </w:lvl>
    <w:lvl w:ilvl="8">
      <w:start w:val="1"/>
      <w:numFmt w:val="lowerRoman"/>
      <w:lvlText w:val="%9."/>
      <w:lvlJc w:val="right"/>
      <w:pPr>
        <w:ind w:left="3868" w:hanging="420"/>
      </w:pPr>
    </w:lvl>
  </w:abstractNum>
  <w:abstractNum w:abstractNumId="101">
    <w:nsid w:val="675D3350"/>
    <w:multiLevelType w:val="multilevel"/>
    <w:tmpl w:val="675D3350"/>
    <w:lvl w:ilvl="0">
      <w:start w:val="3"/>
      <w:numFmt w:val="decimal"/>
      <w:lvlText w:val="%1"/>
      <w:lvlJc w:val="left"/>
      <w:pPr>
        <w:tabs>
          <w:tab w:val="left" w:pos="0"/>
        </w:tabs>
        <w:ind w:left="360" w:hanging="360"/>
      </w:pPr>
      <w:rPr>
        <w:rFonts w:ascii="黑体" w:hAnsi="黑体" w:cs="宋体" w:hint="default"/>
        <w:b w:val="0"/>
        <w:sz w:val="21"/>
      </w:rPr>
    </w:lvl>
    <w:lvl w:ilvl="1">
      <w:start w:val="1"/>
      <w:numFmt w:val="decimal"/>
      <w:lvlText w:val="%1.%2"/>
      <w:lvlJc w:val="left"/>
      <w:pPr>
        <w:tabs>
          <w:tab w:val="left" w:pos="0"/>
        </w:tabs>
        <w:ind w:left="360" w:hanging="360"/>
      </w:pPr>
      <w:rPr>
        <w:rFonts w:ascii="黑体" w:hAnsi="黑体" w:cs="宋体" w:hint="default"/>
        <w:b/>
        <w:sz w:val="21"/>
      </w:rPr>
    </w:lvl>
    <w:lvl w:ilvl="2">
      <w:start w:val="1"/>
      <w:numFmt w:val="decimal"/>
      <w:lvlText w:val="%1.%2.%3"/>
      <w:lvlJc w:val="left"/>
      <w:pPr>
        <w:tabs>
          <w:tab w:val="left" w:pos="0"/>
        </w:tabs>
        <w:ind w:left="720" w:hanging="720"/>
      </w:pPr>
      <w:rPr>
        <w:rFonts w:ascii="黑体" w:hAnsi="黑体" w:cs="宋体" w:hint="default"/>
        <w:b w:val="0"/>
        <w:sz w:val="21"/>
      </w:rPr>
    </w:lvl>
    <w:lvl w:ilvl="3">
      <w:start w:val="1"/>
      <w:numFmt w:val="decimal"/>
      <w:lvlText w:val="%1.%2.%3.%4"/>
      <w:lvlJc w:val="left"/>
      <w:pPr>
        <w:tabs>
          <w:tab w:val="left" w:pos="0"/>
        </w:tabs>
        <w:ind w:left="720" w:hanging="720"/>
      </w:pPr>
      <w:rPr>
        <w:rFonts w:ascii="黑体" w:hAnsi="黑体" w:cs="宋体" w:hint="default"/>
        <w:b w:val="0"/>
        <w:sz w:val="21"/>
      </w:rPr>
    </w:lvl>
    <w:lvl w:ilvl="4">
      <w:start w:val="1"/>
      <w:numFmt w:val="decimal"/>
      <w:lvlText w:val="%1.%2.%3.%4.%5"/>
      <w:lvlJc w:val="left"/>
      <w:pPr>
        <w:tabs>
          <w:tab w:val="left" w:pos="0"/>
        </w:tabs>
        <w:ind w:left="1080" w:hanging="1080"/>
      </w:pPr>
      <w:rPr>
        <w:rFonts w:ascii="黑体" w:hAnsi="黑体" w:cs="宋体" w:hint="default"/>
        <w:b w:val="0"/>
        <w:sz w:val="21"/>
      </w:rPr>
    </w:lvl>
    <w:lvl w:ilvl="5">
      <w:start w:val="1"/>
      <w:numFmt w:val="decimal"/>
      <w:lvlText w:val="%1.%2.%3.%4.%5.%6"/>
      <w:lvlJc w:val="left"/>
      <w:pPr>
        <w:tabs>
          <w:tab w:val="left" w:pos="0"/>
        </w:tabs>
        <w:ind w:left="1080" w:hanging="1080"/>
      </w:pPr>
      <w:rPr>
        <w:rFonts w:ascii="黑体" w:hAnsi="黑体" w:cs="宋体" w:hint="default"/>
        <w:b w:val="0"/>
        <w:sz w:val="21"/>
      </w:rPr>
    </w:lvl>
    <w:lvl w:ilvl="6">
      <w:start w:val="1"/>
      <w:numFmt w:val="decimal"/>
      <w:lvlText w:val="%1.%2.%3.%4.%5.%6.%7"/>
      <w:lvlJc w:val="left"/>
      <w:pPr>
        <w:tabs>
          <w:tab w:val="left" w:pos="0"/>
        </w:tabs>
        <w:ind w:left="1080" w:hanging="1080"/>
      </w:pPr>
      <w:rPr>
        <w:rFonts w:ascii="黑体" w:hAnsi="黑体" w:cs="宋体" w:hint="default"/>
        <w:b w:val="0"/>
        <w:sz w:val="21"/>
      </w:rPr>
    </w:lvl>
    <w:lvl w:ilvl="7">
      <w:start w:val="1"/>
      <w:numFmt w:val="decimal"/>
      <w:lvlText w:val="%1.%2.%3.%4.%5.%6.%7.%8"/>
      <w:lvlJc w:val="left"/>
      <w:pPr>
        <w:tabs>
          <w:tab w:val="left" w:pos="0"/>
        </w:tabs>
        <w:ind w:left="1440" w:hanging="1440"/>
      </w:pPr>
      <w:rPr>
        <w:rFonts w:ascii="黑体" w:hAnsi="黑体" w:cs="宋体" w:hint="default"/>
        <w:b w:val="0"/>
        <w:sz w:val="21"/>
      </w:rPr>
    </w:lvl>
    <w:lvl w:ilvl="8">
      <w:start w:val="1"/>
      <w:numFmt w:val="decimal"/>
      <w:lvlText w:val="%1.%2.%3.%4.%5.%6.%7.%8.%9"/>
      <w:lvlJc w:val="left"/>
      <w:pPr>
        <w:tabs>
          <w:tab w:val="left" w:pos="0"/>
        </w:tabs>
        <w:ind w:left="1440" w:hanging="1440"/>
      </w:pPr>
      <w:rPr>
        <w:rFonts w:ascii="黑体" w:hAnsi="黑体" w:cs="宋体" w:hint="default"/>
        <w:b w:val="0"/>
        <w:sz w:val="21"/>
      </w:rPr>
    </w:lvl>
  </w:abstractNum>
  <w:abstractNum w:abstractNumId="102">
    <w:nsid w:val="6A731EC6"/>
    <w:multiLevelType w:val="multilevel"/>
    <w:tmpl w:val="6A731EC6"/>
    <w:lvl w:ilvl="0">
      <w:start w:val="1"/>
      <w:numFmt w:val="decimal"/>
      <w:lvlText w:val="6.%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03">
    <w:nsid w:val="6C1E03D0"/>
    <w:multiLevelType w:val="multilevel"/>
    <w:tmpl w:val="6C1E03D0"/>
    <w:lvl w:ilvl="0">
      <w:start w:val="1"/>
      <w:numFmt w:val="decimal"/>
      <w:lvlText w:val="%1"/>
      <w:lvlJc w:val="left"/>
      <w:pPr>
        <w:tabs>
          <w:tab w:val="left" w:pos="680"/>
        </w:tabs>
        <w:ind w:left="0" w:firstLine="0"/>
      </w:pPr>
      <w:rPr>
        <w:rFonts w:hint="eastAsia"/>
        <w:b/>
        <w:bCs/>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4">
    <w:nsid w:val="6C4C7824"/>
    <w:multiLevelType w:val="multilevel"/>
    <w:tmpl w:val="6C4C7824"/>
    <w:lvl w:ilvl="0">
      <w:start w:val="1"/>
      <w:numFmt w:val="decimal"/>
      <w:lvlText w:val="%1"/>
      <w:lvlJc w:val="left"/>
      <w:pPr>
        <w:tabs>
          <w:tab w:val="left" w:pos="680"/>
        </w:tabs>
        <w:ind w:left="680" w:hanging="68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5">
    <w:nsid w:val="6D44189F"/>
    <w:multiLevelType w:val="multilevel"/>
    <w:tmpl w:val="6D44189F"/>
    <w:lvl w:ilvl="0">
      <w:start w:val="1"/>
      <w:numFmt w:val="decimal"/>
      <w:lvlText w:val="7.%1"/>
      <w:lvlJc w:val="left"/>
      <w:pPr>
        <w:ind w:left="3114" w:hanging="420"/>
      </w:pPr>
      <w:rPr>
        <w:rFonts w:hint="eastAsia"/>
        <w:b/>
        <w:bCs w:val="0"/>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6DBF100D"/>
    <w:multiLevelType w:val="multilevel"/>
    <w:tmpl w:val="6DBF100D"/>
    <w:lvl w:ilvl="0">
      <w:start w:val="1"/>
      <w:numFmt w:val="decimal"/>
      <w:lvlText w:val="5.2.%1"/>
      <w:lvlJc w:val="left"/>
      <w:pPr>
        <w:ind w:left="846" w:hanging="420"/>
      </w:pPr>
      <w:rPr>
        <w:rFonts w:ascii="Times New Roman" w:eastAsia="宋体" w:hAnsi="Times New Roman" w:cs="Times New Roman" w:hint="default"/>
        <w:b/>
        <w:bCs/>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6E9778EE"/>
    <w:multiLevelType w:val="multilevel"/>
    <w:tmpl w:val="6E9778EE"/>
    <w:lvl w:ilvl="0">
      <w:start w:val="1"/>
      <w:numFmt w:val="decimal"/>
      <w:lvlText w:val="4.3.%1"/>
      <w:lvlJc w:val="left"/>
      <w:pPr>
        <w:ind w:left="420" w:hanging="420"/>
      </w:pPr>
      <w:rPr>
        <w:rFonts w:hint="eastAsia"/>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70037165"/>
    <w:multiLevelType w:val="multilevel"/>
    <w:tmpl w:val="70037165"/>
    <w:lvl w:ilvl="0">
      <w:start w:val="1"/>
      <w:numFmt w:val="decimal"/>
      <w:lvlText w:val="7.%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09">
    <w:nsid w:val="702873DB"/>
    <w:multiLevelType w:val="multilevel"/>
    <w:tmpl w:val="702873DB"/>
    <w:lvl w:ilvl="0">
      <w:start w:val="1"/>
      <w:numFmt w:val="decimal"/>
      <w:lvlText w:val="6.1.%1"/>
      <w:lvlJc w:val="left"/>
      <w:pPr>
        <w:ind w:left="1412" w:hanging="420"/>
      </w:pPr>
      <w:rPr>
        <w:rFonts w:hint="eastAsia"/>
        <w:b/>
      </w:rPr>
    </w:lvl>
    <w:lvl w:ilvl="1">
      <w:start w:val="1"/>
      <w:numFmt w:val="decimal"/>
      <w:lvlText w:val="%2"/>
      <w:lvlJc w:val="left"/>
      <w:pPr>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70802405"/>
    <w:multiLevelType w:val="multilevel"/>
    <w:tmpl w:val="70802405"/>
    <w:lvl w:ilvl="0">
      <w:start w:val="1"/>
      <w:numFmt w:val="decimal"/>
      <w:lvlText w:val="6.3.%1"/>
      <w:lvlJc w:val="left"/>
      <w:pPr>
        <w:ind w:left="1412" w:hanging="420"/>
      </w:pPr>
      <w:rPr>
        <w:rFonts w:hint="eastAsia"/>
        <w:b/>
        <w:sz w:val="21"/>
        <w:szCs w:val="21"/>
      </w:rPr>
    </w:lvl>
    <w:lvl w:ilvl="1">
      <w:start w:val="1"/>
      <w:numFmt w:val="decimal"/>
      <w:lvlText w:val="%2"/>
      <w:lvlJc w:val="left"/>
      <w:pPr>
        <w:ind w:left="1140" w:hanging="720"/>
      </w:pPr>
      <w:rPr>
        <w:rFonts w:ascii="Times New Roman" w:eastAsiaTheme="minorEastAsia" w:hAnsi="Times New Roman" w:cs="Times New Roman"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nsid w:val="71122009"/>
    <w:multiLevelType w:val="multilevel"/>
    <w:tmpl w:val="71122009"/>
    <w:lvl w:ilvl="0">
      <w:start w:val="1"/>
      <w:numFmt w:val="decimal"/>
      <w:lvlText w:val="%1)"/>
      <w:lvlJc w:val="left"/>
      <w:pPr>
        <w:tabs>
          <w:tab w:val="left" w:pos="851"/>
        </w:tabs>
        <w:ind w:left="0" w:firstLine="0"/>
      </w:pPr>
      <w:rPr>
        <w:rFonts w:hint="eastAsia"/>
        <w:b/>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2">
    <w:nsid w:val="71576A32"/>
    <w:multiLevelType w:val="multilevel"/>
    <w:tmpl w:val="71576A32"/>
    <w:lvl w:ilvl="0">
      <w:start w:val="1"/>
      <w:numFmt w:val="decimal"/>
      <w:lvlText w:val="1.0.%1"/>
      <w:lvlJc w:val="left"/>
      <w:pPr>
        <w:tabs>
          <w:tab w:val="left" w:pos="0"/>
        </w:tabs>
        <w:ind w:left="420" w:hanging="420"/>
      </w:pPr>
      <w:rPr>
        <w:rFonts w:ascii="Times New Roman" w:eastAsia="宋体" w:hAnsi="Times New Roman" w:cs="Times New Roman" w:hint="default"/>
        <w:b/>
      </w:rPr>
    </w:lvl>
    <w:lvl w:ilvl="1">
      <w:start w:val="1"/>
      <w:numFmt w:val="decimal"/>
      <w:lvlText w:val="%2、"/>
      <w:lvlJc w:val="left"/>
      <w:pPr>
        <w:tabs>
          <w:tab w:val="left" w:pos="0"/>
        </w:tabs>
        <w:ind w:left="780" w:hanging="360"/>
      </w:pPr>
      <w:rPr>
        <w:rFonts w:hint="default"/>
      </w:r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13">
    <w:nsid w:val="737D525B"/>
    <w:multiLevelType w:val="multilevel"/>
    <w:tmpl w:val="737D525B"/>
    <w:lvl w:ilvl="0">
      <w:start w:val="1"/>
      <w:numFmt w:val="decimal"/>
      <w:lvlText w:val="%1"/>
      <w:lvlJc w:val="left"/>
      <w:pPr>
        <w:ind w:left="420" w:hanging="420"/>
      </w:pPr>
      <w:rPr>
        <w:rFonts w:hint="eastAsia"/>
        <w:b/>
        <w:bCs/>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743277AA"/>
    <w:multiLevelType w:val="multilevel"/>
    <w:tmpl w:val="743277AA"/>
    <w:lvl w:ilvl="0">
      <w:start w:val="1"/>
      <w:numFmt w:val="decimal"/>
      <w:lvlText w:val="3.3.%1"/>
      <w:lvlJc w:val="left"/>
      <w:pPr>
        <w:ind w:left="562"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5">
    <w:nsid w:val="754D62E1"/>
    <w:multiLevelType w:val="multilevel"/>
    <w:tmpl w:val="754D62E1"/>
    <w:lvl w:ilvl="0">
      <w:start w:val="1"/>
      <w:numFmt w:val="decimal"/>
      <w:lvlText w:val="4.%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16">
    <w:nsid w:val="780D5A1E"/>
    <w:multiLevelType w:val="multilevel"/>
    <w:tmpl w:val="780D5A1E"/>
    <w:lvl w:ilvl="0">
      <w:start w:val="1"/>
      <w:numFmt w:val="decimal"/>
      <w:lvlText w:val="7.2.%1"/>
      <w:lvlJc w:val="left"/>
      <w:pPr>
        <w:ind w:left="508" w:hanging="420"/>
      </w:pPr>
      <w:rPr>
        <w:rFonts w:hint="eastAsia"/>
        <w:b/>
        <w:bCs w:val="0"/>
      </w:rPr>
    </w:lvl>
    <w:lvl w:ilvl="1">
      <w:start w:val="1"/>
      <w:numFmt w:val="lowerLetter"/>
      <w:lvlText w:val="%2)"/>
      <w:lvlJc w:val="left"/>
      <w:pPr>
        <w:ind w:left="928" w:hanging="420"/>
      </w:pPr>
    </w:lvl>
    <w:lvl w:ilvl="2">
      <w:start w:val="1"/>
      <w:numFmt w:val="lowerRoman"/>
      <w:lvlText w:val="%3."/>
      <w:lvlJc w:val="right"/>
      <w:pPr>
        <w:ind w:left="1348" w:hanging="420"/>
      </w:pPr>
    </w:lvl>
    <w:lvl w:ilvl="3">
      <w:start w:val="1"/>
      <w:numFmt w:val="decimal"/>
      <w:lvlText w:val="%4."/>
      <w:lvlJc w:val="left"/>
      <w:pPr>
        <w:ind w:left="1768" w:hanging="420"/>
      </w:pPr>
    </w:lvl>
    <w:lvl w:ilvl="4">
      <w:start w:val="1"/>
      <w:numFmt w:val="lowerLetter"/>
      <w:lvlText w:val="%5)"/>
      <w:lvlJc w:val="left"/>
      <w:pPr>
        <w:ind w:left="2188" w:hanging="420"/>
      </w:pPr>
    </w:lvl>
    <w:lvl w:ilvl="5">
      <w:start w:val="1"/>
      <w:numFmt w:val="lowerRoman"/>
      <w:lvlText w:val="%6."/>
      <w:lvlJc w:val="right"/>
      <w:pPr>
        <w:ind w:left="2608" w:hanging="420"/>
      </w:pPr>
    </w:lvl>
    <w:lvl w:ilvl="6">
      <w:start w:val="1"/>
      <w:numFmt w:val="decimal"/>
      <w:lvlText w:val="%7."/>
      <w:lvlJc w:val="left"/>
      <w:pPr>
        <w:ind w:left="3028" w:hanging="420"/>
      </w:pPr>
    </w:lvl>
    <w:lvl w:ilvl="7">
      <w:start w:val="1"/>
      <w:numFmt w:val="lowerLetter"/>
      <w:lvlText w:val="%8)"/>
      <w:lvlJc w:val="left"/>
      <w:pPr>
        <w:ind w:left="3448" w:hanging="420"/>
      </w:pPr>
    </w:lvl>
    <w:lvl w:ilvl="8">
      <w:start w:val="1"/>
      <w:numFmt w:val="lowerRoman"/>
      <w:lvlText w:val="%9."/>
      <w:lvlJc w:val="right"/>
      <w:pPr>
        <w:ind w:left="3868" w:hanging="420"/>
      </w:pPr>
    </w:lvl>
  </w:abstractNum>
  <w:abstractNum w:abstractNumId="117">
    <w:nsid w:val="79C67310"/>
    <w:multiLevelType w:val="multilevel"/>
    <w:tmpl w:val="79C67310"/>
    <w:lvl w:ilvl="0">
      <w:start w:val="1"/>
      <w:numFmt w:val="decimal"/>
      <w:lvlText w:val="7.%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18">
    <w:nsid w:val="7A2D6874"/>
    <w:multiLevelType w:val="multilevel"/>
    <w:tmpl w:val="7A2D6874"/>
    <w:lvl w:ilvl="0">
      <w:start w:val="1"/>
      <w:numFmt w:val="decimal"/>
      <w:lvlText w:val="8.%1"/>
      <w:lvlJc w:val="left"/>
      <w:pPr>
        <w:ind w:left="4957" w:hanging="420"/>
      </w:pPr>
      <w:rPr>
        <w:rFonts w:hint="eastAsia"/>
        <w:b/>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7AFE3316"/>
    <w:multiLevelType w:val="multilevel"/>
    <w:tmpl w:val="7AFE3316"/>
    <w:lvl w:ilvl="0">
      <w:start w:val="1"/>
      <w:numFmt w:val="decimal"/>
      <w:lvlText w:val="%1"/>
      <w:lvlJc w:val="left"/>
      <w:pPr>
        <w:tabs>
          <w:tab w:val="left" w:pos="680"/>
        </w:tabs>
        <w:ind w:left="0" w:firstLine="0"/>
      </w:pPr>
      <w:rPr>
        <w:rFonts w:ascii="Times New Roman" w:eastAsia="宋体" w:hAnsi="Times New Roman" w:cs="Times New Roman" w:hint="default"/>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0">
    <w:nsid w:val="7B7B7050"/>
    <w:multiLevelType w:val="multilevel"/>
    <w:tmpl w:val="7B7B7050"/>
    <w:lvl w:ilvl="0">
      <w:start w:val="1"/>
      <w:numFmt w:val="decimal"/>
      <w:lvlText w:val="5.4.%1"/>
      <w:lvlJc w:val="left"/>
      <w:pPr>
        <w:tabs>
          <w:tab w:val="left" w:pos="680"/>
        </w:tabs>
        <w:ind w:left="0" w:firstLine="0"/>
      </w:pPr>
      <w:rPr>
        <w:rFonts w:hint="eastAsia"/>
        <w:b/>
        <w:bC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1">
    <w:nsid w:val="7CDA1437"/>
    <w:multiLevelType w:val="multilevel"/>
    <w:tmpl w:val="7CDA1437"/>
    <w:lvl w:ilvl="0">
      <w:start w:val="1"/>
      <w:numFmt w:val="decimal"/>
      <w:lvlText w:val="2.0.%1"/>
      <w:lvlJc w:val="left"/>
      <w:pPr>
        <w:tabs>
          <w:tab w:val="left" w:pos="0"/>
        </w:tabs>
        <w:ind w:left="420" w:hanging="420"/>
      </w:pPr>
      <w:rPr>
        <w:rFonts w:ascii="Times New Roman" w:eastAsia="宋体" w:hAnsi="Times New Roman" w:cs="Times New Roman" w:hint="default"/>
        <w:b/>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22">
    <w:nsid w:val="7EC354CC"/>
    <w:multiLevelType w:val="multilevel"/>
    <w:tmpl w:val="7EC354CC"/>
    <w:lvl w:ilvl="0">
      <w:start w:val="1"/>
      <w:numFmt w:val="decimal"/>
      <w:lvlText w:val="5.3.%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7F511626"/>
    <w:multiLevelType w:val="multilevel"/>
    <w:tmpl w:val="7F511626"/>
    <w:lvl w:ilvl="0">
      <w:start w:val="1"/>
      <w:numFmt w:val="decimal"/>
      <w:lvlText w:val="5.%1"/>
      <w:lvlJc w:val="left"/>
      <w:pPr>
        <w:ind w:left="1220" w:hanging="420"/>
      </w:pPr>
      <w:rPr>
        <w:rFonts w:hint="eastAsia"/>
        <w:b/>
        <w:sz w:val="18"/>
        <w:szCs w:val="18"/>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24">
    <w:nsid w:val="7F80169E"/>
    <w:multiLevelType w:val="multilevel"/>
    <w:tmpl w:val="7F80169E"/>
    <w:lvl w:ilvl="0">
      <w:start w:val="1"/>
      <w:numFmt w:val="decimal"/>
      <w:lvlText w:val="%1"/>
      <w:lvlJc w:val="left"/>
      <w:pPr>
        <w:tabs>
          <w:tab w:val="left" w:pos="680"/>
        </w:tabs>
        <w:ind w:left="0" w:firstLine="0"/>
      </w:pPr>
      <w:rPr>
        <w:rFonts w:asciiTheme="minorEastAsia" w:eastAsia="宋体" w:hAnsiTheme="minorEastAsia" w:hint="eastAsia"/>
        <w:b/>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
  </w:num>
  <w:num w:numId="2">
    <w:abstractNumId w:val="79"/>
  </w:num>
  <w:num w:numId="3">
    <w:abstractNumId w:val="115"/>
  </w:num>
  <w:num w:numId="4">
    <w:abstractNumId w:val="123"/>
  </w:num>
  <w:num w:numId="5">
    <w:abstractNumId w:val="50"/>
  </w:num>
  <w:num w:numId="6">
    <w:abstractNumId w:val="117"/>
  </w:num>
  <w:num w:numId="7">
    <w:abstractNumId w:val="70"/>
  </w:num>
  <w:num w:numId="8">
    <w:abstractNumId w:val="34"/>
  </w:num>
  <w:num w:numId="9">
    <w:abstractNumId w:val="52"/>
  </w:num>
  <w:num w:numId="10">
    <w:abstractNumId w:val="76"/>
  </w:num>
  <w:num w:numId="11">
    <w:abstractNumId w:val="86"/>
  </w:num>
  <w:num w:numId="12">
    <w:abstractNumId w:val="102"/>
  </w:num>
  <w:num w:numId="13">
    <w:abstractNumId w:val="108"/>
  </w:num>
  <w:num w:numId="14">
    <w:abstractNumId w:val="16"/>
  </w:num>
  <w:num w:numId="15">
    <w:abstractNumId w:val="47"/>
  </w:num>
  <w:num w:numId="16">
    <w:abstractNumId w:val="112"/>
  </w:num>
  <w:num w:numId="17">
    <w:abstractNumId w:val="121"/>
  </w:num>
  <w:num w:numId="18">
    <w:abstractNumId w:val="101"/>
  </w:num>
  <w:num w:numId="19">
    <w:abstractNumId w:val="59"/>
  </w:num>
  <w:num w:numId="20">
    <w:abstractNumId w:val="43"/>
  </w:num>
  <w:num w:numId="21">
    <w:abstractNumId w:val="48"/>
  </w:num>
  <w:num w:numId="22">
    <w:abstractNumId w:val="49"/>
  </w:num>
  <w:num w:numId="23">
    <w:abstractNumId w:val="114"/>
  </w:num>
  <w:num w:numId="24">
    <w:abstractNumId w:val="97"/>
  </w:num>
  <w:num w:numId="25">
    <w:abstractNumId w:val="92"/>
  </w:num>
  <w:num w:numId="26">
    <w:abstractNumId w:val="46"/>
  </w:num>
  <w:num w:numId="27">
    <w:abstractNumId w:val="32"/>
  </w:num>
  <w:num w:numId="28">
    <w:abstractNumId w:val="25"/>
  </w:num>
  <w:num w:numId="29">
    <w:abstractNumId w:val="67"/>
  </w:num>
  <w:num w:numId="30">
    <w:abstractNumId w:val="31"/>
  </w:num>
  <w:num w:numId="31">
    <w:abstractNumId w:val="82"/>
  </w:num>
  <w:num w:numId="32">
    <w:abstractNumId w:val="98"/>
  </w:num>
  <w:num w:numId="33">
    <w:abstractNumId w:val="51"/>
  </w:num>
  <w:num w:numId="34">
    <w:abstractNumId w:val="107"/>
  </w:num>
  <w:num w:numId="35">
    <w:abstractNumId w:val="87"/>
  </w:num>
  <w:num w:numId="36">
    <w:abstractNumId w:val="88"/>
  </w:num>
  <w:num w:numId="37">
    <w:abstractNumId w:val="104"/>
  </w:num>
  <w:num w:numId="38">
    <w:abstractNumId w:val="94"/>
  </w:num>
  <w:num w:numId="39">
    <w:abstractNumId w:val="96"/>
  </w:num>
  <w:num w:numId="40">
    <w:abstractNumId w:val="68"/>
  </w:num>
  <w:num w:numId="41">
    <w:abstractNumId w:val="83"/>
  </w:num>
  <w:num w:numId="42">
    <w:abstractNumId w:val="30"/>
  </w:num>
  <w:num w:numId="43">
    <w:abstractNumId w:val="93"/>
  </w:num>
  <w:num w:numId="44">
    <w:abstractNumId w:val="99"/>
  </w:num>
  <w:num w:numId="45">
    <w:abstractNumId w:val="0"/>
  </w:num>
  <w:num w:numId="46">
    <w:abstractNumId w:val="14"/>
  </w:num>
  <w:num w:numId="47">
    <w:abstractNumId w:val="72"/>
  </w:num>
  <w:num w:numId="48">
    <w:abstractNumId w:val="18"/>
  </w:num>
  <w:num w:numId="49">
    <w:abstractNumId w:val="56"/>
  </w:num>
  <w:num w:numId="50">
    <w:abstractNumId w:val="64"/>
  </w:num>
  <w:num w:numId="51">
    <w:abstractNumId w:val="29"/>
  </w:num>
  <w:num w:numId="52">
    <w:abstractNumId w:val="38"/>
  </w:num>
  <w:num w:numId="53">
    <w:abstractNumId w:val="85"/>
  </w:num>
  <w:num w:numId="54">
    <w:abstractNumId w:val="84"/>
  </w:num>
  <w:num w:numId="55">
    <w:abstractNumId w:val="106"/>
  </w:num>
  <w:num w:numId="56">
    <w:abstractNumId w:val="9"/>
  </w:num>
  <w:num w:numId="57">
    <w:abstractNumId w:val="11"/>
  </w:num>
  <w:num w:numId="58">
    <w:abstractNumId w:val="77"/>
  </w:num>
  <w:num w:numId="59">
    <w:abstractNumId w:val="5"/>
  </w:num>
  <w:num w:numId="60">
    <w:abstractNumId w:val="13"/>
  </w:num>
  <w:num w:numId="61">
    <w:abstractNumId w:val="124"/>
  </w:num>
  <w:num w:numId="62">
    <w:abstractNumId w:val="54"/>
  </w:num>
  <w:num w:numId="63">
    <w:abstractNumId w:val="15"/>
  </w:num>
  <w:num w:numId="64">
    <w:abstractNumId w:val="17"/>
  </w:num>
  <w:num w:numId="65">
    <w:abstractNumId w:val="6"/>
  </w:num>
  <w:num w:numId="66">
    <w:abstractNumId w:val="42"/>
  </w:num>
  <w:num w:numId="67">
    <w:abstractNumId w:val="12"/>
  </w:num>
  <w:num w:numId="68">
    <w:abstractNumId w:val="122"/>
  </w:num>
  <w:num w:numId="69">
    <w:abstractNumId w:val="73"/>
  </w:num>
  <w:num w:numId="70">
    <w:abstractNumId w:val="39"/>
  </w:num>
  <w:num w:numId="71">
    <w:abstractNumId w:val="27"/>
  </w:num>
  <w:num w:numId="72">
    <w:abstractNumId w:val="78"/>
  </w:num>
  <w:num w:numId="73">
    <w:abstractNumId w:val="120"/>
  </w:num>
  <w:num w:numId="74">
    <w:abstractNumId w:val="40"/>
  </w:num>
  <w:num w:numId="75">
    <w:abstractNumId w:val="53"/>
  </w:num>
  <w:num w:numId="76">
    <w:abstractNumId w:val="55"/>
  </w:num>
  <w:num w:numId="77">
    <w:abstractNumId w:val="10"/>
  </w:num>
  <w:num w:numId="78">
    <w:abstractNumId w:val="24"/>
  </w:num>
  <w:num w:numId="79">
    <w:abstractNumId w:val="113"/>
  </w:num>
  <w:num w:numId="80">
    <w:abstractNumId w:val="28"/>
  </w:num>
  <w:num w:numId="81">
    <w:abstractNumId w:val="65"/>
  </w:num>
  <w:num w:numId="82">
    <w:abstractNumId w:val="74"/>
  </w:num>
  <w:num w:numId="83">
    <w:abstractNumId w:val="20"/>
  </w:num>
  <w:num w:numId="84">
    <w:abstractNumId w:val="63"/>
  </w:num>
  <w:num w:numId="85">
    <w:abstractNumId w:val="22"/>
  </w:num>
  <w:num w:numId="86">
    <w:abstractNumId w:val="109"/>
  </w:num>
  <w:num w:numId="87">
    <w:abstractNumId w:val="35"/>
  </w:num>
  <w:num w:numId="88">
    <w:abstractNumId w:val="57"/>
  </w:num>
  <w:num w:numId="89">
    <w:abstractNumId w:val="8"/>
  </w:num>
  <w:num w:numId="90">
    <w:abstractNumId w:val="60"/>
  </w:num>
  <w:num w:numId="91">
    <w:abstractNumId w:val="110"/>
  </w:num>
  <w:num w:numId="92">
    <w:abstractNumId w:val="3"/>
  </w:num>
  <w:num w:numId="93">
    <w:abstractNumId w:val="26"/>
  </w:num>
  <w:num w:numId="94">
    <w:abstractNumId w:val="33"/>
  </w:num>
  <w:num w:numId="95">
    <w:abstractNumId w:val="80"/>
  </w:num>
  <w:num w:numId="96">
    <w:abstractNumId w:val="105"/>
  </w:num>
  <w:num w:numId="97">
    <w:abstractNumId w:val="2"/>
  </w:num>
  <w:num w:numId="98">
    <w:abstractNumId w:val="116"/>
  </w:num>
  <w:num w:numId="99">
    <w:abstractNumId w:val="66"/>
  </w:num>
  <w:num w:numId="100">
    <w:abstractNumId w:val="45"/>
  </w:num>
  <w:num w:numId="101">
    <w:abstractNumId w:val="23"/>
  </w:num>
  <w:num w:numId="102">
    <w:abstractNumId w:val="1"/>
  </w:num>
  <w:num w:numId="103">
    <w:abstractNumId w:val="19"/>
  </w:num>
  <w:num w:numId="104">
    <w:abstractNumId w:val="71"/>
  </w:num>
  <w:num w:numId="105">
    <w:abstractNumId w:val="90"/>
  </w:num>
  <w:num w:numId="106">
    <w:abstractNumId w:val="103"/>
  </w:num>
  <w:num w:numId="107">
    <w:abstractNumId w:val="81"/>
  </w:num>
  <w:num w:numId="108">
    <w:abstractNumId w:val="37"/>
  </w:num>
  <w:num w:numId="109">
    <w:abstractNumId w:val="21"/>
  </w:num>
  <w:num w:numId="110">
    <w:abstractNumId w:val="58"/>
  </w:num>
  <w:num w:numId="111">
    <w:abstractNumId w:val="111"/>
  </w:num>
  <w:num w:numId="112">
    <w:abstractNumId w:val="61"/>
  </w:num>
  <w:num w:numId="113">
    <w:abstractNumId w:val="95"/>
  </w:num>
  <w:num w:numId="114">
    <w:abstractNumId w:val="7"/>
  </w:num>
  <w:num w:numId="115">
    <w:abstractNumId w:val="118"/>
  </w:num>
  <w:num w:numId="116">
    <w:abstractNumId w:val="36"/>
  </w:num>
  <w:num w:numId="117">
    <w:abstractNumId w:val="100"/>
  </w:num>
  <w:num w:numId="118">
    <w:abstractNumId w:val="91"/>
  </w:num>
  <w:num w:numId="119">
    <w:abstractNumId w:val="119"/>
  </w:num>
  <w:num w:numId="120">
    <w:abstractNumId w:val="69"/>
  </w:num>
  <w:num w:numId="121">
    <w:abstractNumId w:val="89"/>
  </w:num>
  <w:num w:numId="122">
    <w:abstractNumId w:val="62"/>
  </w:num>
  <w:num w:numId="123">
    <w:abstractNumId w:val="44"/>
  </w:num>
  <w:num w:numId="124">
    <w:abstractNumId w:val="41"/>
  </w:num>
  <w:num w:numId="125">
    <w:abstractNumId w:val="75"/>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286"/>
  <w:evenAndOddHeaders/>
  <w:drawingGridHorizontalSpacing w:val="110"/>
  <w:drawingGridVerticalSpacing w:val="156"/>
  <w:displayHorizontalDrawingGridEvery w:val="2"/>
  <w:displayVerticalDrawingGridEvery w:val="2"/>
  <w:characterSpacingControl w:val="doNotCompress"/>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useFELayout/>
  </w:compat>
  <w:rsids>
    <w:rsidRoot w:val="00D31D50"/>
    <w:rsid w:val="00000799"/>
    <w:rsid w:val="00000B19"/>
    <w:rsid w:val="00000FDD"/>
    <w:rsid w:val="000054C6"/>
    <w:rsid w:val="00005BDF"/>
    <w:rsid w:val="00010757"/>
    <w:rsid w:val="000109FD"/>
    <w:rsid w:val="00011A89"/>
    <w:rsid w:val="00011FDA"/>
    <w:rsid w:val="00012126"/>
    <w:rsid w:val="00013F24"/>
    <w:rsid w:val="00015A90"/>
    <w:rsid w:val="000178E3"/>
    <w:rsid w:val="00017E99"/>
    <w:rsid w:val="00021D07"/>
    <w:rsid w:val="00023034"/>
    <w:rsid w:val="00023EE7"/>
    <w:rsid w:val="00024645"/>
    <w:rsid w:val="00024B40"/>
    <w:rsid w:val="000250A2"/>
    <w:rsid w:val="00027CC0"/>
    <w:rsid w:val="00027D42"/>
    <w:rsid w:val="00030860"/>
    <w:rsid w:val="000313B1"/>
    <w:rsid w:val="0003219B"/>
    <w:rsid w:val="0003634C"/>
    <w:rsid w:val="0003753F"/>
    <w:rsid w:val="00040B3E"/>
    <w:rsid w:val="00040C1C"/>
    <w:rsid w:val="000427B1"/>
    <w:rsid w:val="00042E2C"/>
    <w:rsid w:val="0004430B"/>
    <w:rsid w:val="0004684F"/>
    <w:rsid w:val="00047497"/>
    <w:rsid w:val="00050C37"/>
    <w:rsid w:val="00053967"/>
    <w:rsid w:val="00054159"/>
    <w:rsid w:val="00054C49"/>
    <w:rsid w:val="00057AAC"/>
    <w:rsid w:val="00060C6F"/>
    <w:rsid w:val="00063308"/>
    <w:rsid w:val="00067572"/>
    <w:rsid w:val="000712E7"/>
    <w:rsid w:val="00072AC2"/>
    <w:rsid w:val="00073732"/>
    <w:rsid w:val="000751B6"/>
    <w:rsid w:val="00080B31"/>
    <w:rsid w:val="000820CE"/>
    <w:rsid w:val="00083947"/>
    <w:rsid w:val="000856DF"/>
    <w:rsid w:val="000869E0"/>
    <w:rsid w:val="00086E8D"/>
    <w:rsid w:val="00091DF0"/>
    <w:rsid w:val="00092353"/>
    <w:rsid w:val="000934C7"/>
    <w:rsid w:val="0009522F"/>
    <w:rsid w:val="000A0E51"/>
    <w:rsid w:val="000A1C97"/>
    <w:rsid w:val="000A24FB"/>
    <w:rsid w:val="000A2979"/>
    <w:rsid w:val="000A2DDC"/>
    <w:rsid w:val="000A457D"/>
    <w:rsid w:val="000A5BF7"/>
    <w:rsid w:val="000A7607"/>
    <w:rsid w:val="000A7907"/>
    <w:rsid w:val="000B2DA6"/>
    <w:rsid w:val="000B4BA6"/>
    <w:rsid w:val="000C09BB"/>
    <w:rsid w:val="000C4244"/>
    <w:rsid w:val="000C7922"/>
    <w:rsid w:val="000D0A24"/>
    <w:rsid w:val="000D1997"/>
    <w:rsid w:val="000D29CA"/>
    <w:rsid w:val="000D3439"/>
    <w:rsid w:val="000D3F2C"/>
    <w:rsid w:val="000D4848"/>
    <w:rsid w:val="000D6077"/>
    <w:rsid w:val="000E2E96"/>
    <w:rsid w:val="000E34F6"/>
    <w:rsid w:val="000E754A"/>
    <w:rsid w:val="000F00FB"/>
    <w:rsid w:val="000F112A"/>
    <w:rsid w:val="000F1AA3"/>
    <w:rsid w:val="000F38B9"/>
    <w:rsid w:val="000F53F7"/>
    <w:rsid w:val="001002A0"/>
    <w:rsid w:val="001011B1"/>
    <w:rsid w:val="00102923"/>
    <w:rsid w:val="00104625"/>
    <w:rsid w:val="00105C09"/>
    <w:rsid w:val="00110415"/>
    <w:rsid w:val="00120CBC"/>
    <w:rsid w:val="001210D3"/>
    <w:rsid w:val="001218B6"/>
    <w:rsid w:val="00123A5C"/>
    <w:rsid w:val="00123A89"/>
    <w:rsid w:val="001255AC"/>
    <w:rsid w:val="00127105"/>
    <w:rsid w:val="0013196F"/>
    <w:rsid w:val="00132F8C"/>
    <w:rsid w:val="00133345"/>
    <w:rsid w:val="00134745"/>
    <w:rsid w:val="001360FC"/>
    <w:rsid w:val="00137747"/>
    <w:rsid w:val="00141AAB"/>
    <w:rsid w:val="00142FEC"/>
    <w:rsid w:val="00144088"/>
    <w:rsid w:val="00146D8E"/>
    <w:rsid w:val="001509CF"/>
    <w:rsid w:val="0015170B"/>
    <w:rsid w:val="00151952"/>
    <w:rsid w:val="00151F78"/>
    <w:rsid w:val="00151F87"/>
    <w:rsid w:val="00153D0B"/>
    <w:rsid w:val="001545FC"/>
    <w:rsid w:val="00154917"/>
    <w:rsid w:val="001549A2"/>
    <w:rsid w:val="001553A0"/>
    <w:rsid w:val="0015610F"/>
    <w:rsid w:val="0015626A"/>
    <w:rsid w:val="0015675B"/>
    <w:rsid w:val="00157340"/>
    <w:rsid w:val="00160133"/>
    <w:rsid w:val="0016228C"/>
    <w:rsid w:val="00162949"/>
    <w:rsid w:val="00162F15"/>
    <w:rsid w:val="00163BE0"/>
    <w:rsid w:val="001646A7"/>
    <w:rsid w:val="00165302"/>
    <w:rsid w:val="00170310"/>
    <w:rsid w:val="001720E7"/>
    <w:rsid w:val="001774B2"/>
    <w:rsid w:val="00180105"/>
    <w:rsid w:val="00180290"/>
    <w:rsid w:val="0018033A"/>
    <w:rsid w:val="00182010"/>
    <w:rsid w:val="001825BD"/>
    <w:rsid w:val="00183C93"/>
    <w:rsid w:val="00183E3D"/>
    <w:rsid w:val="00185B5E"/>
    <w:rsid w:val="001912D4"/>
    <w:rsid w:val="00191E7D"/>
    <w:rsid w:val="00193265"/>
    <w:rsid w:val="001947BA"/>
    <w:rsid w:val="00196602"/>
    <w:rsid w:val="001A1CFF"/>
    <w:rsid w:val="001A28A3"/>
    <w:rsid w:val="001A4639"/>
    <w:rsid w:val="001A777F"/>
    <w:rsid w:val="001B2783"/>
    <w:rsid w:val="001B2A5D"/>
    <w:rsid w:val="001B314B"/>
    <w:rsid w:val="001B35CB"/>
    <w:rsid w:val="001B532C"/>
    <w:rsid w:val="001B53AA"/>
    <w:rsid w:val="001B6587"/>
    <w:rsid w:val="001B6D03"/>
    <w:rsid w:val="001C01E5"/>
    <w:rsid w:val="001C68DE"/>
    <w:rsid w:val="001D08FA"/>
    <w:rsid w:val="001E1583"/>
    <w:rsid w:val="001E2A34"/>
    <w:rsid w:val="001E5055"/>
    <w:rsid w:val="001E5C6E"/>
    <w:rsid w:val="001E7361"/>
    <w:rsid w:val="001F50D2"/>
    <w:rsid w:val="001F6C49"/>
    <w:rsid w:val="00204D35"/>
    <w:rsid w:val="0020792F"/>
    <w:rsid w:val="00214F5E"/>
    <w:rsid w:val="00215640"/>
    <w:rsid w:val="00216C0F"/>
    <w:rsid w:val="00220234"/>
    <w:rsid w:val="002210FA"/>
    <w:rsid w:val="002243F2"/>
    <w:rsid w:val="002266E9"/>
    <w:rsid w:val="002267C3"/>
    <w:rsid w:val="00233B7B"/>
    <w:rsid w:val="00234DCB"/>
    <w:rsid w:val="00236605"/>
    <w:rsid w:val="00242F1F"/>
    <w:rsid w:val="00246688"/>
    <w:rsid w:val="002479F6"/>
    <w:rsid w:val="00250E7F"/>
    <w:rsid w:val="00253160"/>
    <w:rsid w:val="00254494"/>
    <w:rsid w:val="00254C16"/>
    <w:rsid w:val="00257796"/>
    <w:rsid w:val="00261B25"/>
    <w:rsid w:val="00262CFE"/>
    <w:rsid w:val="00265067"/>
    <w:rsid w:val="00266134"/>
    <w:rsid w:val="00266C96"/>
    <w:rsid w:val="00266D56"/>
    <w:rsid w:val="00267385"/>
    <w:rsid w:val="0027389C"/>
    <w:rsid w:val="00273CFF"/>
    <w:rsid w:val="002763A1"/>
    <w:rsid w:val="00276788"/>
    <w:rsid w:val="002774D1"/>
    <w:rsid w:val="002803B4"/>
    <w:rsid w:val="0028471E"/>
    <w:rsid w:val="0028542F"/>
    <w:rsid w:val="00285473"/>
    <w:rsid w:val="00285BB0"/>
    <w:rsid w:val="00286C79"/>
    <w:rsid w:val="00287FD6"/>
    <w:rsid w:val="002921D1"/>
    <w:rsid w:val="00292CB9"/>
    <w:rsid w:val="00293FF3"/>
    <w:rsid w:val="002959DB"/>
    <w:rsid w:val="0029650F"/>
    <w:rsid w:val="00296C97"/>
    <w:rsid w:val="00296EBC"/>
    <w:rsid w:val="00297B66"/>
    <w:rsid w:val="002A09F7"/>
    <w:rsid w:val="002A1A86"/>
    <w:rsid w:val="002A33FE"/>
    <w:rsid w:val="002A3D51"/>
    <w:rsid w:val="002A3EE3"/>
    <w:rsid w:val="002A586A"/>
    <w:rsid w:val="002A6536"/>
    <w:rsid w:val="002A7594"/>
    <w:rsid w:val="002B168D"/>
    <w:rsid w:val="002B222B"/>
    <w:rsid w:val="002B2B9C"/>
    <w:rsid w:val="002B3885"/>
    <w:rsid w:val="002B3A98"/>
    <w:rsid w:val="002C03D8"/>
    <w:rsid w:val="002C1517"/>
    <w:rsid w:val="002C35BA"/>
    <w:rsid w:val="002C3B94"/>
    <w:rsid w:val="002C4492"/>
    <w:rsid w:val="002C46C6"/>
    <w:rsid w:val="002C4B7B"/>
    <w:rsid w:val="002C721E"/>
    <w:rsid w:val="002D060B"/>
    <w:rsid w:val="002D2807"/>
    <w:rsid w:val="002D2F11"/>
    <w:rsid w:val="002D424C"/>
    <w:rsid w:val="002D53C1"/>
    <w:rsid w:val="002D59AA"/>
    <w:rsid w:val="002D6A1C"/>
    <w:rsid w:val="002E0D6C"/>
    <w:rsid w:val="002E1099"/>
    <w:rsid w:val="002E217E"/>
    <w:rsid w:val="002E267A"/>
    <w:rsid w:val="002E52CD"/>
    <w:rsid w:val="002F0E8C"/>
    <w:rsid w:val="002F413F"/>
    <w:rsid w:val="002F5934"/>
    <w:rsid w:val="002F6217"/>
    <w:rsid w:val="002F7665"/>
    <w:rsid w:val="003009A6"/>
    <w:rsid w:val="00300AFE"/>
    <w:rsid w:val="003033B7"/>
    <w:rsid w:val="00304942"/>
    <w:rsid w:val="00306359"/>
    <w:rsid w:val="00306B41"/>
    <w:rsid w:val="003104A0"/>
    <w:rsid w:val="003118E3"/>
    <w:rsid w:val="00314902"/>
    <w:rsid w:val="00317286"/>
    <w:rsid w:val="00320C9F"/>
    <w:rsid w:val="00321084"/>
    <w:rsid w:val="00321FEF"/>
    <w:rsid w:val="00322A72"/>
    <w:rsid w:val="00323B43"/>
    <w:rsid w:val="003256D8"/>
    <w:rsid w:val="003270C5"/>
    <w:rsid w:val="00330AD5"/>
    <w:rsid w:val="00331F5C"/>
    <w:rsid w:val="003328FA"/>
    <w:rsid w:val="0033293C"/>
    <w:rsid w:val="00333CC7"/>
    <w:rsid w:val="00335086"/>
    <w:rsid w:val="00335C50"/>
    <w:rsid w:val="00340608"/>
    <w:rsid w:val="003418D7"/>
    <w:rsid w:val="003432FB"/>
    <w:rsid w:val="0034686D"/>
    <w:rsid w:val="00352FB1"/>
    <w:rsid w:val="00355141"/>
    <w:rsid w:val="00355375"/>
    <w:rsid w:val="00357D89"/>
    <w:rsid w:val="003606DD"/>
    <w:rsid w:val="0036093D"/>
    <w:rsid w:val="003633F6"/>
    <w:rsid w:val="00370ADA"/>
    <w:rsid w:val="00372617"/>
    <w:rsid w:val="00372DA5"/>
    <w:rsid w:val="003742E6"/>
    <w:rsid w:val="00375826"/>
    <w:rsid w:val="00376B36"/>
    <w:rsid w:val="00385720"/>
    <w:rsid w:val="00386963"/>
    <w:rsid w:val="003873C2"/>
    <w:rsid w:val="0038764A"/>
    <w:rsid w:val="0038779F"/>
    <w:rsid w:val="003911E8"/>
    <w:rsid w:val="003921A2"/>
    <w:rsid w:val="00392D63"/>
    <w:rsid w:val="0039488F"/>
    <w:rsid w:val="00394B70"/>
    <w:rsid w:val="00395638"/>
    <w:rsid w:val="003A4D92"/>
    <w:rsid w:val="003A5A01"/>
    <w:rsid w:val="003A5C03"/>
    <w:rsid w:val="003A601D"/>
    <w:rsid w:val="003A6D0E"/>
    <w:rsid w:val="003B0DB0"/>
    <w:rsid w:val="003B20E0"/>
    <w:rsid w:val="003B23CE"/>
    <w:rsid w:val="003B40E0"/>
    <w:rsid w:val="003B451A"/>
    <w:rsid w:val="003B66D7"/>
    <w:rsid w:val="003B7B96"/>
    <w:rsid w:val="003C016A"/>
    <w:rsid w:val="003C27D0"/>
    <w:rsid w:val="003C2B8D"/>
    <w:rsid w:val="003C32DE"/>
    <w:rsid w:val="003C5C75"/>
    <w:rsid w:val="003C6D88"/>
    <w:rsid w:val="003C70AC"/>
    <w:rsid w:val="003D03F2"/>
    <w:rsid w:val="003D1003"/>
    <w:rsid w:val="003D309F"/>
    <w:rsid w:val="003D35EC"/>
    <w:rsid w:val="003D37D8"/>
    <w:rsid w:val="003D5AD6"/>
    <w:rsid w:val="003E0ED9"/>
    <w:rsid w:val="003E20BE"/>
    <w:rsid w:val="003E42D3"/>
    <w:rsid w:val="003E4766"/>
    <w:rsid w:val="003F191E"/>
    <w:rsid w:val="003F2B08"/>
    <w:rsid w:val="003F3816"/>
    <w:rsid w:val="003F4D76"/>
    <w:rsid w:val="003F5E23"/>
    <w:rsid w:val="003F6B47"/>
    <w:rsid w:val="004010E2"/>
    <w:rsid w:val="0040321E"/>
    <w:rsid w:val="00403C06"/>
    <w:rsid w:val="004063F5"/>
    <w:rsid w:val="00410797"/>
    <w:rsid w:val="0041390B"/>
    <w:rsid w:val="00414BF7"/>
    <w:rsid w:val="00417A17"/>
    <w:rsid w:val="00417FC6"/>
    <w:rsid w:val="00421C78"/>
    <w:rsid w:val="00426133"/>
    <w:rsid w:val="004268A8"/>
    <w:rsid w:val="004303A7"/>
    <w:rsid w:val="00431A20"/>
    <w:rsid w:val="00434885"/>
    <w:rsid w:val="004358AB"/>
    <w:rsid w:val="0044122C"/>
    <w:rsid w:val="00442F2D"/>
    <w:rsid w:val="00443614"/>
    <w:rsid w:val="00443931"/>
    <w:rsid w:val="00443A5C"/>
    <w:rsid w:val="00445CF8"/>
    <w:rsid w:val="00450192"/>
    <w:rsid w:val="00451D9B"/>
    <w:rsid w:val="00452194"/>
    <w:rsid w:val="00456165"/>
    <w:rsid w:val="00457360"/>
    <w:rsid w:val="004612FA"/>
    <w:rsid w:val="0046554F"/>
    <w:rsid w:val="00471540"/>
    <w:rsid w:val="00471EBB"/>
    <w:rsid w:val="004730B5"/>
    <w:rsid w:val="00475966"/>
    <w:rsid w:val="004767B8"/>
    <w:rsid w:val="00476A01"/>
    <w:rsid w:val="0047700F"/>
    <w:rsid w:val="004776D5"/>
    <w:rsid w:val="004806E3"/>
    <w:rsid w:val="0048107A"/>
    <w:rsid w:val="004812B6"/>
    <w:rsid w:val="00482A47"/>
    <w:rsid w:val="00485090"/>
    <w:rsid w:val="00486D9A"/>
    <w:rsid w:val="00492EF3"/>
    <w:rsid w:val="00493E26"/>
    <w:rsid w:val="004975CF"/>
    <w:rsid w:val="004975E7"/>
    <w:rsid w:val="004A37C7"/>
    <w:rsid w:val="004A3997"/>
    <w:rsid w:val="004A47D2"/>
    <w:rsid w:val="004A4990"/>
    <w:rsid w:val="004A58F6"/>
    <w:rsid w:val="004A6D78"/>
    <w:rsid w:val="004A7655"/>
    <w:rsid w:val="004A76E0"/>
    <w:rsid w:val="004B35FB"/>
    <w:rsid w:val="004B3DD0"/>
    <w:rsid w:val="004D02DE"/>
    <w:rsid w:val="004D0F53"/>
    <w:rsid w:val="004D35D6"/>
    <w:rsid w:val="004D3868"/>
    <w:rsid w:val="004D5D2D"/>
    <w:rsid w:val="004D6B91"/>
    <w:rsid w:val="004D7C88"/>
    <w:rsid w:val="004D7CD5"/>
    <w:rsid w:val="004E0E06"/>
    <w:rsid w:val="004E5B87"/>
    <w:rsid w:val="004E6F22"/>
    <w:rsid w:val="004F04A4"/>
    <w:rsid w:val="004F1C35"/>
    <w:rsid w:val="004F3D17"/>
    <w:rsid w:val="004F6EC6"/>
    <w:rsid w:val="004F773F"/>
    <w:rsid w:val="0050169A"/>
    <w:rsid w:val="00501B05"/>
    <w:rsid w:val="00501B0A"/>
    <w:rsid w:val="005036B1"/>
    <w:rsid w:val="00510545"/>
    <w:rsid w:val="00510898"/>
    <w:rsid w:val="00511674"/>
    <w:rsid w:val="005165D7"/>
    <w:rsid w:val="005207BD"/>
    <w:rsid w:val="00525B4C"/>
    <w:rsid w:val="005262A3"/>
    <w:rsid w:val="005264FB"/>
    <w:rsid w:val="0052726C"/>
    <w:rsid w:val="00527FD1"/>
    <w:rsid w:val="0053294B"/>
    <w:rsid w:val="00532E7D"/>
    <w:rsid w:val="00533DAB"/>
    <w:rsid w:val="0053641A"/>
    <w:rsid w:val="00536A52"/>
    <w:rsid w:val="00536F69"/>
    <w:rsid w:val="005408AF"/>
    <w:rsid w:val="00541F66"/>
    <w:rsid w:val="00543FFD"/>
    <w:rsid w:val="00544020"/>
    <w:rsid w:val="005450A4"/>
    <w:rsid w:val="00545323"/>
    <w:rsid w:val="00550BC9"/>
    <w:rsid w:val="0055287E"/>
    <w:rsid w:val="00553C5D"/>
    <w:rsid w:val="0055452E"/>
    <w:rsid w:val="00554B30"/>
    <w:rsid w:val="0055599B"/>
    <w:rsid w:val="00566B1C"/>
    <w:rsid w:val="00571964"/>
    <w:rsid w:val="00571A94"/>
    <w:rsid w:val="0057298C"/>
    <w:rsid w:val="005731D9"/>
    <w:rsid w:val="00574704"/>
    <w:rsid w:val="00574785"/>
    <w:rsid w:val="005750B4"/>
    <w:rsid w:val="00583D23"/>
    <w:rsid w:val="00585034"/>
    <w:rsid w:val="005853B2"/>
    <w:rsid w:val="0058582F"/>
    <w:rsid w:val="005874ED"/>
    <w:rsid w:val="005915DB"/>
    <w:rsid w:val="00591BEA"/>
    <w:rsid w:val="005922BA"/>
    <w:rsid w:val="00593BCA"/>
    <w:rsid w:val="0059520A"/>
    <w:rsid w:val="00596C9A"/>
    <w:rsid w:val="005978F7"/>
    <w:rsid w:val="00597BAF"/>
    <w:rsid w:val="00597E02"/>
    <w:rsid w:val="005A05BB"/>
    <w:rsid w:val="005A2083"/>
    <w:rsid w:val="005A3F41"/>
    <w:rsid w:val="005A441D"/>
    <w:rsid w:val="005A4F47"/>
    <w:rsid w:val="005A5699"/>
    <w:rsid w:val="005B00AA"/>
    <w:rsid w:val="005B0265"/>
    <w:rsid w:val="005B1C19"/>
    <w:rsid w:val="005B2E55"/>
    <w:rsid w:val="005B3115"/>
    <w:rsid w:val="005B58D7"/>
    <w:rsid w:val="005C1373"/>
    <w:rsid w:val="005C145B"/>
    <w:rsid w:val="005C74B2"/>
    <w:rsid w:val="005D048C"/>
    <w:rsid w:val="005D0CE1"/>
    <w:rsid w:val="005D67E2"/>
    <w:rsid w:val="005D78C6"/>
    <w:rsid w:val="005E0D68"/>
    <w:rsid w:val="005E186E"/>
    <w:rsid w:val="005E4139"/>
    <w:rsid w:val="005E5761"/>
    <w:rsid w:val="005E70F3"/>
    <w:rsid w:val="005E785B"/>
    <w:rsid w:val="005F013B"/>
    <w:rsid w:val="005F0B47"/>
    <w:rsid w:val="005F302D"/>
    <w:rsid w:val="005F4060"/>
    <w:rsid w:val="005F548F"/>
    <w:rsid w:val="005F6355"/>
    <w:rsid w:val="005F7930"/>
    <w:rsid w:val="005F7B9A"/>
    <w:rsid w:val="006007FF"/>
    <w:rsid w:val="00602DB9"/>
    <w:rsid w:val="00603067"/>
    <w:rsid w:val="006036E9"/>
    <w:rsid w:val="0060441F"/>
    <w:rsid w:val="006049C6"/>
    <w:rsid w:val="00604B04"/>
    <w:rsid w:val="006052E9"/>
    <w:rsid w:val="00606AB1"/>
    <w:rsid w:val="00607D14"/>
    <w:rsid w:val="00615941"/>
    <w:rsid w:val="006177BC"/>
    <w:rsid w:val="00622C2F"/>
    <w:rsid w:val="0062479C"/>
    <w:rsid w:val="00625469"/>
    <w:rsid w:val="00625580"/>
    <w:rsid w:val="00625C11"/>
    <w:rsid w:val="00625F21"/>
    <w:rsid w:val="0062631C"/>
    <w:rsid w:val="00633CAB"/>
    <w:rsid w:val="00634084"/>
    <w:rsid w:val="00634BFD"/>
    <w:rsid w:val="00635DC3"/>
    <w:rsid w:val="0063659C"/>
    <w:rsid w:val="00640F1E"/>
    <w:rsid w:val="0064284C"/>
    <w:rsid w:val="00643F87"/>
    <w:rsid w:val="00644006"/>
    <w:rsid w:val="00644D0C"/>
    <w:rsid w:val="006454A1"/>
    <w:rsid w:val="00645BD5"/>
    <w:rsid w:val="00650779"/>
    <w:rsid w:val="00650862"/>
    <w:rsid w:val="006549CA"/>
    <w:rsid w:val="00655DF4"/>
    <w:rsid w:val="006627D0"/>
    <w:rsid w:val="006633E3"/>
    <w:rsid w:val="00670A5C"/>
    <w:rsid w:val="00673460"/>
    <w:rsid w:val="00674E2D"/>
    <w:rsid w:val="00675633"/>
    <w:rsid w:val="006758CF"/>
    <w:rsid w:val="00675EE5"/>
    <w:rsid w:val="00680232"/>
    <w:rsid w:val="00680ADF"/>
    <w:rsid w:val="006812CC"/>
    <w:rsid w:val="00682C41"/>
    <w:rsid w:val="0068531A"/>
    <w:rsid w:val="00686DE0"/>
    <w:rsid w:val="006901B6"/>
    <w:rsid w:val="006909C3"/>
    <w:rsid w:val="006909D8"/>
    <w:rsid w:val="00691240"/>
    <w:rsid w:val="00691826"/>
    <w:rsid w:val="00691CE2"/>
    <w:rsid w:val="00694326"/>
    <w:rsid w:val="006946C7"/>
    <w:rsid w:val="00695E7B"/>
    <w:rsid w:val="00696CD9"/>
    <w:rsid w:val="006A1011"/>
    <w:rsid w:val="006A1565"/>
    <w:rsid w:val="006A1E5D"/>
    <w:rsid w:val="006A4486"/>
    <w:rsid w:val="006A5F2C"/>
    <w:rsid w:val="006B1B5C"/>
    <w:rsid w:val="006B23CA"/>
    <w:rsid w:val="006B2A24"/>
    <w:rsid w:val="006B4875"/>
    <w:rsid w:val="006C1932"/>
    <w:rsid w:val="006C2C29"/>
    <w:rsid w:val="006C516E"/>
    <w:rsid w:val="006C5AC8"/>
    <w:rsid w:val="006D08A8"/>
    <w:rsid w:val="006D0DDC"/>
    <w:rsid w:val="006D0E22"/>
    <w:rsid w:val="006D1BFB"/>
    <w:rsid w:val="006D330E"/>
    <w:rsid w:val="006D3DBD"/>
    <w:rsid w:val="006D5D54"/>
    <w:rsid w:val="006D6178"/>
    <w:rsid w:val="006D786D"/>
    <w:rsid w:val="006E3779"/>
    <w:rsid w:val="006E44DE"/>
    <w:rsid w:val="006E4A96"/>
    <w:rsid w:val="006E5602"/>
    <w:rsid w:val="006F032D"/>
    <w:rsid w:val="006F08DF"/>
    <w:rsid w:val="006F16CB"/>
    <w:rsid w:val="006F384B"/>
    <w:rsid w:val="006F4E5A"/>
    <w:rsid w:val="006F5EFA"/>
    <w:rsid w:val="0070179A"/>
    <w:rsid w:val="0070214B"/>
    <w:rsid w:val="00702176"/>
    <w:rsid w:val="00703147"/>
    <w:rsid w:val="0070333C"/>
    <w:rsid w:val="007041B0"/>
    <w:rsid w:val="007074B9"/>
    <w:rsid w:val="00712B5C"/>
    <w:rsid w:val="0071326B"/>
    <w:rsid w:val="007159D5"/>
    <w:rsid w:val="00716A06"/>
    <w:rsid w:val="00720CFD"/>
    <w:rsid w:val="00722FC5"/>
    <w:rsid w:val="007267B7"/>
    <w:rsid w:val="00726F13"/>
    <w:rsid w:val="00726F87"/>
    <w:rsid w:val="00727E82"/>
    <w:rsid w:val="00734718"/>
    <w:rsid w:val="00734DD3"/>
    <w:rsid w:val="00736C96"/>
    <w:rsid w:val="00741063"/>
    <w:rsid w:val="0074742F"/>
    <w:rsid w:val="00747B9E"/>
    <w:rsid w:val="00750499"/>
    <w:rsid w:val="00752E47"/>
    <w:rsid w:val="00753B9D"/>
    <w:rsid w:val="00754AEA"/>
    <w:rsid w:val="00754E72"/>
    <w:rsid w:val="007561DB"/>
    <w:rsid w:val="0075786E"/>
    <w:rsid w:val="00757C82"/>
    <w:rsid w:val="00764CCF"/>
    <w:rsid w:val="00765DBD"/>
    <w:rsid w:val="00765DEC"/>
    <w:rsid w:val="00767D1A"/>
    <w:rsid w:val="0077208F"/>
    <w:rsid w:val="007739E6"/>
    <w:rsid w:val="00775CCD"/>
    <w:rsid w:val="00775F48"/>
    <w:rsid w:val="0077600C"/>
    <w:rsid w:val="00777363"/>
    <w:rsid w:val="007811A4"/>
    <w:rsid w:val="007859FC"/>
    <w:rsid w:val="00787A44"/>
    <w:rsid w:val="00790DD7"/>
    <w:rsid w:val="00791C3D"/>
    <w:rsid w:val="007943ED"/>
    <w:rsid w:val="00795499"/>
    <w:rsid w:val="00796BF4"/>
    <w:rsid w:val="00796EF5"/>
    <w:rsid w:val="007974B4"/>
    <w:rsid w:val="007A1BAA"/>
    <w:rsid w:val="007A2F00"/>
    <w:rsid w:val="007A6FE2"/>
    <w:rsid w:val="007B31C9"/>
    <w:rsid w:val="007B3D0D"/>
    <w:rsid w:val="007B5624"/>
    <w:rsid w:val="007B5CA9"/>
    <w:rsid w:val="007C0918"/>
    <w:rsid w:val="007C35CC"/>
    <w:rsid w:val="007C4991"/>
    <w:rsid w:val="007C5D5B"/>
    <w:rsid w:val="007D0265"/>
    <w:rsid w:val="007D05F0"/>
    <w:rsid w:val="007D0F7C"/>
    <w:rsid w:val="007D292C"/>
    <w:rsid w:val="007D295A"/>
    <w:rsid w:val="007D4836"/>
    <w:rsid w:val="007D4D33"/>
    <w:rsid w:val="007E28A7"/>
    <w:rsid w:val="007E4FC0"/>
    <w:rsid w:val="007E50A1"/>
    <w:rsid w:val="007E6979"/>
    <w:rsid w:val="007F0220"/>
    <w:rsid w:val="007F063A"/>
    <w:rsid w:val="007F1CB1"/>
    <w:rsid w:val="007F3970"/>
    <w:rsid w:val="00801238"/>
    <w:rsid w:val="00804BB2"/>
    <w:rsid w:val="00805DF5"/>
    <w:rsid w:val="00806A15"/>
    <w:rsid w:val="00806E6A"/>
    <w:rsid w:val="00807CF9"/>
    <w:rsid w:val="00807F4E"/>
    <w:rsid w:val="00811185"/>
    <w:rsid w:val="008115A0"/>
    <w:rsid w:val="00814B8C"/>
    <w:rsid w:val="00814F1C"/>
    <w:rsid w:val="00815231"/>
    <w:rsid w:val="00815500"/>
    <w:rsid w:val="00815D96"/>
    <w:rsid w:val="00817732"/>
    <w:rsid w:val="00817DC9"/>
    <w:rsid w:val="008206C8"/>
    <w:rsid w:val="0082087F"/>
    <w:rsid w:val="008214D5"/>
    <w:rsid w:val="00821ECB"/>
    <w:rsid w:val="00823622"/>
    <w:rsid w:val="00823F79"/>
    <w:rsid w:val="008262CD"/>
    <w:rsid w:val="008278DA"/>
    <w:rsid w:val="008308FA"/>
    <w:rsid w:val="00830A77"/>
    <w:rsid w:val="00834290"/>
    <w:rsid w:val="00836FC3"/>
    <w:rsid w:val="0083777E"/>
    <w:rsid w:val="0084052C"/>
    <w:rsid w:val="00843DD8"/>
    <w:rsid w:val="00845A0A"/>
    <w:rsid w:val="00847E5A"/>
    <w:rsid w:val="00851C9E"/>
    <w:rsid w:val="00853722"/>
    <w:rsid w:val="0085518C"/>
    <w:rsid w:val="00857BCA"/>
    <w:rsid w:val="008612F2"/>
    <w:rsid w:val="00863ECA"/>
    <w:rsid w:val="008658BD"/>
    <w:rsid w:val="00866246"/>
    <w:rsid w:val="0086733A"/>
    <w:rsid w:val="0087020D"/>
    <w:rsid w:val="008707F0"/>
    <w:rsid w:val="00870B2E"/>
    <w:rsid w:val="00870E1C"/>
    <w:rsid w:val="00872FA4"/>
    <w:rsid w:val="008741BB"/>
    <w:rsid w:val="008744FF"/>
    <w:rsid w:val="0087508C"/>
    <w:rsid w:val="0088000F"/>
    <w:rsid w:val="0088142D"/>
    <w:rsid w:val="00884046"/>
    <w:rsid w:val="0088464B"/>
    <w:rsid w:val="00884BF3"/>
    <w:rsid w:val="008855DB"/>
    <w:rsid w:val="00890F44"/>
    <w:rsid w:val="008924EA"/>
    <w:rsid w:val="00892896"/>
    <w:rsid w:val="00892944"/>
    <w:rsid w:val="008936F1"/>
    <w:rsid w:val="008941E2"/>
    <w:rsid w:val="00896ADC"/>
    <w:rsid w:val="00897DA6"/>
    <w:rsid w:val="008A5EB8"/>
    <w:rsid w:val="008A68AA"/>
    <w:rsid w:val="008A6DBB"/>
    <w:rsid w:val="008B07A2"/>
    <w:rsid w:val="008B0DDF"/>
    <w:rsid w:val="008B1235"/>
    <w:rsid w:val="008B16AD"/>
    <w:rsid w:val="008B3B9C"/>
    <w:rsid w:val="008B3E4E"/>
    <w:rsid w:val="008B4E74"/>
    <w:rsid w:val="008B5D0F"/>
    <w:rsid w:val="008B726E"/>
    <w:rsid w:val="008B7726"/>
    <w:rsid w:val="008C2627"/>
    <w:rsid w:val="008C6440"/>
    <w:rsid w:val="008C7A4D"/>
    <w:rsid w:val="008D0B5D"/>
    <w:rsid w:val="008D20E9"/>
    <w:rsid w:val="008D2858"/>
    <w:rsid w:val="008D6714"/>
    <w:rsid w:val="008D79D3"/>
    <w:rsid w:val="008E3693"/>
    <w:rsid w:val="008E36DF"/>
    <w:rsid w:val="008E3E74"/>
    <w:rsid w:val="008E5713"/>
    <w:rsid w:val="008E5F82"/>
    <w:rsid w:val="008E68E9"/>
    <w:rsid w:val="008F06E4"/>
    <w:rsid w:val="008F2955"/>
    <w:rsid w:val="008F3339"/>
    <w:rsid w:val="008F4884"/>
    <w:rsid w:val="008F68E5"/>
    <w:rsid w:val="00902654"/>
    <w:rsid w:val="009035F9"/>
    <w:rsid w:val="009039A6"/>
    <w:rsid w:val="00903C07"/>
    <w:rsid w:val="00903D94"/>
    <w:rsid w:val="009048E3"/>
    <w:rsid w:val="009057EF"/>
    <w:rsid w:val="00907306"/>
    <w:rsid w:val="009073AE"/>
    <w:rsid w:val="00910F41"/>
    <w:rsid w:val="00913E47"/>
    <w:rsid w:val="00914FA3"/>
    <w:rsid w:val="009228DF"/>
    <w:rsid w:val="00925628"/>
    <w:rsid w:val="0092723D"/>
    <w:rsid w:val="00930E5B"/>
    <w:rsid w:val="009336A0"/>
    <w:rsid w:val="00934277"/>
    <w:rsid w:val="00936704"/>
    <w:rsid w:val="009421A1"/>
    <w:rsid w:val="00942227"/>
    <w:rsid w:val="00942C63"/>
    <w:rsid w:val="009437C9"/>
    <w:rsid w:val="00945CB6"/>
    <w:rsid w:val="009478AF"/>
    <w:rsid w:val="0095137D"/>
    <w:rsid w:val="009545A4"/>
    <w:rsid w:val="009561E1"/>
    <w:rsid w:val="00956E6B"/>
    <w:rsid w:val="00957A86"/>
    <w:rsid w:val="00961DC1"/>
    <w:rsid w:val="00963642"/>
    <w:rsid w:val="00964890"/>
    <w:rsid w:val="00967230"/>
    <w:rsid w:val="00970E89"/>
    <w:rsid w:val="00970F34"/>
    <w:rsid w:val="00971587"/>
    <w:rsid w:val="00972233"/>
    <w:rsid w:val="00972D3F"/>
    <w:rsid w:val="0097425A"/>
    <w:rsid w:val="00977BDE"/>
    <w:rsid w:val="00982AE3"/>
    <w:rsid w:val="009846C2"/>
    <w:rsid w:val="0098516E"/>
    <w:rsid w:val="0099040C"/>
    <w:rsid w:val="009A1DEB"/>
    <w:rsid w:val="009A4EFC"/>
    <w:rsid w:val="009A5D3A"/>
    <w:rsid w:val="009A7F3F"/>
    <w:rsid w:val="009B182A"/>
    <w:rsid w:val="009B38D1"/>
    <w:rsid w:val="009B4AD2"/>
    <w:rsid w:val="009C1D48"/>
    <w:rsid w:val="009C6D4D"/>
    <w:rsid w:val="009C7852"/>
    <w:rsid w:val="009D0BAF"/>
    <w:rsid w:val="009D0EBD"/>
    <w:rsid w:val="009D22C9"/>
    <w:rsid w:val="009D727B"/>
    <w:rsid w:val="009E0717"/>
    <w:rsid w:val="009E2E39"/>
    <w:rsid w:val="009E350B"/>
    <w:rsid w:val="009E3F66"/>
    <w:rsid w:val="009E56FD"/>
    <w:rsid w:val="009E6785"/>
    <w:rsid w:val="009E752D"/>
    <w:rsid w:val="009F1C86"/>
    <w:rsid w:val="009F2C00"/>
    <w:rsid w:val="009F330D"/>
    <w:rsid w:val="009F60C7"/>
    <w:rsid w:val="009F6C01"/>
    <w:rsid w:val="009F7468"/>
    <w:rsid w:val="009F7C59"/>
    <w:rsid w:val="00A00067"/>
    <w:rsid w:val="00A0282B"/>
    <w:rsid w:val="00A031A3"/>
    <w:rsid w:val="00A10A1A"/>
    <w:rsid w:val="00A14154"/>
    <w:rsid w:val="00A141A8"/>
    <w:rsid w:val="00A14F9D"/>
    <w:rsid w:val="00A15064"/>
    <w:rsid w:val="00A214AD"/>
    <w:rsid w:val="00A22A3F"/>
    <w:rsid w:val="00A2552F"/>
    <w:rsid w:val="00A26618"/>
    <w:rsid w:val="00A2752B"/>
    <w:rsid w:val="00A316C7"/>
    <w:rsid w:val="00A33F5B"/>
    <w:rsid w:val="00A344BB"/>
    <w:rsid w:val="00A4020F"/>
    <w:rsid w:val="00A40A57"/>
    <w:rsid w:val="00A41440"/>
    <w:rsid w:val="00A433A0"/>
    <w:rsid w:val="00A50A32"/>
    <w:rsid w:val="00A5116D"/>
    <w:rsid w:val="00A52B8A"/>
    <w:rsid w:val="00A52CBB"/>
    <w:rsid w:val="00A551DA"/>
    <w:rsid w:val="00A55D18"/>
    <w:rsid w:val="00A609D9"/>
    <w:rsid w:val="00A611AB"/>
    <w:rsid w:val="00A61281"/>
    <w:rsid w:val="00A61A4B"/>
    <w:rsid w:val="00A636F8"/>
    <w:rsid w:val="00A65122"/>
    <w:rsid w:val="00A6689F"/>
    <w:rsid w:val="00A6770B"/>
    <w:rsid w:val="00A73AD3"/>
    <w:rsid w:val="00A747C8"/>
    <w:rsid w:val="00A75694"/>
    <w:rsid w:val="00A76E2E"/>
    <w:rsid w:val="00A82AC2"/>
    <w:rsid w:val="00A846A3"/>
    <w:rsid w:val="00A87CBD"/>
    <w:rsid w:val="00A95FFF"/>
    <w:rsid w:val="00A9726D"/>
    <w:rsid w:val="00AA1525"/>
    <w:rsid w:val="00AA2635"/>
    <w:rsid w:val="00AA30B8"/>
    <w:rsid w:val="00AA7D05"/>
    <w:rsid w:val="00AB34B4"/>
    <w:rsid w:val="00AB658E"/>
    <w:rsid w:val="00AB6613"/>
    <w:rsid w:val="00AB6D28"/>
    <w:rsid w:val="00AB7291"/>
    <w:rsid w:val="00AC0A16"/>
    <w:rsid w:val="00AC127F"/>
    <w:rsid w:val="00AC1A01"/>
    <w:rsid w:val="00AC2337"/>
    <w:rsid w:val="00AC281C"/>
    <w:rsid w:val="00AC32C3"/>
    <w:rsid w:val="00AC53B8"/>
    <w:rsid w:val="00AC6095"/>
    <w:rsid w:val="00AC73DA"/>
    <w:rsid w:val="00AC77F8"/>
    <w:rsid w:val="00AD4CF7"/>
    <w:rsid w:val="00AD60D6"/>
    <w:rsid w:val="00AD7017"/>
    <w:rsid w:val="00AE048E"/>
    <w:rsid w:val="00AE3973"/>
    <w:rsid w:val="00AE6271"/>
    <w:rsid w:val="00AE63CA"/>
    <w:rsid w:val="00AE7142"/>
    <w:rsid w:val="00AF07AE"/>
    <w:rsid w:val="00AF0E63"/>
    <w:rsid w:val="00AF3B14"/>
    <w:rsid w:val="00AF3B2A"/>
    <w:rsid w:val="00B04477"/>
    <w:rsid w:val="00B06620"/>
    <w:rsid w:val="00B06C8A"/>
    <w:rsid w:val="00B07ACA"/>
    <w:rsid w:val="00B07D79"/>
    <w:rsid w:val="00B10691"/>
    <w:rsid w:val="00B11A8E"/>
    <w:rsid w:val="00B11C07"/>
    <w:rsid w:val="00B11CDC"/>
    <w:rsid w:val="00B14881"/>
    <w:rsid w:val="00B14C12"/>
    <w:rsid w:val="00B169BD"/>
    <w:rsid w:val="00B17214"/>
    <w:rsid w:val="00B17638"/>
    <w:rsid w:val="00B276E8"/>
    <w:rsid w:val="00B30376"/>
    <w:rsid w:val="00B33F83"/>
    <w:rsid w:val="00B35F0C"/>
    <w:rsid w:val="00B36F92"/>
    <w:rsid w:val="00B419A8"/>
    <w:rsid w:val="00B41D65"/>
    <w:rsid w:val="00B43615"/>
    <w:rsid w:val="00B43E8C"/>
    <w:rsid w:val="00B478EC"/>
    <w:rsid w:val="00B50071"/>
    <w:rsid w:val="00B50C76"/>
    <w:rsid w:val="00B51474"/>
    <w:rsid w:val="00B53320"/>
    <w:rsid w:val="00B57A94"/>
    <w:rsid w:val="00B57C7B"/>
    <w:rsid w:val="00B602CA"/>
    <w:rsid w:val="00B6149C"/>
    <w:rsid w:val="00B63670"/>
    <w:rsid w:val="00B63B99"/>
    <w:rsid w:val="00B65C30"/>
    <w:rsid w:val="00B7100C"/>
    <w:rsid w:val="00B74033"/>
    <w:rsid w:val="00B7480A"/>
    <w:rsid w:val="00B759AC"/>
    <w:rsid w:val="00B76D0A"/>
    <w:rsid w:val="00B81B55"/>
    <w:rsid w:val="00B826D3"/>
    <w:rsid w:val="00B82B66"/>
    <w:rsid w:val="00B9188A"/>
    <w:rsid w:val="00B92B9B"/>
    <w:rsid w:val="00B9359A"/>
    <w:rsid w:val="00B93692"/>
    <w:rsid w:val="00B94D2F"/>
    <w:rsid w:val="00BA0DA0"/>
    <w:rsid w:val="00BA0F69"/>
    <w:rsid w:val="00BA222B"/>
    <w:rsid w:val="00BA3A0D"/>
    <w:rsid w:val="00BA6DF0"/>
    <w:rsid w:val="00BB056D"/>
    <w:rsid w:val="00BB3289"/>
    <w:rsid w:val="00BC165B"/>
    <w:rsid w:val="00BC1E00"/>
    <w:rsid w:val="00BD0AB8"/>
    <w:rsid w:val="00BD1410"/>
    <w:rsid w:val="00BD24E1"/>
    <w:rsid w:val="00BD371C"/>
    <w:rsid w:val="00BD5718"/>
    <w:rsid w:val="00BD62AD"/>
    <w:rsid w:val="00BE42FD"/>
    <w:rsid w:val="00BE467B"/>
    <w:rsid w:val="00BE6823"/>
    <w:rsid w:val="00BE7192"/>
    <w:rsid w:val="00BF2256"/>
    <w:rsid w:val="00BF25F8"/>
    <w:rsid w:val="00C02318"/>
    <w:rsid w:val="00C02CB9"/>
    <w:rsid w:val="00C106E4"/>
    <w:rsid w:val="00C10AAC"/>
    <w:rsid w:val="00C10DEC"/>
    <w:rsid w:val="00C12C07"/>
    <w:rsid w:val="00C21FBF"/>
    <w:rsid w:val="00C23F11"/>
    <w:rsid w:val="00C245DB"/>
    <w:rsid w:val="00C247F0"/>
    <w:rsid w:val="00C257D6"/>
    <w:rsid w:val="00C25F2E"/>
    <w:rsid w:val="00C304C9"/>
    <w:rsid w:val="00C32A35"/>
    <w:rsid w:val="00C33384"/>
    <w:rsid w:val="00C33611"/>
    <w:rsid w:val="00C33B84"/>
    <w:rsid w:val="00C34F2A"/>
    <w:rsid w:val="00C36354"/>
    <w:rsid w:val="00C42F97"/>
    <w:rsid w:val="00C435F1"/>
    <w:rsid w:val="00C47D50"/>
    <w:rsid w:val="00C55452"/>
    <w:rsid w:val="00C5775E"/>
    <w:rsid w:val="00C61145"/>
    <w:rsid w:val="00C616FC"/>
    <w:rsid w:val="00C61AB2"/>
    <w:rsid w:val="00C63346"/>
    <w:rsid w:val="00C63CD3"/>
    <w:rsid w:val="00C66BC1"/>
    <w:rsid w:val="00C70622"/>
    <w:rsid w:val="00C71414"/>
    <w:rsid w:val="00C71672"/>
    <w:rsid w:val="00C72F13"/>
    <w:rsid w:val="00C73FC8"/>
    <w:rsid w:val="00C758B9"/>
    <w:rsid w:val="00C761D5"/>
    <w:rsid w:val="00C76ACB"/>
    <w:rsid w:val="00C81D7B"/>
    <w:rsid w:val="00C82313"/>
    <w:rsid w:val="00C84CE7"/>
    <w:rsid w:val="00C90328"/>
    <w:rsid w:val="00C909DE"/>
    <w:rsid w:val="00C91DF4"/>
    <w:rsid w:val="00C91E14"/>
    <w:rsid w:val="00C9248D"/>
    <w:rsid w:val="00C95A13"/>
    <w:rsid w:val="00C95D2F"/>
    <w:rsid w:val="00CA03BD"/>
    <w:rsid w:val="00CA13D0"/>
    <w:rsid w:val="00CA4DD6"/>
    <w:rsid w:val="00CA6C74"/>
    <w:rsid w:val="00CB0BAF"/>
    <w:rsid w:val="00CB3CD2"/>
    <w:rsid w:val="00CB4FD8"/>
    <w:rsid w:val="00CB5124"/>
    <w:rsid w:val="00CB53A7"/>
    <w:rsid w:val="00CC006F"/>
    <w:rsid w:val="00CC10B0"/>
    <w:rsid w:val="00CC31E4"/>
    <w:rsid w:val="00CC64FB"/>
    <w:rsid w:val="00CD1BB2"/>
    <w:rsid w:val="00CD4EEC"/>
    <w:rsid w:val="00CD5424"/>
    <w:rsid w:val="00CD693E"/>
    <w:rsid w:val="00CE032A"/>
    <w:rsid w:val="00CE1C87"/>
    <w:rsid w:val="00CE2A9D"/>
    <w:rsid w:val="00CE4B15"/>
    <w:rsid w:val="00CE5FD4"/>
    <w:rsid w:val="00CE6D2C"/>
    <w:rsid w:val="00CE727D"/>
    <w:rsid w:val="00CF0BA7"/>
    <w:rsid w:val="00CF10ED"/>
    <w:rsid w:val="00CF3BC1"/>
    <w:rsid w:val="00CF4F20"/>
    <w:rsid w:val="00CF5149"/>
    <w:rsid w:val="00CF5434"/>
    <w:rsid w:val="00CF5B79"/>
    <w:rsid w:val="00CF6543"/>
    <w:rsid w:val="00D008EE"/>
    <w:rsid w:val="00D00A72"/>
    <w:rsid w:val="00D00CD3"/>
    <w:rsid w:val="00D01CD1"/>
    <w:rsid w:val="00D02C31"/>
    <w:rsid w:val="00D03D69"/>
    <w:rsid w:val="00D0404C"/>
    <w:rsid w:val="00D04354"/>
    <w:rsid w:val="00D05C66"/>
    <w:rsid w:val="00D06B6C"/>
    <w:rsid w:val="00D07C98"/>
    <w:rsid w:val="00D103DD"/>
    <w:rsid w:val="00D1054E"/>
    <w:rsid w:val="00D10959"/>
    <w:rsid w:val="00D117FE"/>
    <w:rsid w:val="00D12452"/>
    <w:rsid w:val="00D124A2"/>
    <w:rsid w:val="00D16A15"/>
    <w:rsid w:val="00D2283D"/>
    <w:rsid w:val="00D22B93"/>
    <w:rsid w:val="00D22BD7"/>
    <w:rsid w:val="00D24359"/>
    <w:rsid w:val="00D2632F"/>
    <w:rsid w:val="00D26DE5"/>
    <w:rsid w:val="00D31D50"/>
    <w:rsid w:val="00D328E7"/>
    <w:rsid w:val="00D329EE"/>
    <w:rsid w:val="00D32D0C"/>
    <w:rsid w:val="00D35258"/>
    <w:rsid w:val="00D37F8E"/>
    <w:rsid w:val="00D40B45"/>
    <w:rsid w:val="00D40F88"/>
    <w:rsid w:val="00D41C25"/>
    <w:rsid w:val="00D426E9"/>
    <w:rsid w:val="00D43CA2"/>
    <w:rsid w:val="00D452B9"/>
    <w:rsid w:val="00D45784"/>
    <w:rsid w:val="00D47618"/>
    <w:rsid w:val="00D47727"/>
    <w:rsid w:val="00D52DC8"/>
    <w:rsid w:val="00D55185"/>
    <w:rsid w:val="00D60636"/>
    <w:rsid w:val="00D6587D"/>
    <w:rsid w:val="00D67FAF"/>
    <w:rsid w:val="00D70617"/>
    <w:rsid w:val="00D70915"/>
    <w:rsid w:val="00D71991"/>
    <w:rsid w:val="00D74987"/>
    <w:rsid w:val="00D7522C"/>
    <w:rsid w:val="00D757F9"/>
    <w:rsid w:val="00D773F9"/>
    <w:rsid w:val="00D77959"/>
    <w:rsid w:val="00D81925"/>
    <w:rsid w:val="00D86FE4"/>
    <w:rsid w:val="00D900CC"/>
    <w:rsid w:val="00D92034"/>
    <w:rsid w:val="00D92F7E"/>
    <w:rsid w:val="00D93597"/>
    <w:rsid w:val="00D969C0"/>
    <w:rsid w:val="00D97596"/>
    <w:rsid w:val="00DA3694"/>
    <w:rsid w:val="00DA502B"/>
    <w:rsid w:val="00DA6B2B"/>
    <w:rsid w:val="00DA6BAD"/>
    <w:rsid w:val="00DA75E0"/>
    <w:rsid w:val="00DB3072"/>
    <w:rsid w:val="00DB35E0"/>
    <w:rsid w:val="00DB4FCB"/>
    <w:rsid w:val="00DB5D56"/>
    <w:rsid w:val="00DB753E"/>
    <w:rsid w:val="00DC010D"/>
    <w:rsid w:val="00DC09FF"/>
    <w:rsid w:val="00DC269B"/>
    <w:rsid w:val="00DC2904"/>
    <w:rsid w:val="00DC46E5"/>
    <w:rsid w:val="00DC4883"/>
    <w:rsid w:val="00DC4CD5"/>
    <w:rsid w:val="00DC70BE"/>
    <w:rsid w:val="00DC7411"/>
    <w:rsid w:val="00DD12BC"/>
    <w:rsid w:val="00DD3563"/>
    <w:rsid w:val="00DD39CA"/>
    <w:rsid w:val="00DD67EA"/>
    <w:rsid w:val="00DD68DC"/>
    <w:rsid w:val="00DE1900"/>
    <w:rsid w:val="00DE58B7"/>
    <w:rsid w:val="00DE6971"/>
    <w:rsid w:val="00DE76A2"/>
    <w:rsid w:val="00DE7EEC"/>
    <w:rsid w:val="00DF47F1"/>
    <w:rsid w:val="00DF580C"/>
    <w:rsid w:val="00DF715A"/>
    <w:rsid w:val="00E00C0D"/>
    <w:rsid w:val="00E00F3B"/>
    <w:rsid w:val="00E011BD"/>
    <w:rsid w:val="00E0154E"/>
    <w:rsid w:val="00E01622"/>
    <w:rsid w:val="00E03D45"/>
    <w:rsid w:val="00E03ECF"/>
    <w:rsid w:val="00E07457"/>
    <w:rsid w:val="00E10C51"/>
    <w:rsid w:val="00E11CE0"/>
    <w:rsid w:val="00E12086"/>
    <w:rsid w:val="00E149F4"/>
    <w:rsid w:val="00E15AE8"/>
    <w:rsid w:val="00E24781"/>
    <w:rsid w:val="00E258EF"/>
    <w:rsid w:val="00E262EF"/>
    <w:rsid w:val="00E3016F"/>
    <w:rsid w:val="00E34788"/>
    <w:rsid w:val="00E37EA9"/>
    <w:rsid w:val="00E4012F"/>
    <w:rsid w:val="00E40741"/>
    <w:rsid w:val="00E41198"/>
    <w:rsid w:val="00E42942"/>
    <w:rsid w:val="00E44058"/>
    <w:rsid w:val="00E45EB5"/>
    <w:rsid w:val="00E50952"/>
    <w:rsid w:val="00E50EB3"/>
    <w:rsid w:val="00E533D6"/>
    <w:rsid w:val="00E60C48"/>
    <w:rsid w:val="00E60EBB"/>
    <w:rsid w:val="00E60F5A"/>
    <w:rsid w:val="00E653AA"/>
    <w:rsid w:val="00E67B1F"/>
    <w:rsid w:val="00E70B43"/>
    <w:rsid w:val="00E767A3"/>
    <w:rsid w:val="00E76E80"/>
    <w:rsid w:val="00E77A0D"/>
    <w:rsid w:val="00E807E6"/>
    <w:rsid w:val="00E81DD4"/>
    <w:rsid w:val="00E84453"/>
    <w:rsid w:val="00E84775"/>
    <w:rsid w:val="00E8517E"/>
    <w:rsid w:val="00E8779F"/>
    <w:rsid w:val="00E92319"/>
    <w:rsid w:val="00E93234"/>
    <w:rsid w:val="00E94CD6"/>
    <w:rsid w:val="00E95BB1"/>
    <w:rsid w:val="00E97FF2"/>
    <w:rsid w:val="00EA3E03"/>
    <w:rsid w:val="00EA66FC"/>
    <w:rsid w:val="00EA7808"/>
    <w:rsid w:val="00EB0C6E"/>
    <w:rsid w:val="00EB33A2"/>
    <w:rsid w:val="00EB6105"/>
    <w:rsid w:val="00EB706D"/>
    <w:rsid w:val="00EC0256"/>
    <w:rsid w:val="00EC146C"/>
    <w:rsid w:val="00EC3ED5"/>
    <w:rsid w:val="00ED24DA"/>
    <w:rsid w:val="00ED2BDB"/>
    <w:rsid w:val="00ED39D6"/>
    <w:rsid w:val="00ED3C29"/>
    <w:rsid w:val="00ED691C"/>
    <w:rsid w:val="00ED711A"/>
    <w:rsid w:val="00EE0AEE"/>
    <w:rsid w:val="00EE1B58"/>
    <w:rsid w:val="00EE56D5"/>
    <w:rsid w:val="00EE597F"/>
    <w:rsid w:val="00EE5CC8"/>
    <w:rsid w:val="00EE7126"/>
    <w:rsid w:val="00EF16C3"/>
    <w:rsid w:val="00EF1B85"/>
    <w:rsid w:val="00EF41D4"/>
    <w:rsid w:val="00EF44E0"/>
    <w:rsid w:val="00EF64C1"/>
    <w:rsid w:val="00EF6651"/>
    <w:rsid w:val="00EF7583"/>
    <w:rsid w:val="00EF7C44"/>
    <w:rsid w:val="00F003FD"/>
    <w:rsid w:val="00F033FC"/>
    <w:rsid w:val="00F03FAF"/>
    <w:rsid w:val="00F04529"/>
    <w:rsid w:val="00F068B7"/>
    <w:rsid w:val="00F0693C"/>
    <w:rsid w:val="00F06E82"/>
    <w:rsid w:val="00F1034B"/>
    <w:rsid w:val="00F10849"/>
    <w:rsid w:val="00F20DF3"/>
    <w:rsid w:val="00F21CBF"/>
    <w:rsid w:val="00F22264"/>
    <w:rsid w:val="00F226FB"/>
    <w:rsid w:val="00F318F7"/>
    <w:rsid w:val="00F33C99"/>
    <w:rsid w:val="00F354A9"/>
    <w:rsid w:val="00F357DF"/>
    <w:rsid w:val="00F36E6B"/>
    <w:rsid w:val="00F378AA"/>
    <w:rsid w:val="00F43264"/>
    <w:rsid w:val="00F47827"/>
    <w:rsid w:val="00F54E60"/>
    <w:rsid w:val="00F55688"/>
    <w:rsid w:val="00F561B8"/>
    <w:rsid w:val="00F660B8"/>
    <w:rsid w:val="00F7059C"/>
    <w:rsid w:val="00F721BE"/>
    <w:rsid w:val="00F735AA"/>
    <w:rsid w:val="00F73ADA"/>
    <w:rsid w:val="00F73B1C"/>
    <w:rsid w:val="00F754BF"/>
    <w:rsid w:val="00F774C1"/>
    <w:rsid w:val="00F81F10"/>
    <w:rsid w:val="00F82704"/>
    <w:rsid w:val="00F8709C"/>
    <w:rsid w:val="00F901C2"/>
    <w:rsid w:val="00F90871"/>
    <w:rsid w:val="00F90C8C"/>
    <w:rsid w:val="00F92CDD"/>
    <w:rsid w:val="00F94D93"/>
    <w:rsid w:val="00F9614D"/>
    <w:rsid w:val="00F97ECD"/>
    <w:rsid w:val="00FA0E3F"/>
    <w:rsid w:val="00FA2E91"/>
    <w:rsid w:val="00FA3027"/>
    <w:rsid w:val="00FA3D78"/>
    <w:rsid w:val="00FA44E4"/>
    <w:rsid w:val="00FB0A15"/>
    <w:rsid w:val="00FB1A3C"/>
    <w:rsid w:val="00FC18FF"/>
    <w:rsid w:val="00FC1B13"/>
    <w:rsid w:val="00FC2A09"/>
    <w:rsid w:val="00FC4997"/>
    <w:rsid w:val="00FC4C19"/>
    <w:rsid w:val="00FC4C6C"/>
    <w:rsid w:val="00FC6D9E"/>
    <w:rsid w:val="00FD0334"/>
    <w:rsid w:val="00FD0C57"/>
    <w:rsid w:val="00FD51B3"/>
    <w:rsid w:val="00FD5F48"/>
    <w:rsid w:val="00FF0105"/>
    <w:rsid w:val="00FF1EFF"/>
    <w:rsid w:val="00FF6BB7"/>
    <w:rsid w:val="06672ADE"/>
    <w:rsid w:val="0DDD046D"/>
    <w:rsid w:val="197E3AEB"/>
    <w:rsid w:val="1AB92805"/>
    <w:rsid w:val="24D027B6"/>
    <w:rsid w:val="291B2F3E"/>
    <w:rsid w:val="3460209A"/>
    <w:rsid w:val="36EA0293"/>
    <w:rsid w:val="41171A5F"/>
    <w:rsid w:val="42106E30"/>
    <w:rsid w:val="54E81794"/>
    <w:rsid w:val="556F78C7"/>
    <w:rsid w:val="5FAC3D73"/>
    <w:rsid w:val="701215FC"/>
    <w:rsid w:val="70182FCE"/>
    <w:rsid w:val="74523214"/>
    <w:rsid w:val="761D762B"/>
    <w:rsid w:val="7ABB1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line number"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C2"/>
    <w:pPr>
      <w:spacing w:line="380" w:lineRule="exact"/>
    </w:pPr>
    <w:rPr>
      <w:rFonts w:ascii="Tahoma" w:hAnsi="Tahoma"/>
      <w:sz w:val="22"/>
      <w:szCs w:val="22"/>
    </w:rPr>
  </w:style>
  <w:style w:type="paragraph" w:styleId="1">
    <w:name w:val="heading 1"/>
    <w:basedOn w:val="a"/>
    <w:next w:val="a"/>
    <w:link w:val="1Char"/>
    <w:uiPriority w:val="9"/>
    <w:qFormat/>
    <w:rsid w:val="009846C2"/>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9846C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846C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846C2"/>
  </w:style>
  <w:style w:type="paragraph" w:styleId="30">
    <w:name w:val="toc 3"/>
    <w:basedOn w:val="a"/>
    <w:next w:val="a"/>
    <w:uiPriority w:val="39"/>
    <w:semiHidden/>
    <w:unhideWhenUsed/>
    <w:qFormat/>
    <w:rsid w:val="009846C2"/>
    <w:pPr>
      <w:spacing w:after="100" w:line="276" w:lineRule="auto"/>
      <w:ind w:left="440"/>
    </w:pPr>
    <w:rPr>
      <w:rFonts w:asciiTheme="minorHAnsi" w:eastAsiaTheme="minorEastAsia" w:hAnsiTheme="minorHAnsi"/>
    </w:rPr>
  </w:style>
  <w:style w:type="paragraph" w:styleId="a4">
    <w:name w:val="Balloon Text"/>
    <w:basedOn w:val="a"/>
    <w:link w:val="Char0"/>
    <w:uiPriority w:val="99"/>
    <w:unhideWhenUsed/>
    <w:qFormat/>
    <w:rsid w:val="009846C2"/>
    <w:rPr>
      <w:sz w:val="18"/>
      <w:szCs w:val="18"/>
    </w:rPr>
  </w:style>
  <w:style w:type="paragraph" w:styleId="a5">
    <w:name w:val="footer"/>
    <w:basedOn w:val="a"/>
    <w:link w:val="Char1"/>
    <w:unhideWhenUsed/>
    <w:qFormat/>
    <w:rsid w:val="009846C2"/>
    <w:pPr>
      <w:tabs>
        <w:tab w:val="center" w:pos="4153"/>
        <w:tab w:val="right" w:pos="8306"/>
      </w:tabs>
    </w:pPr>
    <w:rPr>
      <w:sz w:val="18"/>
      <w:szCs w:val="18"/>
    </w:rPr>
  </w:style>
  <w:style w:type="paragraph" w:styleId="a6">
    <w:name w:val="header"/>
    <w:basedOn w:val="a"/>
    <w:link w:val="Char2"/>
    <w:uiPriority w:val="99"/>
    <w:unhideWhenUsed/>
    <w:qFormat/>
    <w:rsid w:val="009846C2"/>
    <w:pPr>
      <w:pBdr>
        <w:bottom w:val="single" w:sz="6" w:space="1" w:color="auto"/>
      </w:pBdr>
      <w:tabs>
        <w:tab w:val="center" w:pos="4153"/>
        <w:tab w:val="right" w:pos="8306"/>
      </w:tabs>
      <w:jc w:val="center"/>
    </w:pPr>
    <w:rPr>
      <w:sz w:val="18"/>
      <w:szCs w:val="18"/>
    </w:rPr>
  </w:style>
  <w:style w:type="paragraph" w:styleId="10">
    <w:name w:val="toc 1"/>
    <w:basedOn w:val="a"/>
    <w:next w:val="a"/>
    <w:qFormat/>
    <w:rsid w:val="009846C2"/>
    <w:pPr>
      <w:widowControl w:val="0"/>
      <w:tabs>
        <w:tab w:val="right" w:leader="middleDot" w:pos="5886"/>
      </w:tabs>
      <w:spacing w:line="360" w:lineRule="exact"/>
      <w:ind w:leftChars="200" w:left="440"/>
      <w:jc w:val="both"/>
    </w:pPr>
    <w:rPr>
      <w:rFonts w:ascii="Times New Roman" w:eastAsia="宋体" w:hAnsi="Times New Roman" w:cs="Times New Roman"/>
      <w:kern w:val="2"/>
      <w:sz w:val="21"/>
    </w:rPr>
  </w:style>
  <w:style w:type="paragraph" w:styleId="20">
    <w:name w:val="toc 2"/>
    <w:basedOn w:val="a"/>
    <w:next w:val="a"/>
    <w:qFormat/>
    <w:rsid w:val="009846C2"/>
    <w:pPr>
      <w:widowControl w:val="0"/>
      <w:ind w:leftChars="200" w:left="200"/>
      <w:jc w:val="both"/>
    </w:pPr>
    <w:rPr>
      <w:rFonts w:ascii="Times New Roman" w:eastAsia="宋体" w:hAnsi="Times New Roman" w:cs="Times New Roman"/>
      <w:kern w:val="2"/>
      <w:sz w:val="21"/>
    </w:rPr>
  </w:style>
  <w:style w:type="paragraph" w:styleId="a7">
    <w:name w:val="Normal (Web)"/>
    <w:basedOn w:val="a"/>
    <w:uiPriority w:val="99"/>
    <w:qFormat/>
    <w:rsid w:val="009846C2"/>
    <w:pPr>
      <w:widowControl w:val="0"/>
      <w:spacing w:before="100" w:beforeAutospacing="1" w:after="100" w:afterAutospacing="1"/>
    </w:pPr>
    <w:rPr>
      <w:rFonts w:ascii="Calibri" w:eastAsia="宋体" w:hAnsi="Calibri" w:cs="Times New Roman"/>
      <w:sz w:val="24"/>
      <w:szCs w:val="24"/>
    </w:rPr>
  </w:style>
  <w:style w:type="paragraph" w:styleId="a8">
    <w:name w:val="Title"/>
    <w:basedOn w:val="a"/>
    <w:link w:val="Char3"/>
    <w:uiPriority w:val="10"/>
    <w:qFormat/>
    <w:rsid w:val="009846C2"/>
    <w:pPr>
      <w:widowControl w:val="0"/>
      <w:spacing w:before="240" w:after="60"/>
      <w:jc w:val="center"/>
      <w:outlineLvl w:val="0"/>
    </w:pPr>
    <w:rPr>
      <w:rFonts w:ascii="Arial" w:eastAsia="宋体" w:hAnsi="Arial" w:cs="Times New Roman"/>
      <w:b/>
      <w:bCs/>
      <w:kern w:val="2"/>
      <w:sz w:val="32"/>
      <w:szCs w:val="32"/>
    </w:rPr>
  </w:style>
  <w:style w:type="paragraph" w:styleId="a9">
    <w:name w:val="annotation subject"/>
    <w:basedOn w:val="a3"/>
    <w:next w:val="a3"/>
    <w:link w:val="Char4"/>
    <w:uiPriority w:val="99"/>
    <w:unhideWhenUsed/>
    <w:qFormat/>
    <w:rsid w:val="009846C2"/>
    <w:rPr>
      <w:b/>
      <w:bCs/>
    </w:rPr>
  </w:style>
  <w:style w:type="table" w:styleId="aa">
    <w:name w:val="Table Grid"/>
    <w:basedOn w:val="a1"/>
    <w:uiPriority w:val="59"/>
    <w:qFormat/>
    <w:rsid w:val="0098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9846C2"/>
    <w:rPr>
      <w:b/>
    </w:rPr>
  </w:style>
  <w:style w:type="character" w:styleId="ac">
    <w:name w:val="page number"/>
    <w:basedOn w:val="a0"/>
    <w:qFormat/>
    <w:rsid w:val="009846C2"/>
    <w:rPr>
      <w:rFonts w:ascii="Times New Roman" w:eastAsia="宋体" w:hAnsi="Times New Roman" w:cs="Times New Roman"/>
    </w:rPr>
  </w:style>
  <w:style w:type="character" w:styleId="ad">
    <w:name w:val="FollowedHyperlink"/>
    <w:basedOn w:val="a0"/>
    <w:uiPriority w:val="99"/>
    <w:unhideWhenUsed/>
    <w:qFormat/>
    <w:rsid w:val="009846C2"/>
    <w:rPr>
      <w:color w:val="0000CC"/>
      <w:sz w:val="22"/>
      <w:szCs w:val="22"/>
      <w:u w:val="single"/>
    </w:rPr>
  </w:style>
  <w:style w:type="character" w:styleId="ae">
    <w:name w:val="line number"/>
    <w:basedOn w:val="a0"/>
    <w:qFormat/>
    <w:rsid w:val="009846C2"/>
  </w:style>
  <w:style w:type="character" w:styleId="af">
    <w:name w:val="Hyperlink"/>
    <w:basedOn w:val="a0"/>
    <w:uiPriority w:val="99"/>
    <w:unhideWhenUsed/>
    <w:qFormat/>
    <w:rsid w:val="009846C2"/>
    <w:rPr>
      <w:b/>
      <w:color w:val="0000CC"/>
      <w:sz w:val="22"/>
      <w:szCs w:val="22"/>
      <w:u w:val="single"/>
    </w:rPr>
  </w:style>
  <w:style w:type="character" w:styleId="af0">
    <w:name w:val="annotation reference"/>
    <w:basedOn w:val="a0"/>
    <w:uiPriority w:val="99"/>
    <w:unhideWhenUsed/>
    <w:qFormat/>
    <w:rsid w:val="009846C2"/>
    <w:rPr>
      <w:sz w:val="21"/>
      <w:szCs w:val="21"/>
    </w:rPr>
  </w:style>
  <w:style w:type="character" w:customStyle="1" w:styleId="1Char">
    <w:name w:val="标题 1 Char"/>
    <w:basedOn w:val="a0"/>
    <w:link w:val="1"/>
    <w:uiPriority w:val="9"/>
    <w:qFormat/>
    <w:rsid w:val="009846C2"/>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9846C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9846C2"/>
    <w:rPr>
      <w:rFonts w:ascii="Tahoma" w:hAnsi="Tahoma"/>
      <w:b/>
      <w:bCs/>
      <w:sz w:val="32"/>
      <w:szCs w:val="32"/>
    </w:rPr>
  </w:style>
  <w:style w:type="character" w:customStyle="1" w:styleId="Char">
    <w:name w:val="批注文字 Char"/>
    <w:basedOn w:val="a0"/>
    <w:link w:val="a3"/>
    <w:uiPriority w:val="99"/>
    <w:qFormat/>
    <w:rsid w:val="009846C2"/>
    <w:rPr>
      <w:rFonts w:ascii="Tahoma" w:hAnsi="Tahoma"/>
    </w:rPr>
  </w:style>
  <w:style w:type="character" w:customStyle="1" w:styleId="Char0">
    <w:name w:val="批注框文本 Char"/>
    <w:basedOn w:val="a0"/>
    <w:link w:val="a4"/>
    <w:uiPriority w:val="99"/>
    <w:semiHidden/>
    <w:qFormat/>
    <w:rsid w:val="009846C2"/>
    <w:rPr>
      <w:rFonts w:ascii="Tahoma" w:hAnsi="Tahoma"/>
      <w:sz w:val="18"/>
      <w:szCs w:val="18"/>
    </w:rPr>
  </w:style>
  <w:style w:type="character" w:customStyle="1" w:styleId="Char1">
    <w:name w:val="页脚 Char"/>
    <w:basedOn w:val="a0"/>
    <w:link w:val="a5"/>
    <w:uiPriority w:val="99"/>
    <w:semiHidden/>
    <w:qFormat/>
    <w:rsid w:val="009846C2"/>
    <w:rPr>
      <w:rFonts w:ascii="Tahoma" w:hAnsi="Tahoma"/>
      <w:sz w:val="18"/>
      <w:szCs w:val="18"/>
    </w:rPr>
  </w:style>
  <w:style w:type="character" w:customStyle="1" w:styleId="Char2">
    <w:name w:val="页眉 Char"/>
    <w:basedOn w:val="a0"/>
    <w:link w:val="a6"/>
    <w:uiPriority w:val="99"/>
    <w:qFormat/>
    <w:rsid w:val="009846C2"/>
    <w:rPr>
      <w:rFonts w:ascii="Tahoma" w:hAnsi="Tahoma"/>
      <w:sz w:val="18"/>
      <w:szCs w:val="18"/>
    </w:rPr>
  </w:style>
  <w:style w:type="character" w:customStyle="1" w:styleId="Char3">
    <w:name w:val="标题 Char"/>
    <w:basedOn w:val="a0"/>
    <w:link w:val="a8"/>
    <w:uiPriority w:val="10"/>
    <w:qFormat/>
    <w:rsid w:val="009846C2"/>
    <w:rPr>
      <w:rFonts w:ascii="Arial" w:eastAsia="宋体" w:hAnsi="Arial" w:cs="Times New Roman"/>
      <w:b/>
      <w:bCs/>
      <w:kern w:val="2"/>
      <w:sz w:val="32"/>
      <w:szCs w:val="32"/>
    </w:rPr>
  </w:style>
  <w:style w:type="character" w:customStyle="1" w:styleId="Char4">
    <w:name w:val="批注主题 Char"/>
    <w:basedOn w:val="Char"/>
    <w:link w:val="a9"/>
    <w:uiPriority w:val="99"/>
    <w:semiHidden/>
    <w:qFormat/>
    <w:rsid w:val="009846C2"/>
    <w:rPr>
      <w:rFonts w:ascii="Tahoma" w:hAnsi="Tahoma"/>
      <w:b/>
      <w:bCs/>
    </w:rPr>
  </w:style>
  <w:style w:type="paragraph" w:customStyle="1" w:styleId="21">
    <w:name w:val="样式2"/>
    <w:basedOn w:val="3"/>
    <w:qFormat/>
    <w:rsid w:val="009846C2"/>
    <w:pPr>
      <w:widowControl w:val="0"/>
      <w:autoSpaceDE w:val="0"/>
      <w:autoSpaceDN w:val="0"/>
    </w:pPr>
    <w:rPr>
      <w:rFonts w:ascii="Times New Roman" w:eastAsia="宋体" w:hAnsi="Times New Roman" w:cs="Times New Roman"/>
      <w:szCs w:val="21"/>
    </w:rPr>
  </w:style>
  <w:style w:type="paragraph" w:customStyle="1" w:styleId="11">
    <w:name w:val="样式1"/>
    <w:basedOn w:val="2"/>
    <w:qFormat/>
    <w:rsid w:val="009846C2"/>
    <w:pPr>
      <w:widowControl w:val="0"/>
      <w:autoSpaceDE w:val="0"/>
      <w:autoSpaceDN w:val="0"/>
    </w:pPr>
    <w:rPr>
      <w:rFonts w:ascii="Cambria" w:eastAsia="宋体" w:hAnsi="Cambria" w:cs="Times New Roman"/>
      <w:szCs w:val="21"/>
    </w:rPr>
  </w:style>
  <w:style w:type="paragraph" w:styleId="af1">
    <w:name w:val="List Paragraph"/>
    <w:basedOn w:val="a"/>
    <w:uiPriority w:val="34"/>
    <w:qFormat/>
    <w:rsid w:val="009846C2"/>
    <w:pPr>
      <w:ind w:firstLineChars="200" w:firstLine="420"/>
    </w:pPr>
  </w:style>
  <w:style w:type="paragraph" w:customStyle="1" w:styleId="31">
    <w:name w:val="列表段落3"/>
    <w:basedOn w:val="a"/>
    <w:qFormat/>
    <w:rsid w:val="009846C2"/>
    <w:pPr>
      <w:widowControl w:val="0"/>
      <w:ind w:firstLineChars="200" w:firstLine="200"/>
      <w:jc w:val="both"/>
    </w:pPr>
    <w:rPr>
      <w:rFonts w:ascii="Times New Roman" w:eastAsia="宋体" w:hAnsi="Times New Roman" w:cs="Times New Roman"/>
      <w:kern w:val="2"/>
      <w:sz w:val="21"/>
    </w:rPr>
  </w:style>
  <w:style w:type="paragraph" w:customStyle="1" w:styleId="12">
    <w:name w:val="修订1"/>
    <w:hidden/>
    <w:uiPriority w:val="99"/>
    <w:semiHidden/>
    <w:qFormat/>
    <w:rsid w:val="009846C2"/>
    <w:pPr>
      <w:spacing w:line="380" w:lineRule="exact"/>
    </w:pPr>
    <w:rPr>
      <w:rFonts w:ascii="Tahoma" w:hAnsi="Tahoma"/>
      <w:sz w:val="22"/>
      <w:szCs w:val="22"/>
    </w:rPr>
  </w:style>
  <w:style w:type="paragraph" w:customStyle="1" w:styleId="22">
    <w:name w:val="修订2"/>
    <w:hidden/>
    <w:uiPriority w:val="99"/>
    <w:semiHidden/>
    <w:qFormat/>
    <w:rsid w:val="009846C2"/>
    <w:pPr>
      <w:spacing w:line="380" w:lineRule="exact"/>
    </w:pPr>
    <w:rPr>
      <w:rFonts w:ascii="Tahoma" w:hAnsi="Tahoma"/>
      <w:sz w:val="22"/>
      <w:szCs w:val="22"/>
    </w:rPr>
  </w:style>
  <w:style w:type="character" w:customStyle="1" w:styleId="style71">
    <w:name w:val="style71"/>
    <w:basedOn w:val="a0"/>
    <w:qFormat/>
    <w:rsid w:val="009846C2"/>
    <w:rPr>
      <w:sz w:val="30"/>
      <w:szCs w:val="30"/>
    </w:rPr>
  </w:style>
  <w:style w:type="character" w:customStyle="1" w:styleId="fontstyle01">
    <w:name w:val="fontstyle01"/>
    <w:basedOn w:val="a0"/>
    <w:qFormat/>
    <w:rsid w:val="009846C2"/>
    <w:rPr>
      <w:rFonts w:ascii="ArialUnicodeMS" w:hAnsi="ArialUnicodeMS" w:hint="default"/>
      <w:color w:val="000000"/>
      <w:sz w:val="44"/>
      <w:szCs w:val="44"/>
    </w:rPr>
  </w:style>
  <w:style w:type="paragraph" w:customStyle="1" w:styleId="TOC1">
    <w:name w:val="TOC 标题1"/>
    <w:basedOn w:val="1"/>
    <w:next w:val="a"/>
    <w:uiPriority w:val="39"/>
    <w:semiHidden/>
    <w:unhideWhenUsed/>
    <w:qFormat/>
    <w:rsid w:val="009846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13">
    <w:name w:val="网格型1"/>
    <w:basedOn w:val="a1"/>
    <w:uiPriority w:val="59"/>
    <w:qFormat/>
    <w:rsid w:val="0098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样式3"/>
    <w:basedOn w:val="a1"/>
    <w:uiPriority w:val="99"/>
    <w:qFormat/>
    <w:rsid w:val="009846C2"/>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fanyi.so.com/?src=onebo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85B7F-410B-464E-A573-1AEFCCF6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118</Pages>
  <Words>8634</Words>
  <Characters>49220</Characters>
  <Application>Microsoft Office Word</Application>
  <DocSecurity>0</DocSecurity>
  <Lines>410</Lines>
  <Paragraphs>115</Paragraphs>
  <ScaleCrop>false</ScaleCrop>
  <Company>Microsoft</Company>
  <LinksUpToDate>false</LinksUpToDate>
  <CharactersWithSpaces>57739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71</cp:revision>
  <cp:lastPrinted>2021-09-07T11:34:00Z</cp:lastPrinted>
  <dcterms:created xsi:type="dcterms:W3CDTF">2021-09-28T02:52:00Z</dcterms:created>
  <dcterms:modified xsi:type="dcterms:W3CDTF">2021-10-05T01:34:00Z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805F7E2479B0445BA2E1A482653EA969</vt:lpwstr>
  </property>
</Properties>
</file>