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经营者集中简易案件公示表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57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jc w:val="left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案件名称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中国海洋石油集团有限公司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与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 w:eastAsia="zh-CN"/>
              </w:rPr>
              <w:t>乌干达国家石油公司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等经营者收购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东非原油管道有限公司股权案</w:t>
            </w:r>
            <w:r>
              <w:rPr>
                <w:rFonts w:hint="eastAsia"/>
                <w:sz w:val="22"/>
                <w:szCs w:val="22"/>
              </w:rPr>
              <w:t>（“</w:t>
            </w:r>
            <w:r>
              <w:rPr>
                <w:rFonts w:hint="eastAsia"/>
                <w:b/>
                <w:bCs/>
                <w:sz w:val="22"/>
                <w:szCs w:val="22"/>
              </w:rPr>
              <w:t>本交易</w:t>
            </w:r>
            <w:r>
              <w:rPr>
                <w:rFonts w:hint="eastAsia"/>
                <w:sz w:val="22"/>
                <w:szCs w:val="22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40" w:type="dxa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cs="Times New Roman"/>
                <w:sz w:val="22"/>
                <w:szCs w:val="22"/>
                <w:lang w:val="en-GB" w:eastAsia="zh-CN"/>
              </w:rPr>
              <w:t>交易概况（限200字内）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>
              <w:rPr>
                <w:rFonts w:hint="eastAsia"/>
                <w:sz w:val="22"/>
                <w:szCs w:val="22"/>
              </w:rPr>
              <w:t>年1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月4日，（1）道达尔能源欧洲公司（“</w:t>
            </w:r>
            <w:r>
              <w:rPr>
                <w:rFonts w:hint="eastAsia"/>
                <w:b/>
                <w:bCs/>
                <w:sz w:val="22"/>
                <w:szCs w:val="22"/>
              </w:rPr>
              <w:t>道达尔能源</w:t>
            </w:r>
            <w:r>
              <w:rPr>
                <w:rFonts w:hint="eastAsia"/>
                <w:sz w:val="22"/>
                <w:szCs w:val="22"/>
              </w:rPr>
              <w:t>”）、（2）中国海洋石油集团有限公司（“</w:t>
            </w:r>
            <w:r>
              <w:rPr>
                <w:rFonts w:hint="eastAsia"/>
                <w:b/>
                <w:bCs/>
                <w:sz w:val="22"/>
                <w:szCs w:val="22"/>
              </w:rPr>
              <w:t>中海油</w:t>
            </w:r>
            <w:r>
              <w:rPr>
                <w:rFonts w:hint="eastAsia"/>
                <w:sz w:val="22"/>
                <w:szCs w:val="22"/>
              </w:rPr>
              <w:t>”）、（3）乌干达国家石油公司（“</w:t>
            </w:r>
            <w:r>
              <w:rPr>
                <w:rFonts w:hint="eastAsia"/>
                <w:b/>
                <w:bCs/>
                <w:sz w:val="22"/>
                <w:szCs w:val="22"/>
              </w:rPr>
              <w:t>乌石油</w:t>
            </w:r>
            <w:r>
              <w:rPr>
                <w:rFonts w:hint="eastAsia"/>
                <w:sz w:val="22"/>
                <w:szCs w:val="22"/>
              </w:rPr>
              <w:t>”）和（4）坦桑尼亚石油开发公司（“</w:t>
            </w:r>
            <w:r>
              <w:rPr>
                <w:rFonts w:hint="eastAsia"/>
                <w:b/>
                <w:bCs/>
                <w:sz w:val="22"/>
                <w:szCs w:val="22"/>
              </w:rPr>
              <w:t>坦石油</w:t>
            </w:r>
            <w:r>
              <w:rPr>
                <w:rFonts w:hint="eastAsia"/>
                <w:sz w:val="22"/>
                <w:szCs w:val="22"/>
              </w:rPr>
              <w:t>”）（直接或通过其各自全资持有或控制的关联方）签订了一项《股东协议》</w:t>
            </w:r>
            <w:r>
              <w:rPr>
                <w:rFonts w:hint="eastAsia"/>
                <w:sz w:val="22"/>
                <w:szCs w:val="22"/>
                <w:lang w:eastAsia="zh-CN"/>
              </w:rPr>
              <w:t>，计划对</w:t>
            </w:r>
            <w:r>
              <w:rPr>
                <w:rFonts w:hint="eastAsia"/>
                <w:sz w:val="22"/>
                <w:szCs w:val="22"/>
              </w:rPr>
              <w:t>东非原油管道有限公司（</w:t>
            </w:r>
            <w:r>
              <w:rPr>
                <w:sz w:val="22"/>
                <w:szCs w:val="22"/>
              </w:rPr>
              <w:t>East African Crude Oil Pipeline Ltd.</w:t>
            </w:r>
            <w:r>
              <w:rPr>
                <w:rFonts w:hint="eastAsia"/>
                <w:sz w:val="22"/>
                <w:szCs w:val="22"/>
              </w:rPr>
              <w:t>）（“</w:t>
            </w:r>
            <w:r>
              <w:rPr>
                <w:rFonts w:hint="eastAsia"/>
                <w:sz w:val="22"/>
                <w:szCs w:val="22"/>
                <w:lang w:eastAsia="zh-CN"/>
              </w:rPr>
              <w:t>目标企业</w:t>
            </w:r>
            <w:r>
              <w:rPr>
                <w:rFonts w:hint="eastAsia"/>
                <w:sz w:val="22"/>
                <w:szCs w:val="22"/>
              </w:rPr>
              <w:t>”）</w:t>
            </w:r>
            <w:r>
              <w:rPr>
                <w:rFonts w:hint="eastAsia"/>
                <w:sz w:val="22"/>
                <w:szCs w:val="22"/>
                <w:lang w:eastAsia="zh-CN"/>
              </w:rPr>
              <w:t>开展合营。目标企业</w:t>
            </w:r>
            <w:r>
              <w:rPr>
                <w:rFonts w:hint="eastAsia"/>
                <w:sz w:val="22"/>
                <w:szCs w:val="22"/>
              </w:rPr>
              <w:t>目的是建设和运营一条将原油从乌干达的霍伊马（</w:t>
            </w:r>
            <w:r>
              <w:rPr>
                <w:sz w:val="22"/>
                <w:szCs w:val="22"/>
              </w:rPr>
              <w:t>Hoima</w:t>
            </w:r>
            <w:r>
              <w:rPr>
                <w:rFonts w:hint="eastAsia"/>
                <w:sz w:val="22"/>
                <w:szCs w:val="22"/>
              </w:rPr>
              <w:t>）地区运输到坦桑尼亚的坦噶（</w:t>
            </w:r>
            <w:r>
              <w:rPr>
                <w:sz w:val="22"/>
                <w:szCs w:val="22"/>
              </w:rPr>
              <w:t>Tanga</w:t>
            </w:r>
            <w:r>
              <w:rPr>
                <w:rFonts w:hint="eastAsia"/>
                <w:sz w:val="22"/>
                <w:szCs w:val="22"/>
              </w:rPr>
              <w:t>）地区港口的原油输油管道。本交易完成后，道达尔能源、中海油、乌石油和坦石油将共同控制</w:t>
            </w:r>
            <w:r>
              <w:rPr>
                <w:rFonts w:hint="eastAsia"/>
                <w:sz w:val="22"/>
                <w:szCs w:val="22"/>
                <w:lang w:eastAsia="zh-CN"/>
              </w:rPr>
              <w:t>目标</w:t>
            </w:r>
            <w:r>
              <w:rPr>
                <w:rFonts w:hint="eastAsia"/>
                <w:sz w:val="22"/>
                <w:szCs w:val="22"/>
              </w:rPr>
              <w:t>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940" w:type="dxa"/>
            <w:vMerge w:val="restart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cs="Times New Roman"/>
                <w:sz w:val="22"/>
                <w:szCs w:val="22"/>
                <w:lang w:val="en-GB" w:eastAsia="zh-CN"/>
              </w:rPr>
              <w:t>参与集中的经营者简介</w:t>
            </w:r>
          </w:p>
        </w:tc>
        <w:tc>
          <w:tcPr>
            <w:tcW w:w="1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1、道达尔能源</w:t>
            </w:r>
          </w:p>
        </w:tc>
        <w:tc>
          <w:tcPr>
            <w:tcW w:w="581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道达尔能源拥有约100,000名员工，业务遍及130多个国家，是一家综合性国际能源公司。道达尔能源涉足石油和天然气行业的各个领域。道达尔能源还从事可再生能源、发电领域和碳中和业务（即能源效率、碳捕获使用和存储、氢和基于自然的解决方案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有关道达尔能源的更多信息，请参见</w:t>
            </w:r>
            <w:r>
              <w:fldChar w:fldCharType="begin"/>
            </w:r>
            <w:r>
              <w:instrText xml:space="preserve"> HYPERLINK "https://www.totalenergies.com" </w:instrText>
            </w:r>
            <w:r>
              <w:fldChar w:fldCharType="separate"/>
            </w:r>
            <w:r>
              <w:rPr>
                <w:rStyle w:val="11"/>
                <w:rFonts w:ascii="Times" w:hAnsi="Times"/>
                <w:sz w:val="22"/>
                <w:szCs w:val="22"/>
              </w:rPr>
              <w:t>https://www.totalenergies.com</w:t>
            </w:r>
            <w:r>
              <w:rPr>
                <w:rStyle w:val="11"/>
                <w:rFonts w:ascii="Times" w:hAnsi="Times"/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</w:t>
            </w:r>
            <w:r>
              <w:rPr>
                <w:rFonts w:hint="eastAsia" w:ascii="Times" w:hAnsi="Times"/>
                <w:sz w:val="22"/>
                <w:szCs w:val="22"/>
              </w:rPr>
              <w:t>、中海油</w:t>
            </w:r>
          </w:p>
        </w:tc>
        <w:tc>
          <w:tcPr>
            <w:tcW w:w="5812" w:type="dxa"/>
            <w:shd w:val="clear" w:color="auto" w:fill="auto"/>
          </w:tcPr>
          <w:p>
            <w:pPr>
              <w:snapToGrid w:val="0"/>
              <w:spacing w:after="12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中海油是一家国际能源公司，拥有完整的产业链，业务遍及40多个国家和地区。中海油的五大主要业务板块是油气勘探开发、专业技术服务、炼化与销售、天然气及发电和金融服务。</w:t>
            </w:r>
          </w:p>
          <w:p>
            <w:pPr>
              <w:snapToGrid w:val="0"/>
              <w:spacing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有关中海油的更多信息，请参见</w:t>
            </w:r>
            <w:r>
              <w:fldChar w:fldCharType="begin"/>
            </w:r>
            <w:r>
              <w:instrText xml:space="preserve"> HYPERLINK "https://www.cnooc.com.cn/" </w:instrText>
            </w:r>
            <w:r>
              <w:fldChar w:fldCharType="separate"/>
            </w:r>
            <w:r>
              <w:rPr>
                <w:rStyle w:val="11"/>
                <w:rFonts w:ascii="Times" w:hAnsi="Times"/>
                <w:sz w:val="22"/>
                <w:szCs w:val="22"/>
              </w:rPr>
              <w:t>https://www.cnooc.com.cn/</w:t>
            </w:r>
            <w:r>
              <w:rPr>
                <w:rStyle w:val="11"/>
                <w:rFonts w:ascii="Times" w:hAnsi="Times"/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3、乌石油</w:t>
            </w:r>
          </w:p>
        </w:tc>
        <w:tc>
          <w:tcPr>
            <w:tcW w:w="581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乌石油的总体职能是处理乌干达政府在石油部门的商业利益，并确保以可持续的方式开发资源。乌石油代表乌干达政府直接或通过其子公司在乌干达进行项目投资，以参与乌干达的石油勘探、生产、炼化和存储等业务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有关乌石油的更多信息，请参见</w:t>
            </w:r>
            <w:r>
              <w:fldChar w:fldCharType="begin"/>
            </w:r>
            <w:r>
              <w:instrText xml:space="preserve"> HYPERLINK "https://www.unoc.co.ug/" </w:instrText>
            </w:r>
            <w:r>
              <w:fldChar w:fldCharType="separate"/>
            </w:r>
            <w:r>
              <w:rPr>
                <w:rStyle w:val="11"/>
                <w:rFonts w:ascii="Times" w:hAnsi="Times"/>
                <w:sz w:val="22"/>
                <w:szCs w:val="22"/>
              </w:rPr>
              <w:t>https://www.unoc.co.ug/</w:t>
            </w:r>
            <w:r>
              <w:rPr>
                <w:rStyle w:val="11"/>
                <w:rFonts w:ascii="Times" w:hAnsi="Times"/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4、坦石油</w:t>
            </w:r>
          </w:p>
        </w:tc>
        <w:tc>
          <w:tcPr>
            <w:tcW w:w="5812" w:type="dxa"/>
            <w:shd w:val="clear" w:color="auto" w:fill="auto"/>
          </w:tcPr>
          <w:p>
            <w:pPr>
              <w:snapToGrid w:val="0"/>
              <w:spacing w:after="120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坦石油是坦桑尼亚的国家石油公司，能源和矿产部通过该公司实施其石油勘探和开发政策。坦石油在石油行业的上下游开展业务。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hint="eastAsia" w:ascii="Times" w:hAnsi="Times"/>
                <w:sz w:val="22"/>
                <w:szCs w:val="22"/>
              </w:rPr>
              <w:t>有关坦石油的更多信息，请参见</w:t>
            </w:r>
            <w:r>
              <w:fldChar w:fldCharType="begin"/>
            </w:r>
            <w:r>
              <w:instrText xml:space="preserve"> HYPERLINK "https://www.tpdc.co.tz/" </w:instrText>
            </w:r>
            <w:r>
              <w:fldChar w:fldCharType="separate"/>
            </w:r>
            <w:r>
              <w:rPr>
                <w:rStyle w:val="11"/>
                <w:rFonts w:ascii="Times" w:hAnsi="Times"/>
                <w:sz w:val="22"/>
                <w:szCs w:val="22"/>
              </w:rPr>
              <w:t>https://www.tpdc.co.tz/</w:t>
            </w:r>
            <w:r>
              <w:rPr>
                <w:rStyle w:val="11"/>
                <w:rFonts w:ascii="Times" w:hAnsi="Times"/>
                <w:sz w:val="22"/>
                <w:szCs w:val="22"/>
              </w:rPr>
              <w:fldChar w:fldCharType="end"/>
            </w:r>
            <w:r>
              <w:rPr>
                <w:rFonts w:hint="eastAsia" w:ascii="Times" w:hAnsi="Times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cs="Times New Roman"/>
                <w:sz w:val="22"/>
                <w:szCs w:val="22"/>
                <w:lang w:val="en-GB" w:eastAsia="zh-CN"/>
              </w:rPr>
              <w:t>简易案件理由（可以单选，也可以多选）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F06F"/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F06F"/>
            </w:r>
            <w:r>
              <w:rPr>
                <w:rFonts w:hint="eastAsia" w:cs="Times New Roman"/>
                <w:sz w:val="22"/>
                <w:szCs w:val="22"/>
                <w:lang w:val="en-GB" w:eastAsia="zh-CN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F06F"/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00FE"/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pacing w:after="0"/>
              <w:rPr>
                <w:rFonts w:cs="Times New Roman"/>
                <w:sz w:val="22"/>
                <w:szCs w:val="22"/>
                <w:lang w:val="en-US" w:eastAsia="zh-CN"/>
              </w:rPr>
            </w:pPr>
            <w:r>
              <w:rPr>
                <w:rFonts w:ascii="Wingdings" w:hAnsi="Wingdings"/>
                <w:sz w:val="22"/>
                <w:szCs w:val="22"/>
                <w:lang w:eastAsia="zh-CN"/>
              </w:rPr>
              <w:sym w:font="Wingdings" w:char="F06F"/>
            </w:r>
            <w:r>
              <w:rPr>
                <w:rFonts w:cs="Times New Roman"/>
                <w:sz w:val="22"/>
                <w:szCs w:val="22"/>
                <w:lang w:val="en-GB"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D9D9D9"/>
          </w:tcPr>
          <w:p>
            <w:pPr>
              <w:pStyle w:val="3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备注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/A</w:t>
            </w:r>
          </w:p>
        </w:tc>
      </w:tr>
    </w:tbl>
    <w:p>
      <w:pPr>
        <w:rPr>
          <w:sz w:val="22"/>
          <w:szCs w:val="22"/>
          <w:lang w:val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A3498"/>
    <w:multiLevelType w:val="multilevel"/>
    <w:tmpl w:val="07FA3498"/>
    <w:lvl w:ilvl="0" w:tentative="0">
      <w:start w:val="1"/>
      <w:numFmt w:val="decimal"/>
      <w:pStyle w:val="28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lowerLetter"/>
      <w:pStyle w:val="27"/>
      <w:lvlText w:val="(%2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pStyle w:val="26"/>
      <w:lvlText w:val=""/>
      <w:lvlJc w:val="left"/>
      <w:pPr>
        <w:tabs>
          <w:tab w:val="left" w:pos="1440"/>
        </w:tabs>
        <w:ind w:left="144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upperLetter"/>
      <w:pStyle w:val="25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decimal"/>
      <w:pStyle w:val="24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none"/>
      <w:lvlRestart w:val="0"/>
      <w:pStyle w:val="2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none"/>
      <w:lvlRestart w:val="0"/>
      <w:pStyle w:val="22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2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none"/>
      <w:lvlRestart w:val="0"/>
      <w:pStyle w:val="2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>
    <w:nsid w:val="20AE77A7"/>
    <w:multiLevelType w:val="multilevel"/>
    <w:tmpl w:val="20AE77A7"/>
    <w:lvl w:ilvl="0" w:tentative="0">
      <w:start w:val="1"/>
      <w:numFmt w:val="decimal"/>
      <w:pStyle w:val="4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9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lowerLetter"/>
      <w:pStyle w:val="38"/>
      <w:lvlText w:val="(%3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lowerRoman"/>
      <w:pStyle w:val="37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upperLetter"/>
      <w:pStyle w:val="36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decimal"/>
      <w:pStyle w:val="35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none"/>
      <w:lvlRestart w:val="0"/>
      <w:pStyle w:val="34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none"/>
      <w:lvlRestart w:val="0"/>
      <w:pStyle w:val="32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true"/>
  <w:bordersDoNotSurroundFooter w:val="true"/>
  <w:hideSpellingErrors/>
  <w:hideGrammaticalErrors/>
  <w:doNotTrackMoves/>
  <w:doNotTrackFormatting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B"/>
    <w:rsid w:val="00001A6D"/>
    <w:rsid w:val="00016303"/>
    <w:rsid w:val="00040517"/>
    <w:rsid w:val="0005110A"/>
    <w:rsid w:val="00075F30"/>
    <w:rsid w:val="00081927"/>
    <w:rsid w:val="0008652E"/>
    <w:rsid w:val="00152ED3"/>
    <w:rsid w:val="001620F1"/>
    <w:rsid w:val="0017603B"/>
    <w:rsid w:val="001867BE"/>
    <w:rsid w:val="001937A5"/>
    <w:rsid w:val="001A591E"/>
    <w:rsid w:val="001E7029"/>
    <w:rsid w:val="001E7764"/>
    <w:rsid w:val="001F5218"/>
    <w:rsid w:val="002068E1"/>
    <w:rsid w:val="00221EED"/>
    <w:rsid w:val="0022234D"/>
    <w:rsid w:val="00235614"/>
    <w:rsid w:val="0024351F"/>
    <w:rsid w:val="002525EC"/>
    <w:rsid w:val="002752CF"/>
    <w:rsid w:val="00287C83"/>
    <w:rsid w:val="00293BD7"/>
    <w:rsid w:val="00297450"/>
    <w:rsid w:val="00333793"/>
    <w:rsid w:val="00346D4D"/>
    <w:rsid w:val="00352AEF"/>
    <w:rsid w:val="00384889"/>
    <w:rsid w:val="003A28B1"/>
    <w:rsid w:val="003A7C04"/>
    <w:rsid w:val="003B0B19"/>
    <w:rsid w:val="003D314D"/>
    <w:rsid w:val="003D425D"/>
    <w:rsid w:val="003D548C"/>
    <w:rsid w:val="0041446C"/>
    <w:rsid w:val="004311FE"/>
    <w:rsid w:val="00462CBF"/>
    <w:rsid w:val="0047593C"/>
    <w:rsid w:val="004871BD"/>
    <w:rsid w:val="004902C1"/>
    <w:rsid w:val="004A2FFE"/>
    <w:rsid w:val="004D1096"/>
    <w:rsid w:val="004E4FC5"/>
    <w:rsid w:val="004E5A46"/>
    <w:rsid w:val="004F0041"/>
    <w:rsid w:val="004F26EC"/>
    <w:rsid w:val="00506782"/>
    <w:rsid w:val="00525159"/>
    <w:rsid w:val="00555FD7"/>
    <w:rsid w:val="0055693D"/>
    <w:rsid w:val="005745E3"/>
    <w:rsid w:val="00575D3C"/>
    <w:rsid w:val="00594879"/>
    <w:rsid w:val="005A7D2A"/>
    <w:rsid w:val="005D0855"/>
    <w:rsid w:val="0064168F"/>
    <w:rsid w:val="006450E1"/>
    <w:rsid w:val="00647D58"/>
    <w:rsid w:val="00676DEA"/>
    <w:rsid w:val="00683CEC"/>
    <w:rsid w:val="006912F7"/>
    <w:rsid w:val="006D5A9E"/>
    <w:rsid w:val="006E141B"/>
    <w:rsid w:val="00705E85"/>
    <w:rsid w:val="00721041"/>
    <w:rsid w:val="007472FC"/>
    <w:rsid w:val="007535D1"/>
    <w:rsid w:val="00764DB0"/>
    <w:rsid w:val="00772AA6"/>
    <w:rsid w:val="0079009C"/>
    <w:rsid w:val="007A47AA"/>
    <w:rsid w:val="007C3B11"/>
    <w:rsid w:val="007D0185"/>
    <w:rsid w:val="007F234F"/>
    <w:rsid w:val="008043E6"/>
    <w:rsid w:val="008436B7"/>
    <w:rsid w:val="00846CC3"/>
    <w:rsid w:val="00852A85"/>
    <w:rsid w:val="008562CE"/>
    <w:rsid w:val="00862F7B"/>
    <w:rsid w:val="008656E0"/>
    <w:rsid w:val="00874B87"/>
    <w:rsid w:val="008907DB"/>
    <w:rsid w:val="00894982"/>
    <w:rsid w:val="008A3B57"/>
    <w:rsid w:val="008A655B"/>
    <w:rsid w:val="008B2A86"/>
    <w:rsid w:val="009004F6"/>
    <w:rsid w:val="00932B1D"/>
    <w:rsid w:val="00944E3F"/>
    <w:rsid w:val="00955B7B"/>
    <w:rsid w:val="00966276"/>
    <w:rsid w:val="00973C6E"/>
    <w:rsid w:val="00976BEB"/>
    <w:rsid w:val="0099230E"/>
    <w:rsid w:val="009D60C7"/>
    <w:rsid w:val="009F0D06"/>
    <w:rsid w:val="009F2F6B"/>
    <w:rsid w:val="00A12464"/>
    <w:rsid w:val="00A30099"/>
    <w:rsid w:val="00A766C7"/>
    <w:rsid w:val="00AA5D49"/>
    <w:rsid w:val="00AB2557"/>
    <w:rsid w:val="00AB7F70"/>
    <w:rsid w:val="00AC30B4"/>
    <w:rsid w:val="00AE2337"/>
    <w:rsid w:val="00B00E34"/>
    <w:rsid w:val="00B15B57"/>
    <w:rsid w:val="00B342CF"/>
    <w:rsid w:val="00B350E3"/>
    <w:rsid w:val="00B43A95"/>
    <w:rsid w:val="00B509AC"/>
    <w:rsid w:val="00B80E6D"/>
    <w:rsid w:val="00B963C0"/>
    <w:rsid w:val="00BC01EA"/>
    <w:rsid w:val="00BC063A"/>
    <w:rsid w:val="00BF6B18"/>
    <w:rsid w:val="00C00AB9"/>
    <w:rsid w:val="00C11BA8"/>
    <w:rsid w:val="00C36A7D"/>
    <w:rsid w:val="00C855C4"/>
    <w:rsid w:val="00CD590A"/>
    <w:rsid w:val="00CD73F7"/>
    <w:rsid w:val="00D133CB"/>
    <w:rsid w:val="00D211F6"/>
    <w:rsid w:val="00D24E20"/>
    <w:rsid w:val="00D458E2"/>
    <w:rsid w:val="00D4692F"/>
    <w:rsid w:val="00D50FE5"/>
    <w:rsid w:val="00D62EC6"/>
    <w:rsid w:val="00D91095"/>
    <w:rsid w:val="00D92E0B"/>
    <w:rsid w:val="00DC05CD"/>
    <w:rsid w:val="00DC1875"/>
    <w:rsid w:val="00DE21ED"/>
    <w:rsid w:val="00DE424C"/>
    <w:rsid w:val="00E020B9"/>
    <w:rsid w:val="00E44950"/>
    <w:rsid w:val="00E94D11"/>
    <w:rsid w:val="00E95E99"/>
    <w:rsid w:val="00E9635A"/>
    <w:rsid w:val="00ED3D75"/>
    <w:rsid w:val="00EF2CBF"/>
    <w:rsid w:val="00F217B4"/>
    <w:rsid w:val="00F23B35"/>
    <w:rsid w:val="00F4045F"/>
    <w:rsid w:val="00F524EE"/>
    <w:rsid w:val="00F75F76"/>
    <w:rsid w:val="00F877CB"/>
    <w:rsid w:val="00F93A39"/>
    <w:rsid w:val="00F9750C"/>
    <w:rsid w:val="00FC7EB3"/>
    <w:rsid w:val="00FD21DC"/>
    <w:rsid w:val="00FE3F71"/>
    <w:rsid w:val="9F7EC58B"/>
    <w:rsid w:val="FFFB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uto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link w:val="14"/>
    <w:qFormat/>
    <w:uiPriority w:val="0"/>
    <w:rPr>
      <w:rFonts w:cs="Simplified Arabic"/>
      <w:lang w:val="zh-CN" w:eastAsia="en-GB"/>
    </w:r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after="0"/>
      <w:jc w:val="left"/>
    </w:pPr>
    <w:rPr>
      <w:rFonts w:eastAsiaTheme="minorEastAsia"/>
      <w:sz w:val="16"/>
      <w:szCs w:val="22"/>
      <w:lang w:bidi="ar-SA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after="0"/>
      <w:jc w:val="left"/>
    </w:pPr>
    <w:rPr>
      <w:rFonts w:asciiTheme="minorHAnsi" w:hAnsiTheme="minorHAnsi" w:eastAsiaTheme="minorEastAsia" w:cstheme="minorBidi"/>
      <w:sz w:val="22"/>
      <w:szCs w:val="22"/>
      <w:lang w:bidi="ar-SA"/>
    </w:rPr>
  </w:style>
  <w:style w:type="paragraph" w:styleId="7">
    <w:name w:val="Body Text 2"/>
    <w:basedOn w:val="1"/>
    <w:link w:val="19"/>
    <w:semiHidden/>
    <w:unhideWhenUsed/>
    <w:qFormat/>
    <w:uiPriority w:val="99"/>
    <w:pPr>
      <w:spacing w:after="120" w:line="480" w:lineRule="auto"/>
    </w:pPr>
  </w:style>
  <w:style w:type="character" w:styleId="10">
    <w:name w:val="page number"/>
    <w:basedOn w:val="9"/>
    <w:semiHidden/>
    <w:unhideWhenUsed/>
    <w:qFormat/>
    <w:uiPriority w:val="99"/>
    <w:rPr>
      <w:rFonts w:ascii="Times New Roman" w:hAnsi="Times New Roman" w:cs="Times New Roman"/>
      <w:sz w:val="24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cs="Times New Roman"/>
      <w:sz w:val="16"/>
    </w:rPr>
  </w:style>
  <w:style w:type="character" w:customStyle="1" w:styleId="14">
    <w:name w:val="正文文本 字符"/>
    <w:basedOn w:val="9"/>
    <w:link w:val="3"/>
    <w:qFormat/>
    <w:uiPriority w:val="0"/>
    <w:rPr>
      <w:rFonts w:ascii="Times New Roman" w:hAnsi="Times New Roman" w:eastAsia="宋体" w:cs="Simplified Arabic"/>
      <w:sz w:val="24"/>
      <w:szCs w:val="24"/>
      <w:lang w:val="zh-CN" w:eastAsia="en-GB" w:bidi="ar-AE"/>
    </w:rPr>
  </w:style>
  <w:style w:type="paragraph" w:customStyle="1" w:styleId="15">
    <w:name w:val="Footer Right"/>
    <w:basedOn w:val="5"/>
    <w:link w:val="16"/>
    <w:qFormat/>
    <w:uiPriority w:val="0"/>
    <w:pPr>
      <w:spacing w:line="440" w:lineRule="exact"/>
      <w:jc w:val="right"/>
    </w:pPr>
    <w:rPr>
      <w:szCs w:val="28"/>
    </w:rPr>
  </w:style>
  <w:style w:type="character" w:customStyle="1" w:styleId="16">
    <w:name w:val="Footer Right Char"/>
    <w:basedOn w:val="9"/>
    <w:link w:val="15"/>
    <w:qFormat/>
    <w:uiPriority w:val="0"/>
    <w:rPr>
      <w:rFonts w:ascii="Times New Roman" w:hAnsi="Times New Roman" w:cs="Times New Roman"/>
      <w:sz w:val="16"/>
      <w:szCs w:val="2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Segoe UI" w:hAnsi="Segoe UI" w:eastAsia="宋体" w:cs="Segoe UI"/>
      <w:sz w:val="18"/>
      <w:szCs w:val="18"/>
      <w:lang w:bidi="ar-AE"/>
    </w:rPr>
  </w:style>
  <w:style w:type="character" w:customStyle="1" w:styleId="19">
    <w:name w:val="正文文本 2 字符"/>
    <w:basedOn w:val="9"/>
    <w:link w:val="7"/>
    <w:semiHidden/>
    <w:qFormat/>
    <w:uiPriority w:val="99"/>
    <w:rPr>
      <w:rFonts w:ascii="Times New Roman" w:hAnsi="Times New Roman" w:eastAsia="宋体" w:cs="Times New Roman"/>
      <w:sz w:val="24"/>
      <w:szCs w:val="24"/>
      <w:lang w:bidi="ar-AE"/>
    </w:rPr>
  </w:style>
  <w:style w:type="paragraph" w:customStyle="1" w:styleId="20">
    <w:name w:val="General 3 L9"/>
    <w:basedOn w:val="1"/>
    <w:qFormat/>
    <w:uiPriority w:val="0"/>
    <w:pPr>
      <w:numPr>
        <w:ilvl w:val="8"/>
        <w:numId w:val="1"/>
      </w:numPr>
      <w:outlineLvl w:val="8"/>
    </w:pPr>
    <w:rPr>
      <w:rFonts w:cs="Simplified Arabic"/>
      <w:bCs/>
    </w:rPr>
  </w:style>
  <w:style w:type="paragraph" w:customStyle="1" w:styleId="21">
    <w:name w:val="General 3 L8"/>
    <w:basedOn w:val="1"/>
    <w:qFormat/>
    <w:uiPriority w:val="0"/>
    <w:pPr>
      <w:numPr>
        <w:ilvl w:val="7"/>
        <w:numId w:val="1"/>
      </w:numPr>
      <w:outlineLvl w:val="7"/>
    </w:pPr>
    <w:rPr>
      <w:rFonts w:cs="Simplified Arabic"/>
      <w:bCs/>
    </w:rPr>
  </w:style>
  <w:style w:type="paragraph" w:customStyle="1" w:styleId="22">
    <w:name w:val="General 3 L7"/>
    <w:basedOn w:val="1"/>
    <w:qFormat/>
    <w:uiPriority w:val="0"/>
    <w:pPr>
      <w:numPr>
        <w:ilvl w:val="6"/>
        <w:numId w:val="1"/>
      </w:numPr>
      <w:outlineLvl w:val="6"/>
    </w:pPr>
    <w:rPr>
      <w:rFonts w:cs="Simplified Arabic"/>
      <w:bCs/>
    </w:rPr>
  </w:style>
  <w:style w:type="paragraph" w:customStyle="1" w:styleId="23">
    <w:name w:val="General 3 L6"/>
    <w:basedOn w:val="1"/>
    <w:qFormat/>
    <w:uiPriority w:val="0"/>
    <w:pPr>
      <w:numPr>
        <w:ilvl w:val="5"/>
        <w:numId w:val="1"/>
      </w:numPr>
      <w:outlineLvl w:val="5"/>
    </w:pPr>
    <w:rPr>
      <w:rFonts w:cs="Simplified Arabic"/>
      <w:bCs/>
    </w:rPr>
  </w:style>
  <w:style w:type="paragraph" w:customStyle="1" w:styleId="24">
    <w:name w:val="General 3 L5"/>
    <w:basedOn w:val="1"/>
    <w:next w:val="1"/>
    <w:qFormat/>
    <w:uiPriority w:val="0"/>
    <w:pPr>
      <w:numPr>
        <w:ilvl w:val="4"/>
        <w:numId w:val="1"/>
      </w:numPr>
      <w:outlineLvl w:val="4"/>
    </w:pPr>
    <w:rPr>
      <w:rFonts w:cs="Simplified Arabic"/>
      <w:bCs/>
    </w:rPr>
  </w:style>
  <w:style w:type="paragraph" w:customStyle="1" w:styleId="25">
    <w:name w:val="General 3 L4"/>
    <w:basedOn w:val="1"/>
    <w:next w:val="2"/>
    <w:qFormat/>
    <w:uiPriority w:val="0"/>
    <w:pPr>
      <w:numPr>
        <w:ilvl w:val="3"/>
        <w:numId w:val="1"/>
      </w:numPr>
      <w:outlineLvl w:val="3"/>
    </w:pPr>
    <w:rPr>
      <w:rFonts w:cs="Simplified Arabic"/>
      <w:bCs/>
    </w:rPr>
  </w:style>
  <w:style w:type="paragraph" w:customStyle="1" w:styleId="26">
    <w:name w:val="General 3 L3"/>
    <w:basedOn w:val="1"/>
    <w:next w:val="7"/>
    <w:qFormat/>
    <w:uiPriority w:val="0"/>
    <w:pPr>
      <w:numPr>
        <w:ilvl w:val="2"/>
        <w:numId w:val="1"/>
      </w:numPr>
      <w:outlineLvl w:val="2"/>
    </w:pPr>
    <w:rPr>
      <w:rFonts w:cs="Simplified Arabic"/>
      <w:bCs/>
    </w:rPr>
  </w:style>
  <w:style w:type="paragraph" w:customStyle="1" w:styleId="27">
    <w:name w:val="General 3 L2"/>
    <w:basedOn w:val="1"/>
    <w:next w:val="1"/>
    <w:qFormat/>
    <w:uiPriority w:val="0"/>
    <w:pPr>
      <w:numPr>
        <w:ilvl w:val="1"/>
        <w:numId w:val="1"/>
      </w:numPr>
      <w:outlineLvl w:val="1"/>
    </w:pPr>
    <w:rPr>
      <w:rFonts w:cs="Simplified Arabic"/>
      <w:bCs/>
    </w:rPr>
  </w:style>
  <w:style w:type="paragraph" w:customStyle="1" w:styleId="28">
    <w:name w:val="General 3 L1"/>
    <w:basedOn w:val="1"/>
    <w:next w:val="1"/>
    <w:qFormat/>
    <w:uiPriority w:val="0"/>
    <w:pPr>
      <w:numPr>
        <w:ilvl w:val="0"/>
        <w:numId w:val="1"/>
      </w:numPr>
      <w:outlineLvl w:val="0"/>
    </w:pPr>
    <w:rPr>
      <w:rFonts w:cs="Simplified Arabic"/>
      <w:bCs/>
    </w:rPr>
  </w:style>
  <w:style w:type="character" w:customStyle="1" w:styleId="29">
    <w:name w:val="正文文本 3 字符"/>
    <w:basedOn w:val="9"/>
    <w:link w:val="2"/>
    <w:semiHidden/>
    <w:qFormat/>
    <w:uiPriority w:val="99"/>
    <w:rPr>
      <w:rFonts w:ascii="Times New Roman" w:hAnsi="Times New Roman" w:eastAsia="宋体" w:cs="Times New Roman"/>
      <w:sz w:val="16"/>
      <w:szCs w:val="16"/>
      <w:lang w:bidi="ar-AE"/>
    </w:rPr>
  </w:style>
  <w:style w:type="paragraph" w:customStyle="1" w:styleId="3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1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2"/>
      <w:lang w:eastAsia="en-US" w:bidi="ar-SA"/>
    </w:rPr>
  </w:style>
  <w:style w:type="paragraph" w:customStyle="1" w:styleId="32">
    <w:name w:val="General 1 L9"/>
    <w:basedOn w:val="1"/>
    <w:qFormat/>
    <w:uiPriority w:val="0"/>
    <w:pPr>
      <w:numPr>
        <w:ilvl w:val="8"/>
        <w:numId w:val="2"/>
      </w:numPr>
      <w:outlineLvl w:val="8"/>
    </w:pPr>
  </w:style>
  <w:style w:type="paragraph" w:customStyle="1" w:styleId="33">
    <w:name w:val="General 1 L8"/>
    <w:basedOn w:val="1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paragraph" w:customStyle="1" w:styleId="34">
    <w:name w:val="General 1 L7"/>
    <w:basedOn w:val="1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paragraph" w:customStyle="1" w:styleId="35">
    <w:name w:val="General 1 L6"/>
    <w:basedOn w:val="1"/>
    <w:next w:val="1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paragraph" w:customStyle="1" w:styleId="36">
    <w:name w:val="General 1 L5"/>
    <w:basedOn w:val="1"/>
    <w:next w:val="1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paragraph" w:customStyle="1" w:styleId="37">
    <w:name w:val="General 1 L4"/>
    <w:basedOn w:val="1"/>
    <w:next w:val="2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paragraph" w:customStyle="1" w:styleId="38">
    <w:name w:val="General 1 L3"/>
    <w:basedOn w:val="1"/>
    <w:next w:val="7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paragraph" w:customStyle="1" w:styleId="39">
    <w:name w:val="General 1 L2"/>
    <w:basedOn w:val="1"/>
    <w:next w:val="1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40">
    <w:name w:val="General 1 L1 Char"/>
    <w:basedOn w:val="9"/>
    <w:link w:val="41"/>
    <w:qFormat/>
    <w:locked/>
    <w:uiPriority w:val="0"/>
    <w:rPr>
      <w:rFonts w:ascii="Times New Roman" w:hAnsi="Times New Roman" w:eastAsia="宋体" w:cs="Simplified Arabic"/>
      <w:sz w:val="24"/>
      <w:szCs w:val="24"/>
      <w:lang w:bidi="ar-AE"/>
    </w:rPr>
  </w:style>
  <w:style w:type="paragraph" w:customStyle="1" w:styleId="41">
    <w:name w:val="General 1 L1"/>
    <w:basedOn w:val="1"/>
    <w:next w:val="1"/>
    <w:link w:val="4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3</TotalTime>
  <ScaleCrop>false</ScaleCrop>
  <LinksUpToDate>false</LinksUpToDate>
  <CharactersWithSpaces>1401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2021-11-05T19:58:00Z</dcterms:created>
  <dcterms:modified xsi:type="dcterms:W3CDTF">2021-11-16T13:55:58Z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