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themeColor="text1"/>
          <w:sz w:val="24"/>
          <w:szCs w:val="24"/>
          <w14:textFill>
            <w14:solidFill>
              <w14:schemeClr w14:val="tx1"/>
            </w14:solidFill>
          </w14:textFill>
        </w:rPr>
      </w:pPr>
      <w:bookmarkStart w:id="0" w:name="_GoBack"/>
      <w:bookmarkEnd w:id="0"/>
      <w:r>
        <w:rPr>
          <w:rFonts w:ascii="宋体" w:hAnsi="宋体"/>
          <w:color w:val="000000" w:themeColor="text1"/>
          <w:sz w:val="24"/>
          <w:szCs w:val="24"/>
          <w14:textFill>
            <w14:solidFill>
              <w14:schemeClr w14:val="tx1"/>
            </w14:solidFill>
          </w14:textFill>
        </w:rPr>
        <w:t>经营者集中简易案件公示表</w:t>
      </w:r>
    </w:p>
    <w:p>
      <w:pPr>
        <w:jc w:val="center"/>
        <w:rPr>
          <w:rFonts w:ascii="宋体" w:hAnsi="宋体"/>
          <w:sz w:val="24"/>
          <w:szCs w:val="24"/>
        </w:rPr>
      </w:pP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rPr>
                <w:rFonts w:ascii="宋体" w:hAnsi="宋体"/>
                <w:sz w:val="24"/>
                <w:szCs w:val="24"/>
              </w:rPr>
            </w:pPr>
            <w:r>
              <w:rPr>
                <w:rFonts w:ascii="宋体" w:hAnsi="宋体"/>
                <w:sz w:val="24"/>
                <w:szCs w:val="24"/>
              </w:rPr>
              <w:t>案件名称</w:t>
            </w:r>
          </w:p>
        </w:tc>
        <w:tc>
          <w:tcPr>
            <w:tcW w:w="6949" w:type="dxa"/>
            <w:gridSpan w:val="2"/>
            <w:vAlign w:val="center"/>
          </w:tcPr>
          <w:p>
            <w:pPr>
              <w:rPr>
                <w:rFonts w:ascii="宋体" w:hAnsi="宋体"/>
                <w:color w:val="000000" w:themeColor="text1"/>
                <w:sz w:val="24"/>
                <w:szCs w:val="24"/>
                <w14:textFill>
                  <w14:solidFill>
                    <w14:schemeClr w14:val="tx1"/>
                  </w14:solidFill>
                </w14:textFill>
              </w:rPr>
            </w:pPr>
            <w:r>
              <w:rPr>
                <w:rFonts w:hint="eastAsia" w:ascii="宋体" w:hAnsi="宋体"/>
                <w:sz w:val="24"/>
                <w:szCs w:val="24"/>
              </w:rPr>
              <w:t>扇扩集团控股株式会社收购上海拓米电子材料有限公司等三家公司股权案（“本次交易”）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tcPr>
          <w:p>
            <w:pPr>
              <w:rPr>
                <w:rFonts w:ascii="宋体" w:hAnsi="宋体"/>
                <w:sz w:val="24"/>
                <w:szCs w:val="24"/>
              </w:rPr>
            </w:pPr>
            <w:r>
              <w:rPr>
                <w:rFonts w:ascii="宋体" w:hAnsi="宋体"/>
                <w:sz w:val="24"/>
                <w:szCs w:val="24"/>
              </w:rPr>
              <w:t>交易概况（限200字内）</w:t>
            </w:r>
          </w:p>
        </w:tc>
        <w:tc>
          <w:tcPr>
            <w:tcW w:w="6949" w:type="dxa"/>
            <w:gridSpan w:val="2"/>
          </w:tcPr>
          <w:p>
            <w:pPr>
              <w:rPr>
                <w:rFonts w:ascii="宋体" w:hAnsi="宋体"/>
                <w:bCs/>
                <w:sz w:val="24"/>
                <w:szCs w:val="24"/>
              </w:rPr>
            </w:pPr>
            <w:r>
              <w:rPr>
                <w:rFonts w:hint="eastAsia" w:ascii="宋体" w:hAnsi="宋体"/>
                <w:bCs/>
                <w:sz w:val="24"/>
                <w:szCs w:val="24"/>
              </w:rPr>
              <w:t>李福生先生在本次交易前直接或间接持股三家对象公司上海拓米电子材料有限公司、上海英可泰可信息科技有限公司以及拓米国際有限公司（以下合称“三家对象公司”）的100%股权(股份)。</w:t>
            </w:r>
          </w:p>
          <w:p>
            <w:pPr>
              <w:rPr>
                <w:rFonts w:ascii="宋体" w:hAnsi="宋体"/>
                <w:bCs/>
                <w:sz w:val="24"/>
                <w:szCs w:val="24"/>
              </w:rPr>
            </w:pPr>
            <w:r>
              <w:rPr>
                <w:rFonts w:hint="eastAsia" w:ascii="宋体" w:hAnsi="宋体"/>
                <w:bCs/>
                <w:sz w:val="24"/>
                <w:szCs w:val="24"/>
              </w:rPr>
              <w:t>通过本次交易，扇扩集团控股株式会社（</w:t>
            </w:r>
            <w:r>
              <w:rPr>
                <w:rFonts w:hint="eastAsia" w:ascii="宋体" w:hAnsi="宋体"/>
                <w:sz w:val="24"/>
                <w:szCs w:val="24"/>
              </w:rPr>
              <w:t>“</w:t>
            </w:r>
            <w:r>
              <w:rPr>
                <w:rFonts w:hint="eastAsia" w:ascii="宋体" w:hAnsi="宋体"/>
                <w:bCs/>
                <w:sz w:val="24"/>
                <w:szCs w:val="24"/>
              </w:rPr>
              <w:t>扇扩</w:t>
            </w:r>
            <w:r>
              <w:rPr>
                <w:rFonts w:hint="eastAsia" w:ascii="宋体" w:hAnsi="宋体"/>
                <w:sz w:val="24"/>
                <w:szCs w:val="24"/>
              </w:rPr>
              <w:t>”</w:t>
            </w:r>
            <w:r>
              <w:rPr>
                <w:rFonts w:hint="eastAsia" w:ascii="宋体" w:hAnsi="宋体"/>
                <w:bCs/>
                <w:sz w:val="24"/>
                <w:szCs w:val="24"/>
              </w:rPr>
              <w:t>）将分别收购三家对象公司各</w:t>
            </w:r>
            <w:r>
              <w:rPr>
                <w:rFonts w:ascii="宋体" w:hAnsi="宋体"/>
                <w:bCs/>
                <w:sz w:val="24"/>
                <w:szCs w:val="24"/>
              </w:rPr>
              <w:t>33.4%的股权(</w:t>
            </w:r>
            <w:r>
              <w:rPr>
                <w:rFonts w:hint="eastAsia" w:ascii="宋体" w:hAnsi="宋体"/>
                <w:bCs/>
                <w:sz w:val="24"/>
                <w:szCs w:val="24"/>
              </w:rPr>
              <w:t>股份</w:t>
            </w:r>
            <w:r>
              <w:rPr>
                <w:rFonts w:ascii="宋体" w:hAnsi="宋体"/>
                <w:bCs/>
                <w:sz w:val="24"/>
                <w:szCs w:val="24"/>
              </w:rPr>
              <w:t>)</w:t>
            </w:r>
            <w:r>
              <w:rPr>
                <w:rFonts w:hint="eastAsia" w:ascii="宋体" w:hAnsi="宋体"/>
                <w:bCs/>
                <w:sz w:val="24"/>
                <w:szCs w:val="24"/>
              </w:rPr>
              <w:t>，并在本次交易后与李福生先生共同控制三家对象公司。</w:t>
            </w:r>
          </w:p>
          <w:p>
            <w:pPr>
              <w:rPr>
                <w:rFonts w:ascii="宋体" w:hAnsi="宋体"/>
                <w:bCs/>
                <w:sz w:val="24"/>
                <w:szCs w:val="24"/>
              </w:rPr>
            </w:pPr>
            <w:r>
              <w:rPr>
                <w:rFonts w:hint="eastAsia" w:ascii="宋体" w:hAnsi="宋体"/>
                <w:bCs/>
                <w:sz w:val="24"/>
                <w:szCs w:val="24"/>
              </w:rPr>
              <w:t>三家对象公司主要从事液晶显示面板的材料和部件销售服务业务。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tcPr>
          <w:p>
            <w:pPr>
              <w:rPr>
                <w:rFonts w:ascii="宋体" w:hAnsi="宋体"/>
                <w:sz w:val="24"/>
                <w:szCs w:val="24"/>
              </w:rPr>
            </w:pPr>
            <w:r>
              <w:rPr>
                <w:rFonts w:ascii="宋体" w:hAnsi="宋体"/>
                <w:sz w:val="24"/>
                <w:szCs w:val="24"/>
              </w:rPr>
              <w:t>参与集中的经营者简介</w:t>
            </w:r>
          </w:p>
        </w:tc>
        <w:tc>
          <w:tcPr>
            <w:tcW w:w="1796" w:type="dxa"/>
          </w:tcPr>
          <w:p>
            <w:pPr>
              <w:rPr>
                <w:rFonts w:ascii="宋体" w:hAnsi="宋体"/>
                <w:bCs/>
                <w:sz w:val="24"/>
                <w:szCs w:val="24"/>
              </w:rPr>
            </w:pPr>
            <w:r>
              <w:rPr>
                <w:rFonts w:ascii="宋体" w:hAnsi="宋体"/>
                <w:bCs/>
                <w:sz w:val="24"/>
                <w:szCs w:val="24"/>
              </w:rPr>
              <w:t>1、</w:t>
            </w:r>
            <w:r>
              <w:rPr>
                <w:rFonts w:hint="eastAsia" w:ascii="宋体" w:hAnsi="宋体"/>
                <w:bCs/>
                <w:sz w:val="24"/>
                <w:szCs w:val="24"/>
              </w:rPr>
              <w:t>扇扩集团控股株式会社</w:t>
            </w:r>
          </w:p>
        </w:tc>
        <w:tc>
          <w:tcPr>
            <w:tcW w:w="5153" w:type="dxa"/>
          </w:tcPr>
          <w:p>
            <w:pPr>
              <w:rPr>
                <w:rFonts w:ascii="宋体" w:hAnsi="宋体"/>
                <w:bCs/>
                <w:sz w:val="24"/>
                <w:szCs w:val="24"/>
              </w:rPr>
            </w:pPr>
            <w:r>
              <w:rPr>
                <w:rFonts w:hint="eastAsia" w:ascii="宋体" w:hAnsi="宋体"/>
                <w:bCs/>
                <w:sz w:val="24"/>
                <w:szCs w:val="24"/>
              </w:rPr>
              <w:t>扇扩为日本的上市公司，于1</w:t>
            </w:r>
            <w:r>
              <w:rPr>
                <w:rFonts w:ascii="宋体" w:hAnsi="宋体"/>
                <w:bCs/>
                <w:sz w:val="24"/>
                <w:szCs w:val="24"/>
              </w:rPr>
              <w:t>946</w:t>
            </w:r>
            <w:r>
              <w:rPr>
                <w:rFonts w:hint="eastAsia" w:ascii="宋体" w:hAnsi="宋体"/>
                <w:bCs/>
                <w:sz w:val="24"/>
                <w:szCs w:val="24"/>
              </w:rPr>
              <w:t>年</w:t>
            </w:r>
            <w:r>
              <w:rPr>
                <w:rFonts w:ascii="宋体" w:hAnsi="宋体"/>
                <w:bCs/>
                <w:sz w:val="24"/>
                <w:szCs w:val="24"/>
              </w:rPr>
              <w:t>7</w:t>
            </w:r>
            <w:r>
              <w:rPr>
                <w:rFonts w:hint="eastAsia" w:ascii="宋体" w:hAnsi="宋体"/>
                <w:bCs/>
                <w:sz w:val="24"/>
                <w:szCs w:val="24"/>
              </w:rPr>
              <w:t>月设立，现住所地位于日本东京都。扇扩集团作为综合性物流集团，主要从事物流业务（包括汽车货物运送、铁路物流、海上物流、航空物流、仓储、物流中心的运营等）、商事贸易业务（包括石油类的销售、其他商事贸易等）以及其他（包括生活支持等业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09" w:type="dxa"/>
            <w:vMerge w:val="continue"/>
            <w:shd w:val="clear" w:color="auto" w:fill="D9D9D9"/>
          </w:tcPr>
          <w:p>
            <w:pPr>
              <w:rPr>
                <w:rFonts w:ascii="宋体" w:hAnsi="宋体"/>
                <w:sz w:val="24"/>
                <w:szCs w:val="24"/>
              </w:rPr>
            </w:pPr>
          </w:p>
        </w:tc>
        <w:tc>
          <w:tcPr>
            <w:tcW w:w="1796" w:type="dxa"/>
          </w:tcPr>
          <w:p>
            <w:pPr>
              <w:rPr>
                <w:rFonts w:ascii="宋体" w:hAnsi="宋体"/>
                <w:bCs/>
                <w:sz w:val="24"/>
                <w:szCs w:val="24"/>
              </w:rPr>
            </w:pPr>
            <w:r>
              <w:rPr>
                <w:rFonts w:ascii="宋体" w:hAnsi="宋体"/>
                <w:bCs/>
                <w:sz w:val="24"/>
                <w:szCs w:val="24"/>
              </w:rPr>
              <w:t>2、</w:t>
            </w:r>
            <w:r>
              <w:rPr>
                <w:rFonts w:hint="eastAsia" w:ascii="宋体" w:hAnsi="宋体"/>
                <w:bCs/>
                <w:sz w:val="24"/>
                <w:szCs w:val="24"/>
              </w:rPr>
              <w:t>李福生先生</w:t>
            </w:r>
          </w:p>
        </w:tc>
        <w:tc>
          <w:tcPr>
            <w:tcW w:w="5153" w:type="dxa"/>
          </w:tcPr>
          <w:p>
            <w:pPr>
              <w:rPr>
                <w:rFonts w:ascii="宋体" w:hAnsi="宋体"/>
                <w:bCs/>
                <w:sz w:val="24"/>
                <w:szCs w:val="24"/>
              </w:rPr>
            </w:pPr>
            <w:r>
              <w:rPr>
                <w:rFonts w:hint="eastAsia" w:ascii="宋体" w:hAnsi="宋体"/>
                <w:bCs/>
                <w:sz w:val="24"/>
                <w:szCs w:val="24"/>
              </w:rPr>
              <w:t>李福生先生设立、控股多家企业，主要从事显示面板的材料和部件销售服务</w:t>
            </w:r>
            <w:r>
              <w:rPr>
                <w:rFonts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tcPr>
          <w:p>
            <w:pPr>
              <w:rPr>
                <w:rFonts w:ascii="宋体" w:hAnsi="宋体"/>
                <w:sz w:val="24"/>
                <w:szCs w:val="24"/>
              </w:rPr>
            </w:pPr>
            <w:r>
              <w:rPr>
                <w:rFonts w:ascii="宋体" w:hAnsi="宋体"/>
                <w:sz w:val="24"/>
                <w:szCs w:val="24"/>
              </w:rPr>
              <w:t>简易案件理由（可以单选，也可以多选）</w:t>
            </w:r>
          </w:p>
        </w:tc>
        <w:tc>
          <w:tcPr>
            <w:tcW w:w="6949" w:type="dxa"/>
            <w:gridSpan w:val="2"/>
          </w:tcPr>
          <w:p>
            <w:pPr>
              <w:rPr>
                <w:rFonts w:ascii="宋体" w:hAnsi="宋体"/>
                <w:sz w:val="24"/>
                <w:szCs w:val="24"/>
              </w:rPr>
            </w:pPr>
            <w:r>
              <w:rPr>
                <w:rFonts w:ascii="宋体" w:hAnsi="宋体"/>
                <w:sz w:val="24"/>
                <w:szCs w:val="24"/>
              </w:rPr>
              <w:sym w:font="Wingdings" w:char="F0FE"/>
            </w:r>
            <w:r>
              <w:rPr>
                <w:rFonts w:ascii="宋体" w:hAnsi="宋体"/>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tcPr>
          <w:p>
            <w:pPr>
              <w:rPr>
                <w:rFonts w:ascii="宋体" w:hAnsi="宋体"/>
                <w:sz w:val="24"/>
                <w:szCs w:val="24"/>
              </w:rPr>
            </w:pPr>
          </w:p>
        </w:tc>
        <w:tc>
          <w:tcPr>
            <w:tcW w:w="6949" w:type="dxa"/>
            <w:gridSpan w:val="2"/>
          </w:tcPr>
          <w:p>
            <w:pPr>
              <w:rPr>
                <w:rFonts w:ascii="宋体" w:hAnsi="宋体"/>
                <w:sz w:val="24"/>
                <w:szCs w:val="24"/>
              </w:rPr>
            </w:pPr>
            <w:r>
              <w:rPr>
                <w:rFonts w:ascii="宋体" w:hAnsi="宋体"/>
                <w:sz w:val="24"/>
                <w:szCs w:val="24"/>
              </w:rPr>
              <w:sym w:font="Wingdings" w:char="F0FE"/>
            </w:r>
            <w:r>
              <w:rPr>
                <w:rFonts w:ascii="宋体" w:hAnsi="宋体"/>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tcPr>
          <w:p>
            <w:pPr>
              <w:rPr>
                <w:rFonts w:ascii="宋体" w:hAnsi="宋体"/>
                <w:sz w:val="24"/>
                <w:szCs w:val="24"/>
              </w:rPr>
            </w:pPr>
          </w:p>
        </w:tc>
        <w:tc>
          <w:tcPr>
            <w:tcW w:w="6949" w:type="dxa"/>
            <w:gridSpan w:val="2"/>
          </w:tcPr>
          <w:p>
            <w:pPr>
              <w:rPr>
                <w:rFonts w:ascii="宋体" w:hAnsi="宋体"/>
                <w:sz w:val="24"/>
                <w:szCs w:val="24"/>
              </w:rPr>
            </w:pPr>
            <w:r>
              <w:rPr>
                <w:rFonts w:ascii="宋体" w:hAnsi="宋体"/>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09" w:type="dxa"/>
            <w:vMerge w:val="continue"/>
            <w:shd w:val="clear" w:color="auto" w:fill="D9D9D9"/>
          </w:tcPr>
          <w:p>
            <w:pPr>
              <w:rPr>
                <w:rFonts w:ascii="宋体" w:hAnsi="宋体"/>
                <w:sz w:val="24"/>
                <w:szCs w:val="24"/>
              </w:rPr>
            </w:pPr>
          </w:p>
        </w:tc>
        <w:tc>
          <w:tcPr>
            <w:tcW w:w="6949" w:type="dxa"/>
            <w:gridSpan w:val="2"/>
          </w:tcPr>
          <w:p>
            <w:pPr>
              <w:rPr>
                <w:rFonts w:ascii="宋体" w:hAnsi="宋体"/>
                <w:sz w:val="24"/>
                <w:szCs w:val="24"/>
              </w:rPr>
            </w:pPr>
            <w:r>
              <w:rPr>
                <w:rFonts w:ascii="宋体" w:hAnsi="宋体"/>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tcPr>
          <w:p>
            <w:pPr>
              <w:rPr>
                <w:rFonts w:ascii="宋体" w:hAnsi="宋体"/>
                <w:sz w:val="24"/>
                <w:szCs w:val="24"/>
              </w:rPr>
            </w:pPr>
          </w:p>
        </w:tc>
        <w:tc>
          <w:tcPr>
            <w:tcW w:w="6949" w:type="dxa"/>
            <w:gridSpan w:val="2"/>
          </w:tcPr>
          <w:p>
            <w:pPr>
              <w:rPr>
                <w:rFonts w:ascii="宋体" w:hAnsi="宋体"/>
                <w:sz w:val="24"/>
                <w:szCs w:val="24"/>
              </w:rPr>
            </w:pPr>
            <w:r>
              <w:rPr>
                <w:rFonts w:ascii="宋体" w:hAnsi="宋体"/>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tcPr>
          <w:p>
            <w:pPr>
              <w:rPr>
                <w:rFonts w:ascii="宋体" w:hAnsi="宋体"/>
                <w:sz w:val="24"/>
                <w:szCs w:val="24"/>
              </w:rPr>
            </w:pPr>
          </w:p>
        </w:tc>
        <w:tc>
          <w:tcPr>
            <w:tcW w:w="6949" w:type="dxa"/>
            <w:gridSpan w:val="2"/>
          </w:tcPr>
          <w:p>
            <w:pPr>
              <w:rPr>
                <w:rFonts w:ascii="宋体" w:hAnsi="宋体"/>
                <w:sz w:val="24"/>
                <w:szCs w:val="24"/>
              </w:rPr>
            </w:pPr>
            <w:r>
              <w:rPr>
                <w:rFonts w:ascii="宋体" w:hAnsi="宋体"/>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rPr>
                <w:rFonts w:ascii="宋体" w:hAnsi="宋体"/>
                <w:sz w:val="24"/>
                <w:szCs w:val="24"/>
              </w:rPr>
            </w:pPr>
            <w:r>
              <w:rPr>
                <w:rFonts w:ascii="宋体" w:hAnsi="宋体"/>
                <w:sz w:val="24"/>
                <w:szCs w:val="24"/>
              </w:rPr>
              <w:t>备注</w:t>
            </w:r>
          </w:p>
        </w:tc>
        <w:tc>
          <w:tcPr>
            <w:tcW w:w="6949" w:type="dxa"/>
            <w:gridSpan w:val="2"/>
          </w:tcPr>
          <w:p>
            <w:pPr>
              <w:rPr>
                <w:rFonts w:ascii="宋体" w:hAnsi="宋体"/>
                <w:sz w:val="24"/>
                <w:szCs w:val="24"/>
              </w:rPr>
            </w:pPr>
            <w:r>
              <w:rPr>
                <w:rFonts w:hint="eastAsia" w:ascii="宋体" w:hAnsi="宋体"/>
                <w:sz w:val="24"/>
                <w:szCs w:val="24"/>
              </w:rPr>
              <w:t>（1）全球</w:t>
            </w:r>
            <w:r>
              <w:rPr>
                <w:rFonts w:ascii="宋体" w:hAnsi="宋体"/>
                <w:sz w:val="24"/>
                <w:szCs w:val="24"/>
              </w:rPr>
              <w:t>显示面板的材料和部件销售服务市场</w:t>
            </w:r>
          </w:p>
          <w:p>
            <w:pPr>
              <w:ind w:firstLine="480" w:firstLineChars="200"/>
              <w:rPr>
                <w:rFonts w:ascii="宋体" w:hAnsi="宋体"/>
                <w:sz w:val="24"/>
                <w:szCs w:val="24"/>
              </w:rPr>
            </w:pPr>
            <w:r>
              <w:rPr>
                <w:rFonts w:hint="eastAsia" w:ascii="宋体" w:hAnsi="宋体"/>
                <w:sz w:val="24"/>
                <w:szCs w:val="24"/>
              </w:rPr>
              <w:t>扇扩0-</w:t>
            </w:r>
            <w:r>
              <w:rPr>
                <w:rFonts w:ascii="宋体" w:hAnsi="宋体"/>
                <w:sz w:val="24"/>
                <w:szCs w:val="24"/>
              </w:rPr>
              <w:t>5</w:t>
            </w:r>
            <w:r>
              <w:rPr>
                <w:rFonts w:hint="eastAsia" w:ascii="宋体" w:hAnsi="宋体"/>
                <w:sz w:val="24"/>
                <w:szCs w:val="24"/>
              </w:rPr>
              <w:t>%</w:t>
            </w:r>
          </w:p>
          <w:p>
            <w:pPr>
              <w:ind w:firstLine="480" w:firstLineChars="200"/>
              <w:rPr>
                <w:rFonts w:hint="eastAsia" w:ascii="宋体" w:hAnsi="宋体"/>
                <w:sz w:val="24"/>
                <w:szCs w:val="24"/>
              </w:rPr>
            </w:pPr>
            <w:r>
              <w:rPr>
                <w:rFonts w:hint="eastAsia" w:ascii="宋体" w:hAnsi="宋体"/>
                <w:sz w:val="24"/>
                <w:szCs w:val="24"/>
              </w:rPr>
              <w:t>李福生先生（含三家对象公司）0-</w:t>
            </w:r>
            <w:r>
              <w:rPr>
                <w:rFonts w:ascii="宋体" w:hAnsi="宋体"/>
                <w:sz w:val="24"/>
                <w:szCs w:val="24"/>
              </w:rPr>
              <w:t>5</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合计0-</w:t>
            </w:r>
            <w:r>
              <w:rPr>
                <w:rFonts w:ascii="宋体" w:hAnsi="宋体"/>
                <w:sz w:val="24"/>
                <w:szCs w:val="24"/>
              </w:rPr>
              <w:t>5</w:t>
            </w:r>
            <w:r>
              <w:rPr>
                <w:rFonts w:hint="eastAsia" w:ascii="宋体" w:hAnsi="宋体"/>
                <w:sz w:val="24"/>
                <w:szCs w:val="24"/>
              </w:rPr>
              <w:t>%</w:t>
            </w:r>
          </w:p>
          <w:p>
            <w:pPr>
              <w:ind w:firstLine="480" w:firstLineChars="200"/>
              <w:rPr>
                <w:rFonts w:hint="eastAsia" w:ascii="宋体" w:hAnsi="宋体"/>
                <w:sz w:val="24"/>
                <w:szCs w:val="24"/>
              </w:rPr>
            </w:pPr>
          </w:p>
          <w:p>
            <w:pPr>
              <w:rPr>
                <w:rFonts w:ascii="宋体" w:hAnsi="宋体"/>
                <w:sz w:val="24"/>
                <w:szCs w:val="24"/>
              </w:rPr>
            </w:pPr>
            <w:r>
              <w:rPr>
                <w:rFonts w:hint="eastAsia" w:ascii="宋体" w:hAnsi="宋体"/>
                <w:sz w:val="24"/>
                <w:szCs w:val="24"/>
              </w:rPr>
              <w:t>（2）中国第三方物流市场</w:t>
            </w:r>
          </w:p>
          <w:p>
            <w:pPr>
              <w:ind w:firstLine="480" w:firstLineChars="200"/>
              <w:rPr>
                <w:rFonts w:ascii="Times New Roman" w:hAnsi="Times New Roman"/>
                <w:szCs w:val="24"/>
              </w:rPr>
            </w:pPr>
            <w:r>
              <w:rPr>
                <w:rFonts w:hint="eastAsia" w:ascii="宋体" w:hAnsi="宋体"/>
                <w:sz w:val="24"/>
                <w:szCs w:val="24"/>
              </w:rPr>
              <w:t>扇扩0-</w:t>
            </w:r>
            <w:r>
              <w:rPr>
                <w:rFonts w:ascii="宋体" w:hAnsi="宋体"/>
                <w:sz w:val="24"/>
                <w:szCs w:val="24"/>
              </w:rPr>
              <w:t>5</w:t>
            </w:r>
            <w:r>
              <w:rPr>
                <w:rFonts w:hint="eastAsia" w:ascii="宋体" w:hAnsi="宋体"/>
                <w:sz w:val="24"/>
                <w:szCs w:val="24"/>
              </w:rPr>
              <w:t>%</w:t>
            </w:r>
          </w:p>
        </w:tc>
      </w:tr>
    </w:tbl>
    <w:p>
      <w:pPr>
        <w:snapToGrid w:val="0"/>
        <w:jc w:val="left"/>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B36C8"/>
    <w:multiLevelType w:val="multilevel"/>
    <w:tmpl w:val="6F6B36C8"/>
    <w:lvl w:ilvl="0" w:tentative="0">
      <w:start w:val="1"/>
      <w:numFmt w:val="chineseCountingThousand"/>
      <w:pStyle w:val="20"/>
      <w:lvlText w:val="%1、"/>
      <w:lvlJc w:val="left"/>
      <w:pPr>
        <w:ind w:left="567" w:hanging="567"/>
      </w:pPr>
      <w:rPr>
        <w:rFonts w:hint="default" w:ascii="Arial" w:hAnsi="Arial" w:eastAsia="楷体_GB2312"/>
        <w:b/>
        <w:i w:val="0"/>
        <w:color w:val="auto"/>
        <w:sz w:val="24"/>
        <w:szCs w:val="24"/>
      </w:rPr>
    </w:lvl>
    <w:lvl w:ilvl="1" w:tentative="0">
      <w:start w:val="1"/>
      <w:numFmt w:val="chineseCountingThousand"/>
      <w:pStyle w:val="16"/>
      <w:lvlText w:val="(%2)"/>
      <w:lvlJc w:val="left"/>
      <w:pPr>
        <w:ind w:left="567" w:hanging="567"/>
      </w:pPr>
      <w:rPr>
        <w:rFonts w:hint="default" w:ascii="Arial" w:hAnsi="Arial" w:eastAsia="楷体_GB2312"/>
        <w:b w:val="0"/>
        <w:i w:val="0"/>
        <w:color w:val="auto"/>
        <w:sz w:val="24"/>
      </w:rPr>
    </w:lvl>
    <w:lvl w:ilvl="2" w:tentative="0">
      <w:start w:val="3"/>
      <w:numFmt w:val="decimal"/>
      <w:pStyle w:val="17"/>
      <w:lvlText w:val="%3."/>
      <w:lvlJc w:val="left"/>
      <w:pPr>
        <w:ind w:left="567" w:hanging="567"/>
      </w:pPr>
      <w:rPr>
        <w:rFonts w:hint="default" w:ascii="Arial" w:hAnsi="Arial" w:eastAsia="楷体_GB2312"/>
        <w:b w:val="0"/>
        <w:i w:val="0"/>
        <w:color w:val="auto"/>
        <w:sz w:val="24"/>
      </w:rPr>
    </w:lvl>
    <w:lvl w:ilvl="3" w:tentative="0">
      <w:start w:val="1"/>
      <w:numFmt w:val="decimal"/>
      <w:pStyle w:val="18"/>
      <w:lvlText w:val="(%4)"/>
      <w:lvlJc w:val="left"/>
      <w:pPr>
        <w:ind w:left="1134" w:hanging="567"/>
      </w:pPr>
      <w:rPr>
        <w:rFonts w:hint="default" w:ascii="Times New Roman" w:hAnsi="Times New Roman" w:eastAsia="楷体_GB2312" w:cs="Times New Roman"/>
        <w:b w:val="0"/>
        <w:i w:val="0"/>
        <w:color w:val="auto"/>
        <w:sz w:val="24"/>
        <w:szCs w:val="24"/>
      </w:rPr>
    </w:lvl>
    <w:lvl w:ilvl="4" w:tentative="0">
      <w:start w:val="1"/>
      <w:numFmt w:val="lowerLetter"/>
      <w:pStyle w:val="19"/>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567" w:hanging="567"/>
      </w:pPr>
      <w:rPr>
        <w:rFonts w:hint="eastAsia"/>
      </w:rPr>
    </w:lvl>
    <w:lvl w:ilvl="6" w:tentative="0">
      <w:start w:val="1"/>
      <w:numFmt w:val="decimal"/>
      <w:lvlText w:val="%1.%2.%3.%4.%5.%6.%7"/>
      <w:lvlJc w:val="left"/>
      <w:pPr>
        <w:ind w:left="567" w:hanging="567"/>
      </w:pPr>
      <w:rPr>
        <w:rFonts w:hint="eastAsia"/>
      </w:rPr>
    </w:lvl>
    <w:lvl w:ilvl="7" w:tentative="0">
      <w:start w:val="1"/>
      <w:numFmt w:val="decimal"/>
      <w:lvlText w:val="%1.%2.%3.%4.%5.%6.%7.%8"/>
      <w:lvlJc w:val="left"/>
      <w:pPr>
        <w:ind w:left="567" w:hanging="567"/>
      </w:pPr>
      <w:rPr>
        <w:rFonts w:hint="eastAsia"/>
      </w:rPr>
    </w:lvl>
    <w:lvl w:ilvl="8" w:tentative="0">
      <w:start w:val="1"/>
      <w:numFmt w:val="decimal"/>
      <w:lvlText w:val="%1.%2.%3.%4.%5.%6.%7.%8.%9"/>
      <w:lvlJc w:val="left"/>
      <w:pPr>
        <w:ind w:left="567" w:hanging="56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MjExsjQ0NzQ2NjVS0lEKTi0uzszPAykwqgUAZUC2CiwAAAA="/>
  </w:docVars>
  <w:rsids>
    <w:rsidRoot w:val="00000000"/>
    <w:rsid w:val="192F11E7"/>
    <w:rsid w:val="F5E6B8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0"/>
    <w:semiHidden/>
    <w:unhideWhenUsed/>
    <w:qFormat/>
    <w:uiPriority w:val="99"/>
    <w:pPr>
      <w:snapToGrid w:val="0"/>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ndnote reference"/>
    <w:semiHidden/>
    <w:unhideWhenUsed/>
    <w:qFormat/>
    <w:uiPriority w:val="99"/>
    <w:rPr>
      <w:vertAlign w:val="superscript"/>
    </w:rPr>
  </w:style>
  <w:style w:type="character" w:customStyle="1" w:styleId="10">
    <w:name w:val="尾注文本 字符"/>
    <w:basedOn w:val="8"/>
    <w:link w:val="2"/>
    <w:semiHidden/>
    <w:qFormat/>
    <w:uiPriority w:val="99"/>
  </w:style>
  <w:style w:type="character" w:customStyle="1" w:styleId="11">
    <w:name w:val="页眉 字符"/>
    <w:link w:val="5"/>
    <w:qFormat/>
    <w:uiPriority w:val="99"/>
    <w:rPr>
      <w:sz w:val="18"/>
      <w:szCs w:val="18"/>
    </w:rPr>
  </w:style>
  <w:style w:type="character" w:customStyle="1" w:styleId="12">
    <w:name w:val="页脚 字符"/>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3"/>
    <w:semiHidden/>
    <w:qFormat/>
    <w:uiPriority w:val="99"/>
    <w:rPr>
      <w:kern w:val="2"/>
      <w:sz w:val="18"/>
      <w:szCs w:val="18"/>
    </w:rPr>
  </w:style>
  <w:style w:type="table" w:customStyle="1" w:styleId="15">
    <w:name w:val="网格型28"/>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KWMCN-二级标题"/>
    <w:next w:val="1"/>
    <w:qFormat/>
    <w:uiPriority w:val="0"/>
    <w:pPr>
      <w:numPr>
        <w:ilvl w:val="1"/>
        <w:numId w:val="1"/>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17">
    <w:name w:val="KWMCN-三级标题"/>
    <w:qFormat/>
    <w:uiPriority w:val="0"/>
    <w:pPr>
      <w:numPr>
        <w:ilvl w:val="2"/>
        <w:numId w:val="1"/>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18">
    <w:name w:val="KWMCN-四级标题"/>
    <w:qFormat/>
    <w:uiPriority w:val="0"/>
    <w:pPr>
      <w:numPr>
        <w:ilvl w:val="3"/>
        <w:numId w:val="1"/>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19">
    <w:name w:val="KWMCN-五级标题"/>
    <w:qFormat/>
    <w:uiPriority w:val="0"/>
    <w:pPr>
      <w:numPr>
        <w:ilvl w:val="4"/>
        <w:numId w:val="1"/>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20">
    <w:name w:val="KWMCN-一级标题"/>
    <w:next w:val="1"/>
    <w:qFormat/>
    <w:uiPriority w:val="0"/>
    <w:pPr>
      <w:numPr>
        <w:ilvl w:val="0"/>
        <w:numId w:val="1"/>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 &amp; Wood Mallesons</Company>
  <Pages>1</Pages>
  <Words>124</Words>
  <Characters>709</Characters>
  <Lines>5</Lines>
  <Paragraphs>1</Paragraphs>
  <TotalTime>2</TotalTime>
  <ScaleCrop>false</ScaleCrop>
  <LinksUpToDate>false</LinksUpToDate>
  <CharactersWithSpaces>832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2021-10-21T00:04:00Z</dcterms:created>
  <dc:creator>dell</dc:creator>
  <cp:lastModifiedBy>greatwall</cp:lastModifiedBy>
  <cp:lastPrinted>2014-10-08T10:48:00Z</cp:lastPrinted>
  <dcterms:modified xsi:type="dcterms:W3CDTF">2021-11-08T16:23:57Z</dcterms:modified>
  <dc:title>经营者集中简易案件公示表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44168149AC654FEFB37D6C5EB0D5D497</vt:lpwstr>
  </property>
</Properties>
</file>