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经营者集中简易案件公示表</w:t>
      </w:r>
    </w:p>
    <w:p>
      <w:pPr>
        <w:spacing w:line="440" w:lineRule="exact"/>
        <w:rPr>
          <w:rFonts w:ascii="Times New Roman" w:hAnsi="Times New Roman"/>
          <w:sz w:val="28"/>
          <w:szCs w:val="28"/>
        </w:rPr>
      </w:pPr>
    </w:p>
    <w:p>
      <w:pPr>
        <w:spacing w:line="440" w:lineRule="exact"/>
        <w:ind w:firstLine="845" w:firstLineChars="302"/>
        <w:rPr>
          <w:rFonts w:ascii="Times New Roman" w:hAnsi="Times New Roman"/>
          <w:sz w:val="28"/>
          <w:szCs w:val="28"/>
        </w:rPr>
      </w:pP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bookmarkStart w:id="0" w:name="OLE_LINK45"/>
            <w:bookmarkStart w:id="1" w:name="OLE_LINK44"/>
            <w:bookmarkStart w:id="2" w:name="OLE_LINK314"/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深圳市资本运营集团有限公司</w:t>
            </w:r>
            <w:bookmarkEnd w:id="0"/>
            <w:bookmarkEnd w:id="1"/>
            <w:bookmarkEnd w:id="2"/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收购</w:t>
            </w:r>
            <w:bookmarkStart w:id="3" w:name="OLE_LINK318"/>
            <w:bookmarkStart w:id="4" w:name="OLE_LINK316"/>
            <w:bookmarkStart w:id="5" w:name="OLE_LINK315"/>
            <w:r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雅昌文化（集团）有限公司</w:t>
            </w:r>
            <w:bookmarkEnd w:id="3"/>
            <w:bookmarkEnd w:id="4"/>
            <w:bookmarkEnd w:id="5"/>
            <w:r>
              <w:rPr>
                <w:rFonts w:hint="eastAsia" w:ascii="Times New Roman" w:hAnsi="Times New Roman"/>
                <w:bCs/>
                <w:color w:val="333333"/>
                <w:kern w:val="0"/>
                <w:sz w:val="24"/>
                <w:szCs w:val="24"/>
              </w:rPr>
              <w:t>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本次交易，深圳市资本运营集团有限公司（“</w:t>
            </w:r>
            <w:bookmarkStart w:id="6" w:name="OLE_LINK322"/>
            <w:bookmarkStart w:id="7" w:name="OLE_LINK323"/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深圳资本集团</w:t>
            </w:r>
            <w:bookmarkEnd w:id="6"/>
            <w:bookmarkEnd w:id="7"/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”）拟通过</w:t>
            </w:r>
            <w:bookmarkStart w:id="8" w:name="OLE_LINK153"/>
            <w:bookmarkStart w:id="9" w:name="OLE_LINK157"/>
            <w:bookmarkStart w:id="10" w:name="OLE_LINK152"/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深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圳市远致文化控股有限公司</w:t>
            </w:r>
            <w:bookmarkEnd w:id="8"/>
            <w:bookmarkEnd w:id="9"/>
            <w:bookmarkEnd w:id="10"/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，认缴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雅昌文化（集团）有限公司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（“</w:t>
            </w:r>
            <w:bookmarkStart w:id="11" w:name="OLE_LINK320"/>
            <w:bookmarkStart w:id="12" w:name="OLE_LINK321"/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雅昌文化集团</w:t>
            </w:r>
            <w:bookmarkEnd w:id="11"/>
            <w:bookmarkEnd w:id="12"/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”）新增注册资本，同时收购</w:t>
            </w:r>
            <w:bookmarkStart w:id="13" w:name="OLE_LINK41"/>
            <w:bookmarkStart w:id="14" w:name="OLE_LINK42"/>
            <w:bookmarkStart w:id="15" w:name="OLE_LINK173"/>
            <w:bookmarkStart w:id="16" w:name="OLE_LINK319"/>
            <w:bookmarkStart w:id="17" w:name="OLE_LINK174"/>
            <w:bookmarkStart w:id="18" w:name="OLE_LINK330"/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中国文化产业投资基金（有限合伙</w:t>
            </w:r>
            <w:bookmarkEnd w:id="13"/>
            <w:bookmarkEnd w:id="14"/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）</w:t>
            </w:r>
            <w:bookmarkEnd w:id="15"/>
            <w:bookmarkEnd w:id="16"/>
            <w:bookmarkEnd w:id="17"/>
            <w:bookmarkEnd w:id="18"/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持有的雅昌文化集团股权。本次交易后，深圳资本集团</w:t>
            </w:r>
            <w:bookmarkStart w:id="19" w:name="OLE_LINK325"/>
            <w:bookmarkStart w:id="20" w:name="OLE_LINK324"/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合计间接持有</w:t>
            </w:r>
            <w:bookmarkStart w:id="21" w:name="OLE_LINK327"/>
            <w:bookmarkStart w:id="22" w:name="OLE_LINK326"/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雅昌文化集团</w:t>
            </w:r>
            <w:bookmarkEnd w:id="21"/>
            <w:bookmarkEnd w:id="22"/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49.01%股权</w:t>
            </w:r>
            <w:bookmarkEnd w:id="19"/>
            <w:bookmarkEnd w:id="20"/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，取得和雅昌文化集团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  <w:lang w:val="en-US" w:eastAsia="zh-CN"/>
              </w:rPr>
              <w:t>原单独控制方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万捷先生对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雅昌文化集团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在《反垄断法》意义下的共同控制权。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bookmarkStart w:id="23" w:name="_Hlk80113897"/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1、</w:t>
            </w:r>
            <w:bookmarkStart w:id="24" w:name="OLE_LINK303"/>
            <w:bookmarkStart w:id="25" w:name="OLE_LINK304"/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深圳资本集团</w:t>
            </w:r>
            <w:bookmarkEnd w:id="24"/>
            <w:bookmarkEnd w:id="25"/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bookmarkStart w:id="26" w:name="OLE_LINK2"/>
            <w:bookmarkStart w:id="27" w:name="OLE_LINK1"/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深圳资本集团</w:t>
            </w:r>
            <w:bookmarkEnd w:id="26"/>
            <w:bookmarkEnd w:id="27"/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于2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007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年在中国深圳成立，是深圳市国资委为推进国资管理从管资产向管资本转变、推动深圳国资整体资本运作战略，专门成立的国资辅助履职平台和国有资本运营专业平台。自成立以来，深圳资本集团围绕着深圳国资国企改革发展，探索以资本运营为内核的业务模式，构建起并购重组、股权投资、产业基金、市值管理4大业务板块，形成了覆盖企业全生命周期的投资并购服务业务体系、以“管资本”为主的投后服务赋能体系。</w:t>
            </w:r>
          </w:p>
        </w:tc>
      </w:tr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2、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万捷先生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万捷先生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  <w:lang w:val="en-US" w:eastAsia="zh-CN"/>
              </w:rPr>
              <w:t>为中国籍自然人，</w:t>
            </w:r>
            <w:bookmarkStart w:id="37" w:name="_GoBack"/>
            <w:bookmarkEnd w:id="37"/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于1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993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年在中国深圳创立雅昌文化集团</w:t>
            </w:r>
            <w:bookmarkStart w:id="28" w:name="OLE_LINK455"/>
            <w:bookmarkStart w:id="29" w:name="OLE_LINK456"/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，并单独控制雅昌文化集团。</w:t>
            </w:r>
            <w:bookmarkEnd w:id="28"/>
            <w:bookmarkEnd w:id="29"/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雅昌文化集团主要从事出版物印刷、商业印刷业务。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pStyle w:val="4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中国境内出版物印刷市场</w:t>
            </w:r>
          </w:p>
          <w:p>
            <w:pPr>
              <w:pStyle w:val="4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bookmarkStart w:id="30" w:name="OLE_LINK311"/>
            <w:bookmarkStart w:id="31" w:name="OLE_LINK313"/>
            <w:bookmarkStart w:id="32" w:name="OLE_LINK312"/>
            <w:bookmarkStart w:id="33" w:name="OLE_LINK309"/>
            <w:bookmarkStart w:id="34" w:name="OLE_LINK310"/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深</w:t>
            </w:r>
            <w:bookmarkStart w:id="35" w:name="OLE_LINK308"/>
            <w:bookmarkStart w:id="36" w:name="OLE_LINK307"/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圳资本集团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：【0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-5%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】</w:t>
            </w:r>
          </w:p>
          <w:p>
            <w:pPr>
              <w:pStyle w:val="4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万捷先生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  <w:lang w:val="en-US" w:eastAsia="zh-CN"/>
              </w:rPr>
              <w:t>雅昌文化集团）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：【0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-5%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】</w:t>
            </w:r>
          </w:p>
          <w:bookmarkEnd w:id="30"/>
          <w:bookmarkEnd w:id="31"/>
          <w:bookmarkEnd w:id="32"/>
          <w:bookmarkEnd w:id="35"/>
          <w:bookmarkEnd w:id="36"/>
          <w:p>
            <w:pPr>
              <w:pStyle w:val="4"/>
              <w:numPr>
                <w:ilvl w:val="0"/>
                <w:numId w:val="1"/>
              </w:numPr>
              <w:spacing w:line="500" w:lineRule="exact"/>
              <w:ind w:firstLineChars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中国境内商业印刷市场</w:t>
            </w:r>
            <w:bookmarkEnd w:id="33"/>
            <w:bookmarkEnd w:id="34"/>
          </w:p>
          <w:p>
            <w:pPr>
              <w:pStyle w:val="4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深圳资本集团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：【0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-5%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】</w:t>
            </w:r>
          </w:p>
          <w:p>
            <w:pPr>
              <w:pStyle w:val="4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万捷先生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  <w:lang w:val="en-US" w:eastAsia="zh-CN"/>
              </w:rPr>
              <w:t>雅昌文化集团）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：【0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-5%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  <w:szCs w:val="24"/>
              </w:rPr>
              <w:t>】</w:t>
            </w: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/>
          <w:sz w:val="24"/>
          <w:szCs w:val="24"/>
        </w:rPr>
      </w:pPr>
    </w:p>
    <w:p>
      <w:pPr>
        <w:snapToGrid w:val="0"/>
        <w:spacing w:line="2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注解：</w:t>
      </w:r>
    </w:p>
    <w:p>
      <w:pPr>
        <w:snapToGrid w:val="0"/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2.申报方申请简易案件的理由是基于第4项、第5项时，无须在备注中说明相关市场和市场份额。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    3.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6235E2"/>
    <w:multiLevelType w:val="multilevel"/>
    <w:tmpl w:val="4B6235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3B7CD4"/>
    <w:multiLevelType w:val="multilevel"/>
    <w:tmpl w:val="513B7CD4"/>
    <w:lvl w:ilvl="0" w:tentative="0">
      <w:start w:val="1"/>
      <w:numFmt w:val="bullet"/>
      <w:lvlText w:val="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0DF"/>
    <w:rsid w:val="00037065"/>
    <w:rsid w:val="00057A58"/>
    <w:rsid w:val="00082FFC"/>
    <w:rsid w:val="000D7EBA"/>
    <w:rsid w:val="001164CD"/>
    <w:rsid w:val="00155717"/>
    <w:rsid w:val="001837A3"/>
    <w:rsid w:val="00224534"/>
    <w:rsid w:val="002859A4"/>
    <w:rsid w:val="003C0AEB"/>
    <w:rsid w:val="003D5CDC"/>
    <w:rsid w:val="003F2222"/>
    <w:rsid w:val="003F46C1"/>
    <w:rsid w:val="004F7688"/>
    <w:rsid w:val="00534DED"/>
    <w:rsid w:val="006467D8"/>
    <w:rsid w:val="006A531B"/>
    <w:rsid w:val="006F7693"/>
    <w:rsid w:val="00710140"/>
    <w:rsid w:val="007D4682"/>
    <w:rsid w:val="007F2275"/>
    <w:rsid w:val="00822034"/>
    <w:rsid w:val="008457A6"/>
    <w:rsid w:val="00861B66"/>
    <w:rsid w:val="00864FED"/>
    <w:rsid w:val="00880B2A"/>
    <w:rsid w:val="008D1080"/>
    <w:rsid w:val="00915F0F"/>
    <w:rsid w:val="009532DF"/>
    <w:rsid w:val="00997019"/>
    <w:rsid w:val="009A20B0"/>
    <w:rsid w:val="009A5029"/>
    <w:rsid w:val="009D38D5"/>
    <w:rsid w:val="00A130C6"/>
    <w:rsid w:val="00A53F26"/>
    <w:rsid w:val="00AA0CC5"/>
    <w:rsid w:val="00AF6C5D"/>
    <w:rsid w:val="00B048CE"/>
    <w:rsid w:val="00B16AFE"/>
    <w:rsid w:val="00B65DD5"/>
    <w:rsid w:val="00B942DC"/>
    <w:rsid w:val="00BD10B6"/>
    <w:rsid w:val="00C07076"/>
    <w:rsid w:val="00CB00DF"/>
    <w:rsid w:val="00D71885"/>
    <w:rsid w:val="00D73C72"/>
    <w:rsid w:val="00D77B46"/>
    <w:rsid w:val="00DB78C4"/>
    <w:rsid w:val="00DC23AA"/>
    <w:rsid w:val="00E0592B"/>
    <w:rsid w:val="00E31738"/>
    <w:rsid w:val="00E86786"/>
    <w:rsid w:val="00EC0A0B"/>
    <w:rsid w:val="00ED2F80"/>
    <w:rsid w:val="00ED65EB"/>
    <w:rsid w:val="00F1624E"/>
    <w:rsid w:val="00F27ABF"/>
    <w:rsid w:val="00F32F8A"/>
    <w:rsid w:val="00F810AA"/>
    <w:rsid w:val="00F915A6"/>
    <w:rsid w:val="00FB43EC"/>
    <w:rsid w:val="00FB6B40"/>
    <w:rsid w:val="01C730BF"/>
    <w:rsid w:val="1A4B1EEC"/>
    <w:rsid w:val="33F1129C"/>
    <w:rsid w:val="3B7027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1061</Characters>
  <Lines>8</Lines>
  <Paragraphs>2</Paragraphs>
  <TotalTime>1</TotalTime>
  <ScaleCrop>false</ScaleCrop>
  <LinksUpToDate>false</LinksUpToDate>
  <CharactersWithSpaces>1245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2018-09-29T02:33:00Z</dcterms:created>
  <dc:creator>陈媚</dc:creator>
  <cp:lastModifiedBy>TY</cp:lastModifiedBy>
  <dcterms:modified xsi:type="dcterms:W3CDTF">2021-09-07T02:42:27Z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A0F518BD0B284AC2A06D24CC772BB13B</vt:lpwstr>
  </property>
</Properties>
</file>