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仿宋_GB2312"/>
          <w:b/>
          <w:sz w:val="30"/>
          <w:szCs w:val="30"/>
        </w:rPr>
      </w:pPr>
      <w:r>
        <w:rPr>
          <w:rFonts w:ascii="Times New Roman" w:hAnsi="Times New Roman" w:eastAsia="仿宋_GB2312"/>
          <w:b/>
          <w:sz w:val="30"/>
          <w:szCs w:val="30"/>
        </w:rPr>
        <w:t>经营者集中简易案件公示表</w:t>
      </w:r>
    </w:p>
    <w:p>
      <w:pPr>
        <w:spacing w:line="440" w:lineRule="exact"/>
        <w:rPr>
          <w:rFonts w:ascii="Times New Roman" w:hAnsi="Times New Roman" w:eastAsia="仿宋_GB2312"/>
          <w:sz w:val="24"/>
          <w:szCs w:val="24"/>
        </w:rPr>
      </w:pPr>
    </w:p>
    <w:tbl>
      <w:tblPr>
        <w:tblStyle w:val="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D9D9D9"/>
            <w:vAlign w:val="center"/>
          </w:tcPr>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案件名称</w:t>
            </w:r>
          </w:p>
        </w:tc>
        <w:tc>
          <w:tcPr>
            <w:tcW w:w="6949" w:type="dxa"/>
            <w:gridSpan w:val="2"/>
            <w:vAlign w:val="top"/>
          </w:tcPr>
          <w:p>
            <w:pPr>
              <w:spacing w:before="156" w:beforeLines="50" w:after="156" w:afterLines="50"/>
              <w:rPr>
                <w:rFonts w:hint="eastAsia"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rPr>
              <w:t>APG战略不动产基金池收购康桥资本医疗基础设施项目控股有限公司股权案（</w:t>
            </w:r>
            <w:r>
              <w:rPr>
                <w:rFonts w:hint="eastAsia" w:ascii="Times New Roman" w:hAnsi="Times New Roman" w:eastAsia="仿宋_GB2312"/>
                <w:b w:val="0"/>
                <w:bCs w:val="0"/>
                <w:color w:val="333333"/>
                <w:kern w:val="0"/>
                <w:sz w:val="24"/>
                <w:szCs w:val="24"/>
              </w:rPr>
              <w:t>“</w:t>
            </w:r>
            <w:r>
              <w:rPr>
                <w:rFonts w:hint="eastAsia" w:ascii="Times New Roman" w:hAnsi="Times New Roman" w:eastAsia="仿宋_GB2312"/>
                <w:b/>
                <w:bCs/>
                <w:color w:val="333333"/>
                <w:kern w:val="0"/>
                <w:sz w:val="24"/>
                <w:szCs w:val="24"/>
              </w:rPr>
              <w:t>本次交易</w:t>
            </w:r>
            <w:r>
              <w:rPr>
                <w:rFonts w:hint="eastAsia" w:ascii="Times New Roman" w:hAnsi="Times New Roman" w:eastAsia="仿宋_GB2312"/>
                <w:b w:val="0"/>
                <w:bCs w:val="0"/>
                <w:color w:val="333333"/>
                <w:kern w:val="0"/>
                <w:sz w:val="24"/>
                <w:szCs w:val="24"/>
              </w:rPr>
              <w:t>”</w:t>
            </w:r>
            <w:r>
              <w:rPr>
                <w:rFonts w:hint="eastAsia" w:ascii="Times New Roman" w:hAnsi="Times New Roman" w:eastAsia="仿宋_GB2312"/>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809" w:type="dxa"/>
            <w:shd w:val="clear" w:color="auto" w:fill="D9D9D9"/>
            <w:vAlign w:val="center"/>
          </w:tcPr>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交易概况</w:t>
            </w:r>
          </w:p>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（限200字内）</w:t>
            </w:r>
          </w:p>
        </w:tc>
        <w:tc>
          <w:tcPr>
            <w:tcW w:w="6949" w:type="dxa"/>
            <w:gridSpan w:val="2"/>
          </w:tcPr>
          <w:p>
            <w:pPr>
              <w:spacing w:before="156" w:beforeLines="50" w:after="156" w:afterLines="50"/>
              <w:rPr>
                <w:rFonts w:hint="eastAsia" w:ascii="Times New Roman" w:hAnsi="Times New Roman" w:eastAsia="仿宋_GB2312"/>
                <w:sz w:val="24"/>
                <w:szCs w:val="24"/>
              </w:rPr>
            </w:pPr>
            <w:r>
              <w:rPr>
                <w:rFonts w:hint="eastAsia" w:ascii="Times New Roman" w:hAnsi="Times New Roman" w:eastAsia="仿宋_GB2312"/>
                <w:sz w:val="24"/>
                <w:szCs w:val="24"/>
              </w:rPr>
              <w:t>本次交易中，APG战略不动产基金池（APG Strategic Real Estate Pool N.V.，</w:t>
            </w:r>
            <w:r>
              <w:rPr>
                <w:rFonts w:hint="eastAsia" w:ascii="Times New Roman" w:hAnsi="Times New Roman" w:eastAsia="仿宋_GB2312"/>
                <w:b w:val="0"/>
                <w:bCs w:val="0"/>
                <w:sz w:val="24"/>
                <w:szCs w:val="24"/>
              </w:rPr>
              <w:t>“</w:t>
            </w:r>
            <w:r>
              <w:rPr>
                <w:rFonts w:hint="eastAsia" w:ascii="Times New Roman" w:hAnsi="Times New Roman" w:eastAsia="仿宋_GB2312"/>
                <w:b/>
                <w:bCs/>
                <w:sz w:val="24"/>
                <w:szCs w:val="24"/>
              </w:rPr>
              <w:t>APG</w:t>
            </w:r>
            <w:r>
              <w:rPr>
                <w:rFonts w:hint="eastAsia" w:ascii="Times New Roman" w:hAnsi="Times New Roman" w:eastAsia="仿宋_GB2312"/>
                <w:b w:val="0"/>
                <w:bCs w:val="0"/>
                <w:sz w:val="24"/>
                <w:szCs w:val="24"/>
              </w:rPr>
              <w:t>”</w:t>
            </w:r>
            <w:r>
              <w:rPr>
                <w:rFonts w:hint="eastAsia" w:ascii="Times New Roman" w:hAnsi="Times New Roman" w:eastAsia="仿宋_GB2312"/>
                <w:sz w:val="24"/>
                <w:szCs w:val="24"/>
              </w:rPr>
              <w:t>）拟以增资形式收购康桥资本医疗基础设施项目控股有限公司（CBC Healthcare Infrastructure Projects Holding Pte. Ltd.，</w:t>
            </w:r>
            <w:r>
              <w:rPr>
                <w:rFonts w:hint="eastAsia" w:ascii="Times New Roman" w:hAnsi="Times New Roman" w:eastAsia="仿宋_GB2312"/>
                <w:b w:val="0"/>
                <w:bCs w:val="0"/>
                <w:sz w:val="24"/>
                <w:szCs w:val="24"/>
              </w:rPr>
              <w:t>“</w:t>
            </w:r>
            <w:r>
              <w:rPr>
                <w:rFonts w:hint="eastAsia" w:ascii="Times New Roman" w:hAnsi="Times New Roman" w:eastAsia="仿宋_GB2312"/>
                <w:b/>
                <w:bCs/>
                <w:sz w:val="24"/>
                <w:szCs w:val="24"/>
              </w:rPr>
              <w:t>康桥资本医疗基础设施</w:t>
            </w:r>
            <w:r>
              <w:rPr>
                <w:rFonts w:hint="eastAsia" w:ascii="Times New Roman" w:hAnsi="Times New Roman" w:eastAsia="仿宋_GB2312"/>
                <w:b w:val="0"/>
                <w:bCs w:val="0"/>
                <w:sz w:val="24"/>
                <w:szCs w:val="24"/>
              </w:rPr>
              <w:t>”</w:t>
            </w:r>
            <w:r>
              <w:rPr>
                <w:rFonts w:hint="eastAsia" w:ascii="Times New Roman" w:hAnsi="Times New Roman" w:eastAsia="仿宋_GB2312"/>
                <w:sz w:val="24"/>
                <w:szCs w:val="24"/>
              </w:rPr>
              <w:t>）80%的股权，同时康桥资本医疗基础设施管理有限公司（CBC Healthcare Infrastructure Management, Ltd.，</w:t>
            </w:r>
            <w:r>
              <w:rPr>
                <w:rFonts w:hint="eastAsia" w:ascii="Times New Roman" w:hAnsi="Times New Roman" w:eastAsia="仿宋_GB2312"/>
                <w:b w:val="0"/>
                <w:bCs w:val="0"/>
                <w:sz w:val="24"/>
                <w:szCs w:val="24"/>
              </w:rPr>
              <w:t>“</w:t>
            </w:r>
            <w:r>
              <w:rPr>
                <w:rFonts w:hint="eastAsia" w:ascii="Times New Roman" w:hAnsi="Times New Roman" w:eastAsia="仿宋_GB2312"/>
                <w:b/>
                <w:bCs/>
                <w:sz w:val="24"/>
                <w:szCs w:val="24"/>
              </w:rPr>
              <w:t>CBCREP</w:t>
            </w:r>
            <w:r>
              <w:rPr>
                <w:rFonts w:hint="eastAsia" w:ascii="Times New Roman" w:hAnsi="Times New Roman" w:eastAsia="仿宋_GB2312"/>
                <w:b w:val="0"/>
                <w:bCs w:val="0"/>
                <w:sz w:val="24"/>
                <w:szCs w:val="24"/>
              </w:rPr>
              <w:t>”</w:t>
            </w:r>
            <w:r>
              <w:rPr>
                <w:rFonts w:hint="eastAsia" w:ascii="Times New Roman" w:hAnsi="Times New Roman" w:eastAsia="仿宋_GB2312"/>
                <w:sz w:val="24"/>
                <w:szCs w:val="24"/>
              </w:rPr>
              <w:t>）也将认购康桥资本医疗基础设施部分新增注册资本。</w:t>
            </w:r>
          </w:p>
          <w:p>
            <w:pPr>
              <w:spacing w:before="156" w:beforeLines="50" w:after="156" w:afterLines="50"/>
              <w:rPr>
                <w:rFonts w:ascii="Times New Roman" w:hAnsi="Times New Roman" w:eastAsia="仿宋_GB2312"/>
                <w:kern w:val="0"/>
                <w:sz w:val="24"/>
                <w:szCs w:val="24"/>
              </w:rPr>
            </w:pPr>
            <w:r>
              <w:rPr>
                <w:rFonts w:hint="eastAsia" w:ascii="Times New Roman" w:hAnsi="Times New Roman" w:eastAsia="仿宋_GB2312"/>
                <w:sz w:val="24"/>
                <w:szCs w:val="24"/>
              </w:rPr>
              <w:t>本次交易前，CBCREP全资持有康桥资本医疗基础设施。本次交易完成后，APG将持有康桥资本医疗基础设施80%的股权，CBCREP将持有康桥资本医疗基础设施20%的股权，CBCREP作为基金管理人，将与APG共同控制康桥资本医疗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09" w:type="dxa"/>
            <w:vMerge w:val="restart"/>
            <w:shd w:val="clear" w:color="auto" w:fill="D9D9D9"/>
            <w:vAlign w:val="center"/>
          </w:tcPr>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参与集中的</w:t>
            </w:r>
          </w:p>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经营者简介</w:t>
            </w:r>
          </w:p>
        </w:tc>
        <w:tc>
          <w:tcPr>
            <w:tcW w:w="1796" w:type="dxa"/>
          </w:tcPr>
          <w:p>
            <w:pPr>
              <w:spacing w:line="500" w:lineRule="exact"/>
              <w:rPr>
                <w:rFonts w:ascii="Times New Roman" w:hAnsi="Times New Roman" w:eastAsia="仿宋_GB2312"/>
                <w:kern w:val="0"/>
                <w:sz w:val="24"/>
                <w:szCs w:val="24"/>
              </w:rPr>
            </w:pPr>
            <w:r>
              <w:rPr>
                <w:rFonts w:ascii="Times New Roman" w:hAnsi="Times New Roman" w:eastAsia="仿宋_GB2312"/>
                <w:kern w:val="0"/>
                <w:sz w:val="24"/>
                <w:szCs w:val="24"/>
              </w:rPr>
              <w:t>1、APG</w:t>
            </w:r>
          </w:p>
        </w:tc>
        <w:tc>
          <w:tcPr>
            <w:tcW w:w="5153" w:type="dxa"/>
          </w:tcPr>
          <w:p>
            <w:pPr>
              <w:spacing w:before="156" w:beforeLines="50" w:after="156" w:afterLines="50"/>
              <w:rPr>
                <w:rFonts w:hint="eastAsia"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rPr>
              <w:t>APG为APG战略不动产投资共同基金基础受托人（Stichting Depositary APG Strategic Real Estate Pool，</w:t>
            </w:r>
            <w:r>
              <w:rPr>
                <w:rFonts w:hint="eastAsia" w:ascii="Times New Roman" w:hAnsi="Times New Roman" w:eastAsia="仿宋_GB2312"/>
                <w:b w:val="0"/>
                <w:bCs w:val="0"/>
                <w:color w:val="333333"/>
                <w:kern w:val="0"/>
                <w:sz w:val="24"/>
                <w:szCs w:val="24"/>
              </w:rPr>
              <w:t>“</w:t>
            </w:r>
            <w:r>
              <w:rPr>
                <w:rFonts w:hint="eastAsia" w:ascii="Times New Roman" w:hAnsi="Times New Roman" w:eastAsia="仿宋_GB2312"/>
                <w:b/>
                <w:bCs/>
                <w:color w:val="333333"/>
                <w:kern w:val="0"/>
                <w:sz w:val="24"/>
                <w:szCs w:val="24"/>
              </w:rPr>
              <w:t>受托人</w:t>
            </w:r>
            <w:r>
              <w:rPr>
                <w:rFonts w:hint="eastAsia" w:ascii="Times New Roman" w:hAnsi="Times New Roman" w:eastAsia="仿宋_GB2312"/>
                <w:b w:val="0"/>
                <w:bCs w:val="0"/>
                <w:color w:val="333333"/>
                <w:kern w:val="0"/>
                <w:sz w:val="24"/>
                <w:szCs w:val="24"/>
              </w:rPr>
              <w:t>”</w:t>
            </w:r>
            <w:r>
              <w:rPr>
                <w:rFonts w:hint="eastAsia" w:ascii="Times New Roman" w:hAnsi="Times New Roman" w:eastAsia="仿宋_GB2312"/>
                <w:color w:val="333333"/>
                <w:kern w:val="0"/>
                <w:sz w:val="24"/>
                <w:szCs w:val="24"/>
              </w:rPr>
              <w:t>）的全资子公司，系APG Strategic Real Estate Pool（</w:t>
            </w:r>
            <w:r>
              <w:rPr>
                <w:rFonts w:hint="eastAsia" w:ascii="Times New Roman" w:hAnsi="Times New Roman" w:eastAsia="仿宋_GB2312"/>
                <w:b w:val="0"/>
                <w:bCs w:val="0"/>
                <w:color w:val="333333"/>
                <w:kern w:val="0"/>
                <w:sz w:val="24"/>
                <w:szCs w:val="24"/>
              </w:rPr>
              <w:t>“</w:t>
            </w:r>
            <w:r>
              <w:rPr>
                <w:rFonts w:hint="eastAsia" w:ascii="Times New Roman" w:hAnsi="Times New Roman" w:eastAsia="仿宋_GB2312"/>
                <w:b/>
                <w:bCs/>
                <w:color w:val="333333"/>
                <w:kern w:val="0"/>
                <w:sz w:val="24"/>
                <w:szCs w:val="24"/>
              </w:rPr>
              <w:t>SRE基金池</w:t>
            </w:r>
            <w:r>
              <w:rPr>
                <w:rFonts w:hint="eastAsia" w:ascii="Times New Roman" w:hAnsi="Times New Roman" w:eastAsia="仿宋_GB2312"/>
                <w:b w:val="0"/>
                <w:bCs w:val="0"/>
                <w:color w:val="333333"/>
                <w:kern w:val="0"/>
                <w:sz w:val="24"/>
                <w:szCs w:val="24"/>
              </w:rPr>
              <w:t>”</w:t>
            </w:r>
            <w:r>
              <w:rPr>
                <w:rFonts w:hint="eastAsia" w:ascii="Times New Roman" w:hAnsi="Times New Roman" w:eastAsia="仿宋_GB2312"/>
                <w:color w:val="333333"/>
                <w:kern w:val="0"/>
                <w:sz w:val="24"/>
                <w:szCs w:val="24"/>
              </w:rPr>
              <w:t>）的存托机构。</w:t>
            </w:r>
          </w:p>
          <w:p>
            <w:pPr>
              <w:spacing w:before="156" w:beforeLines="50" w:after="156" w:afterLines="50"/>
              <w:rPr>
                <w:rFonts w:ascii="Times New Roman" w:hAnsi="Times New Roman" w:eastAsia="仿宋_GB2312"/>
                <w:kern w:val="0"/>
                <w:sz w:val="24"/>
                <w:szCs w:val="24"/>
              </w:rPr>
            </w:pPr>
            <w:r>
              <w:rPr>
                <w:rFonts w:hint="eastAsia" w:ascii="Times New Roman" w:hAnsi="Times New Roman" w:eastAsia="仿宋_GB2312"/>
                <w:color w:val="333333"/>
                <w:kern w:val="0"/>
                <w:sz w:val="24"/>
                <w:szCs w:val="24"/>
              </w:rPr>
              <w:t>APG是战略不动产行业的全球投资者。通过受托人和APG，SRE基金池主要向第三方管理人控制的投资基金和合营企业进行投资，其次集中持有公开交易的证券，其目标是向其养老金受益人提供优化的不动产投资组合。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9" w:type="dxa"/>
            <w:vMerge w:val="continue"/>
            <w:shd w:val="clear" w:color="auto" w:fill="D9D9D9"/>
            <w:vAlign w:val="center"/>
          </w:tcPr>
          <w:p>
            <w:pPr>
              <w:spacing w:line="500" w:lineRule="exact"/>
              <w:jc w:val="center"/>
              <w:rPr>
                <w:rFonts w:ascii="Times New Roman" w:hAnsi="Times New Roman" w:eastAsia="仿宋_GB2312"/>
                <w:b/>
                <w:kern w:val="0"/>
                <w:sz w:val="24"/>
                <w:szCs w:val="24"/>
              </w:rPr>
            </w:pPr>
          </w:p>
        </w:tc>
        <w:tc>
          <w:tcPr>
            <w:tcW w:w="1796" w:type="dxa"/>
          </w:tcPr>
          <w:p>
            <w:pPr>
              <w:spacing w:line="500" w:lineRule="exact"/>
              <w:rPr>
                <w:rFonts w:ascii="Times New Roman" w:hAnsi="Times New Roman" w:eastAsia="仿宋_GB2312"/>
                <w:kern w:val="0"/>
                <w:sz w:val="24"/>
                <w:szCs w:val="24"/>
              </w:rPr>
            </w:pPr>
            <w:r>
              <w:rPr>
                <w:rFonts w:ascii="Times New Roman" w:hAnsi="Times New Roman" w:eastAsia="仿宋_GB2312"/>
                <w:kern w:val="0"/>
                <w:sz w:val="24"/>
                <w:szCs w:val="24"/>
              </w:rPr>
              <w:t>2、CBCREP</w:t>
            </w:r>
          </w:p>
        </w:tc>
        <w:tc>
          <w:tcPr>
            <w:tcW w:w="5153" w:type="dxa"/>
          </w:tcPr>
          <w:p>
            <w:pPr>
              <w:spacing w:before="156" w:beforeLines="50" w:after="156" w:afterLines="50"/>
              <w:rPr>
                <w:rFonts w:hint="eastAsia"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rPr>
              <w:t>CBCREP主要从事医疗健康领域的基础建设和相关工业地产的投资和管理活动，目前尚未实际开展业务。CBCREP所属的CBC集团作为医疗健康行业的私募股权基金，专注于生物医药、医疗技术和医疗服务三个核心领域的平台建设和收购机遇，目前主要投资于生物制药、药品分销、分子诊断、医疗器械和医疗服务等多个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809" w:type="dxa"/>
            <w:vMerge w:val="restart"/>
            <w:shd w:val="clear" w:color="auto" w:fill="D9D9D9"/>
            <w:vAlign w:val="center"/>
          </w:tcPr>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简易案件理由（可以单选，也可以多选）</w:t>
            </w:r>
          </w:p>
        </w:tc>
        <w:tc>
          <w:tcPr>
            <w:tcW w:w="6949" w:type="dxa"/>
            <w:gridSpan w:val="2"/>
            <w:vAlign w:val="center"/>
          </w:tcPr>
          <w:p>
            <w:pPr>
              <w:spacing w:before="156" w:beforeLines="50" w:after="156" w:afterLines="5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sym w:font="Wingdings" w:char="00FE"/>
            </w:r>
            <w:r>
              <w:rPr>
                <w:rFonts w:ascii="Times New Roman" w:hAnsi="Times New Roman" w:eastAsia="仿宋_GB2312"/>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09" w:type="dxa"/>
            <w:vMerge w:val="continue"/>
            <w:shd w:val="clear" w:color="auto" w:fill="D9D9D9"/>
            <w:vAlign w:val="center"/>
          </w:tcPr>
          <w:p>
            <w:pPr>
              <w:spacing w:line="500" w:lineRule="exact"/>
              <w:jc w:val="center"/>
              <w:rPr>
                <w:rFonts w:ascii="Times New Roman" w:hAnsi="Times New Roman" w:eastAsia="仿宋_GB2312"/>
                <w:b/>
                <w:kern w:val="0"/>
                <w:sz w:val="24"/>
                <w:szCs w:val="24"/>
              </w:rPr>
            </w:pPr>
          </w:p>
        </w:tc>
        <w:tc>
          <w:tcPr>
            <w:tcW w:w="6949" w:type="dxa"/>
            <w:gridSpan w:val="2"/>
            <w:vAlign w:val="center"/>
          </w:tcPr>
          <w:p>
            <w:pPr>
              <w:spacing w:before="156" w:beforeLines="50" w:after="156" w:afterLines="5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lang w:eastAsia="zh-CN"/>
              </w:rPr>
              <w:t>□</w:t>
            </w:r>
            <w:r>
              <w:rPr>
                <w:rFonts w:ascii="Times New Roman" w:hAnsi="Times New Roman" w:eastAsia="仿宋_GB2312"/>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9" w:type="dxa"/>
            <w:vMerge w:val="continue"/>
            <w:shd w:val="clear" w:color="auto" w:fill="D9D9D9"/>
            <w:vAlign w:val="center"/>
          </w:tcPr>
          <w:p>
            <w:pPr>
              <w:spacing w:line="500" w:lineRule="exact"/>
              <w:jc w:val="center"/>
              <w:rPr>
                <w:rFonts w:ascii="Times New Roman" w:hAnsi="Times New Roman" w:eastAsia="仿宋_GB2312"/>
                <w:b/>
                <w:kern w:val="0"/>
                <w:sz w:val="24"/>
                <w:szCs w:val="24"/>
              </w:rPr>
            </w:pPr>
          </w:p>
        </w:tc>
        <w:tc>
          <w:tcPr>
            <w:tcW w:w="6949" w:type="dxa"/>
            <w:gridSpan w:val="2"/>
            <w:vAlign w:val="center"/>
          </w:tcPr>
          <w:p>
            <w:pPr>
              <w:spacing w:before="156" w:beforeLines="50" w:after="156" w:afterLines="5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lang w:eastAsia="zh-CN"/>
              </w:rPr>
              <w:t>□</w:t>
            </w:r>
            <w:r>
              <w:rPr>
                <w:rFonts w:ascii="Times New Roman" w:hAnsi="Times New Roman" w:eastAsia="仿宋_GB2312"/>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09" w:type="dxa"/>
            <w:vMerge w:val="continue"/>
            <w:shd w:val="clear" w:color="auto" w:fill="D9D9D9"/>
            <w:vAlign w:val="center"/>
          </w:tcPr>
          <w:p>
            <w:pPr>
              <w:spacing w:line="500" w:lineRule="exact"/>
              <w:jc w:val="center"/>
              <w:rPr>
                <w:rFonts w:ascii="Times New Roman" w:hAnsi="Times New Roman" w:eastAsia="仿宋_GB2312"/>
                <w:b/>
                <w:kern w:val="0"/>
                <w:sz w:val="24"/>
                <w:szCs w:val="24"/>
              </w:rPr>
            </w:pPr>
          </w:p>
        </w:tc>
        <w:tc>
          <w:tcPr>
            <w:tcW w:w="6949" w:type="dxa"/>
            <w:gridSpan w:val="2"/>
            <w:vAlign w:val="center"/>
          </w:tcPr>
          <w:p>
            <w:pPr>
              <w:spacing w:before="156" w:beforeLines="50" w:after="156" w:afterLines="5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lang w:eastAsia="zh-CN"/>
              </w:rPr>
              <w:t>□</w:t>
            </w:r>
            <w:r>
              <w:rPr>
                <w:rFonts w:ascii="Times New Roman" w:hAnsi="Times New Roman" w:eastAsia="仿宋_GB2312"/>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09" w:type="dxa"/>
            <w:vMerge w:val="continue"/>
            <w:shd w:val="clear" w:color="auto" w:fill="D9D9D9"/>
            <w:vAlign w:val="center"/>
          </w:tcPr>
          <w:p>
            <w:pPr>
              <w:spacing w:line="500" w:lineRule="exact"/>
              <w:jc w:val="center"/>
              <w:rPr>
                <w:rFonts w:ascii="Times New Roman" w:hAnsi="Times New Roman" w:eastAsia="仿宋_GB2312"/>
                <w:b/>
                <w:kern w:val="0"/>
                <w:sz w:val="24"/>
                <w:szCs w:val="24"/>
              </w:rPr>
            </w:pPr>
          </w:p>
        </w:tc>
        <w:tc>
          <w:tcPr>
            <w:tcW w:w="6949" w:type="dxa"/>
            <w:gridSpan w:val="2"/>
            <w:vAlign w:val="center"/>
          </w:tcPr>
          <w:p>
            <w:pPr>
              <w:spacing w:before="156" w:beforeLines="50" w:after="156" w:afterLines="5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lang w:eastAsia="zh-CN"/>
              </w:rPr>
              <w:t>□</w:t>
            </w:r>
            <w:r>
              <w:rPr>
                <w:rFonts w:ascii="Times New Roman" w:hAnsi="Times New Roman" w:eastAsia="仿宋_GB2312"/>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09" w:type="dxa"/>
            <w:vMerge w:val="continue"/>
            <w:shd w:val="clear" w:color="auto" w:fill="D9D9D9"/>
            <w:vAlign w:val="center"/>
          </w:tcPr>
          <w:p>
            <w:pPr>
              <w:spacing w:line="500" w:lineRule="exact"/>
              <w:jc w:val="center"/>
              <w:rPr>
                <w:rFonts w:ascii="Times New Roman" w:hAnsi="Times New Roman" w:eastAsia="仿宋_GB2312"/>
                <w:b/>
                <w:kern w:val="0"/>
                <w:sz w:val="24"/>
                <w:szCs w:val="24"/>
              </w:rPr>
            </w:pPr>
          </w:p>
        </w:tc>
        <w:tc>
          <w:tcPr>
            <w:tcW w:w="6949" w:type="dxa"/>
            <w:gridSpan w:val="2"/>
            <w:vAlign w:val="center"/>
          </w:tcPr>
          <w:p>
            <w:pPr>
              <w:spacing w:before="156" w:beforeLines="50" w:after="156" w:afterLines="5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lang w:eastAsia="zh-CN"/>
              </w:rPr>
              <w:t>□</w:t>
            </w:r>
            <w:r>
              <w:rPr>
                <w:rFonts w:ascii="Times New Roman" w:hAnsi="Times New Roman" w:eastAsia="仿宋_GB2312"/>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D9D9D9"/>
            <w:vAlign w:val="center"/>
          </w:tcPr>
          <w:p>
            <w:pPr>
              <w:spacing w:line="50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rPr>
              <w:t>备注</w:t>
            </w:r>
          </w:p>
        </w:tc>
        <w:tc>
          <w:tcPr>
            <w:tcW w:w="6949"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b/>
                <w:sz w:val="24"/>
                <w:szCs w:val="24"/>
                <w:u w:val="single"/>
              </w:rPr>
            </w:pPr>
            <w:r>
              <w:rPr>
                <w:rFonts w:ascii="Times New Roman" w:hAnsi="Times New Roman" w:eastAsia="仿宋_GB2312"/>
                <w:b/>
                <w:sz w:val="24"/>
                <w:szCs w:val="24"/>
                <w:u w:val="single"/>
              </w:rPr>
              <w:t>相关市场界定及份额：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kern w:val="0"/>
                <w:sz w:val="24"/>
                <w:szCs w:val="24"/>
              </w:rPr>
            </w:pPr>
            <w:r>
              <w:rPr>
                <w:rFonts w:ascii="Times New Roman" w:hAnsi="Times New Roman" w:eastAsia="仿宋_GB2312"/>
                <w:kern w:val="0"/>
                <w:sz w:val="24"/>
                <w:szCs w:val="24"/>
              </w:rPr>
              <w:t>上海工业地产开发和运营市场：</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rPr>
                <w:rFonts w:ascii="Times New Roman" w:hAnsi="Times New Roman" w:eastAsia="仿宋_GB2312"/>
                <w:kern w:val="0"/>
                <w:sz w:val="24"/>
                <w:szCs w:val="24"/>
              </w:rPr>
            </w:pPr>
            <w:r>
              <w:rPr>
                <w:rFonts w:ascii="Times New Roman" w:hAnsi="Times New Roman" w:eastAsia="仿宋_GB2312"/>
                <w:kern w:val="0"/>
                <w:sz w:val="24"/>
                <w:szCs w:val="24"/>
              </w:rPr>
              <w:t>APG：[0-5]%；</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rPr>
                <w:rFonts w:ascii="Times New Roman" w:hAnsi="Times New Roman" w:eastAsia="仿宋_GB2312"/>
                <w:b/>
                <w:kern w:val="0"/>
                <w:sz w:val="24"/>
                <w:szCs w:val="24"/>
              </w:rPr>
            </w:pPr>
            <w:r>
              <w:rPr>
                <w:rFonts w:ascii="Times New Roman" w:hAnsi="Times New Roman" w:eastAsia="仿宋_GB2312"/>
                <w:kern w:val="0"/>
                <w:sz w:val="24"/>
                <w:szCs w:val="24"/>
              </w:rPr>
              <w:t>康桥资本医疗基础设施：[0-5]%。</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rPr>
                <w:rFonts w:ascii="Times New Roman" w:hAnsi="Times New Roman" w:eastAsia="仿宋_GB2312"/>
                <w:b/>
                <w:kern w:val="0"/>
                <w:sz w:val="24"/>
                <w:szCs w:val="24"/>
              </w:rPr>
            </w:pPr>
            <w:r>
              <w:rPr>
                <w:rFonts w:hint="eastAsia" w:ascii="Times New Roman" w:hAnsi="Times New Roman" w:eastAsia="仿宋_GB2312"/>
                <w:b/>
                <w:kern w:val="0"/>
                <w:sz w:val="24"/>
                <w:szCs w:val="24"/>
                <w:lang w:eastAsia="zh-CN"/>
              </w:rPr>
              <w:t>合计：</w:t>
            </w:r>
            <w:r>
              <w:rPr>
                <w:rFonts w:ascii="Times New Roman" w:hAnsi="Times New Roman" w:eastAsia="仿宋_GB2312"/>
                <w:kern w:val="0"/>
                <w:sz w:val="24"/>
                <w:szCs w:val="24"/>
              </w:rPr>
              <w:t>[0-5]%</w:t>
            </w:r>
          </w:p>
        </w:tc>
      </w:tr>
    </w:tbl>
    <w:p>
      <w:pPr>
        <w:rPr>
          <w:rFonts w:ascii="Times New Roman" w:hAnsi="Times New Roman" w:eastAsia="仿宋_GB2312"/>
          <w:sz w:val="24"/>
          <w:szCs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765672"/>
      <w:docPartObj>
        <w:docPartGallery w:val="autotext"/>
      </w:docPartObj>
    </w:sdtPr>
    <w:sdtEndPr>
      <w:rPr>
        <w:rFonts w:ascii="Times New Roman" w:hAnsi="Times New Roman"/>
      </w:rPr>
    </w:sdtEndPr>
    <w:sdtContent>
      <w:p>
        <w:pPr>
          <w:pStyle w:val="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22F97"/>
    <w:multiLevelType w:val="multilevel"/>
    <w:tmpl w:val="76C22F97"/>
    <w:lvl w:ilvl="0" w:tentative="0">
      <w:start w:val="1"/>
      <w:numFmt w:val="bullet"/>
      <w:lvlText w:val=""/>
      <w:lvlJc w:val="left"/>
      <w:pPr>
        <w:ind w:left="420" w:hanging="420"/>
      </w:pPr>
      <w:rPr>
        <w:rFonts w:hint="default" w:ascii="Wingdings" w:hAnsi="Wingdings" w:eastAsia="楷体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DF"/>
    <w:rsid w:val="00027623"/>
    <w:rsid w:val="00037065"/>
    <w:rsid w:val="00071BFC"/>
    <w:rsid w:val="00075107"/>
    <w:rsid w:val="00090E61"/>
    <w:rsid w:val="00091EAA"/>
    <w:rsid w:val="00092322"/>
    <w:rsid w:val="000C375C"/>
    <w:rsid w:val="000C6931"/>
    <w:rsid w:val="000D7EBA"/>
    <w:rsid w:val="0010373F"/>
    <w:rsid w:val="001164CD"/>
    <w:rsid w:val="00127FD8"/>
    <w:rsid w:val="001432DA"/>
    <w:rsid w:val="00143EBB"/>
    <w:rsid w:val="00155717"/>
    <w:rsid w:val="0017607A"/>
    <w:rsid w:val="001837A3"/>
    <w:rsid w:val="001A2243"/>
    <w:rsid w:val="001D3A8B"/>
    <w:rsid w:val="001E032B"/>
    <w:rsid w:val="00213BCA"/>
    <w:rsid w:val="00245C4A"/>
    <w:rsid w:val="002653C3"/>
    <w:rsid w:val="00291B72"/>
    <w:rsid w:val="00296284"/>
    <w:rsid w:val="002B1946"/>
    <w:rsid w:val="002C6505"/>
    <w:rsid w:val="002C68F9"/>
    <w:rsid w:val="002D6381"/>
    <w:rsid w:val="002F5FB6"/>
    <w:rsid w:val="00300479"/>
    <w:rsid w:val="003166E5"/>
    <w:rsid w:val="00334943"/>
    <w:rsid w:val="003437DF"/>
    <w:rsid w:val="0034397F"/>
    <w:rsid w:val="003578D8"/>
    <w:rsid w:val="00366987"/>
    <w:rsid w:val="00376CB4"/>
    <w:rsid w:val="00397794"/>
    <w:rsid w:val="003A222C"/>
    <w:rsid w:val="003C0AEB"/>
    <w:rsid w:val="003D5BBF"/>
    <w:rsid w:val="003D71F6"/>
    <w:rsid w:val="00406639"/>
    <w:rsid w:val="00412831"/>
    <w:rsid w:val="004341AC"/>
    <w:rsid w:val="00440427"/>
    <w:rsid w:val="00470BB7"/>
    <w:rsid w:val="00471606"/>
    <w:rsid w:val="004C2FBD"/>
    <w:rsid w:val="004C5E0C"/>
    <w:rsid w:val="004F431A"/>
    <w:rsid w:val="004F7688"/>
    <w:rsid w:val="00516F69"/>
    <w:rsid w:val="00521578"/>
    <w:rsid w:val="00533330"/>
    <w:rsid w:val="0053361F"/>
    <w:rsid w:val="00540581"/>
    <w:rsid w:val="00544AE7"/>
    <w:rsid w:val="00544B57"/>
    <w:rsid w:val="00554FE3"/>
    <w:rsid w:val="00561070"/>
    <w:rsid w:val="005805C6"/>
    <w:rsid w:val="00590ABB"/>
    <w:rsid w:val="005D71A2"/>
    <w:rsid w:val="005F5ADA"/>
    <w:rsid w:val="006024A4"/>
    <w:rsid w:val="006216D1"/>
    <w:rsid w:val="00622B78"/>
    <w:rsid w:val="006467D8"/>
    <w:rsid w:val="00663C0D"/>
    <w:rsid w:val="00666E66"/>
    <w:rsid w:val="006737E4"/>
    <w:rsid w:val="006833DD"/>
    <w:rsid w:val="006946D9"/>
    <w:rsid w:val="006A531B"/>
    <w:rsid w:val="006B75D5"/>
    <w:rsid w:val="006D2AB9"/>
    <w:rsid w:val="006D3DBE"/>
    <w:rsid w:val="006E2CCB"/>
    <w:rsid w:val="006F7693"/>
    <w:rsid w:val="006F7E77"/>
    <w:rsid w:val="007100F0"/>
    <w:rsid w:val="00710140"/>
    <w:rsid w:val="00725292"/>
    <w:rsid w:val="007327A7"/>
    <w:rsid w:val="007703E0"/>
    <w:rsid w:val="00773E9E"/>
    <w:rsid w:val="007B5BF3"/>
    <w:rsid w:val="007B6176"/>
    <w:rsid w:val="007B7C77"/>
    <w:rsid w:val="007F2275"/>
    <w:rsid w:val="007F33A5"/>
    <w:rsid w:val="00800C3E"/>
    <w:rsid w:val="00805438"/>
    <w:rsid w:val="00821005"/>
    <w:rsid w:val="008247C4"/>
    <w:rsid w:val="008350F4"/>
    <w:rsid w:val="00861207"/>
    <w:rsid w:val="008E1DBF"/>
    <w:rsid w:val="008F2D66"/>
    <w:rsid w:val="009135C8"/>
    <w:rsid w:val="00915F0F"/>
    <w:rsid w:val="00920546"/>
    <w:rsid w:val="009216CE"/>
    <w:rsid w:val="009221E2"/>
    <w:rsid w:val="009271A0"/>
    <w:rsid w:val="009532DF"/>
    <w:rsid w:val="009708BB"/>
    <w:rsid w:val="00975C84"/>
    <w:rsid w:val="0098648E"/>
    <w:rsid w:val="00997019"/>
    <w:rsid w:val="009A5029"/>
    <w:rsid w:val="009C4191"/>
    <w:rsid w:val="009D38D5"/>
    <w:rsid w:val="009D5152"/>
    <w:rsid w:val="009F5E8E"/>
    <w:rsid w:val="00A040C7"/>
    <w:rsid w:val="00A53F26"/>
    <w:rsid w:val="00A720B5"/>
    <w:rsid w:val="00A82F7A"/>
    <w:rsid w:val="00A8399C"/>
    <w:rsid w:val="00A94F3E"/>
    <w:rsid w:val="00AA0CC5"/>
    <w:rsid w:val="00AE365F"/>
    <w:rsid w:val="00B16AFE"/>
    <w:rsid w:val="00B213E7"/>
    <w:rsid w:val="00B223BE"/>
    <w:rsid w:val="00B25529"/>
    <w:rsid w:val="00B30D35"/>
    <w:rsid w:val="00B404C4"/>
    <w:rsid w:val="00B45442"/>
    <w:rsid w:val="00B515B5"/>
    <w:rsid w:val="00B574F9"/>
    <w:rsid w:val="00B65DD5"/>
    <w:rsid w:val="00B76F1E"/>
    <w:rsid w:val="00B9761E"/>
    <w:rsid w:val="00BA4778"/>
    <w:rsid w:val="00BA555B"/>
    <w:rsid w:val="00BC2597"/>
    <w:rsid w:val="00BD10B6"/>
    <w:rsid w:val="00BD279D"/>
    <w:rsid w:val="00BF5123"/>
    <w:rsid w:val="00C07076"/>
    <w:rsid w:val="00C13ED6"/>
    <w:rsid w:val="00C67480"/>
    <w:rsid w:val="00C82166"/>
    <w:rsid w:val="00C868B8"/>
    <w:rsid w:val="00C93DF7"/>
    <w:rsid w:val="00C95860"/>
    <w:rsid w:val="00CA1391"/>
    <w:rsid w:val="00CA7A84"/>
    <w:rsid w:val="00CB00DF"/>
    <w:rsid w:val="00CB2271"/>
    <w:rsid w:val="00D0075D"/>
    <w:rsid w:val="00D24CF2"/>
    <w:rsid w:val="00D36A88"/>
    <w:rsid w:val="00D434CD"/>
    <w:rsid w:val="00D56F4A"/>
    <w:rsid w:val="00D72C0D"/>
    <w:rsid w:val="00D73C72"/>
    <w:rsid w:val="00E00ACB"/>
    <w:rsid w:val="00E0592B"/>
    <w:rsid w:val="00E119BA"/>
    <w:rsid w:val="00E123A6"/>
    <w:rsid w:val="00E21D54"/>
    <w:rsid w:val="00E31738"/>
    <w:rsid w:val="00E33332"/>
    <w:rsid w:val="00E70C23"/>
    <w:rsid w:val="00E817BF"/>
    <w:rsid w:val="00E86786"/>
    <w:rsid w:val="00E96A92"/>
    <w:rsid w:val="00EB0872"/>
    <w:rsid w:val="00EB1512"/>
    <w:rsid w:val="00EC1743"/>
    <w:rsid w:val="00ED2F80"/>
    <w:rsid w:val="00EE0A39"/>
    <w:rsid w:val="00EE32CF"/>
    <w:rsid w:val="00F01FBB"/>
    <w:rsid w:val="00F1624E"/>
    <w:rsid w:val="00F237C1"/>
    <w:rsid w:val="00F2761C"/>
    <w:rsid w:val="00F32F8A"/>
    <w:rsid w:val="00F37E98"/>
    <w:rsid w:val="00F61657"/>
    <w:rsid w:val="00F810AA"/>
    <w:rsid w:val="00FA341E"/>
    <w:rsid w:val="00FB43EC"/>
    <w:rsid w:val="00FB6B40"/>
    <w:rsid w:val="1069281A"/>
    <w:rsid w:val="2B4D4473"/>
    <w:rsid w:val="51504D1F"/>
    <w:rsid w:val="604464FC"/>
    <w:rsid w:val="64CB1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qFormat/>
    <w:uiPriority w:val="0"/>
    <w:pPr>
      <w:snapToGrid w:val="0"/>
      <w:jc w:val="left"/>
    </w:pPr>
    <w:rPr>
      <w:rFonts w:ascii="Times New Roman" w:hAnsi="Times New Roman"/>
      <w:sz w:val="18"/>
      <w:szCs w:val="18"/>
    </w:rPr>
  </w:style>
  <w:style w:type="character" w:styleId="8">
    <w:name w:val="footnote reference"/>
    <w:basedOn w:val="7"/>
    <w:unhideWhenUsed/>
    <w:qFormat/>
    <w:uiPriority w:val="0"/>
    <w:rPr>
      <w:vertAlign w:val="superscript"/>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link w:val="13"/>
    <w:qFormat/>
    <w:uiPriority w:val="34"/>
    <w:pPr>
      <w:ind w:firstLine="420" w:firstLineChars="200"/>
    </w:pPr>
  </w:style>
  <w:style w:type="character" w:customStyle="1" w:styleId="12">
    <w:name w:val="批注框文本 字符"/>
    <w:basedOn w:val="7"/>
    <w:link w:val="2"/>
    <w:semiHidden/>
    <w:qFormat/>
    <w:uiPriority w:val="99"/>
    <w:rPr>
      <w:rFonts w:ascii="Calibri" w:hAnsi="Calibri" w:eastAsia="宋体" w:cs="Times New Roman"/>
      <w:kern w:val="2"/>
      <w:sz w:val="18"/>
      <w:szCs w:val="18"/>
    </w:rPr>
  </w:style>
  <w:style w:type="character" w:customStyle="1" w:styleId="13">
    <w:name w:val="列出段落 字符"/>
    <w:link w:val="11"/>
    <w:qFormat/>
    <w:locked/>
    <w:uiPriority w:val="34"/>
    <w:rPr>
      <w:rFonts w:ascii="Calibri" w:hAnsi="Calibri" w:eastAsia="宋体" w:cs="Times New Roman"/>
      <w:kern w:val="2"/>
      <w:sz w:val="21"/>
      <w:szCs w:val="22"/>
    </w:rPr>
  </w:style>
  <w:style w:type="character" w:customStyle="1" w:styleId="14">
    <w:name w:val="脚注文本 字符"/>
    <w:basedOn w:val="7"/>
    <w:link w:val="5"/>
    <w:qFormat/>
    <w:uiPriority w:val="0"/>
    <w:rPr>
      <w:rFonts w:ascii="Times New Roman" w:hAnsi="Times New Roman" w:eastAsia="宋体" w:cs="Times New Roman"/>
      <w:kern w:val="2"/>
      <w:sz w:val="18"/>
      <w:szCs w:val="18"/>
    </w:rPr>
  </w:style>
  <w:style w:type="paragraph" w:customStyle="1" w:styleId="15">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2</Pages>
  <Words>183</Words>
  <Characters>1047</Characters>
  <Lines>8</Lines>
  <Paragraphs>2</Paragraphs>
  <TotalTime>0</TotalTime>
  <ScaleCrop>false</ScaleCrop>
  <LinksUpToDate>false</LinksUpToDate>
  <CharactersWithSpaces>1228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2021-08-20T01:53:00Z</dcterms:created>
  <dc:creator>mofcom</dc:creator>
  <cp:lastModifiedBy>万广亮</cp:lastModifiedBy>
  <cp:lastPrinted>2019-12-18T03:32:00Z</cp:lastPrinted>
  <dcterms:modified xsi:type="dcterms:W3CDTF">2021-09-06T01:28:04Z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