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b/>
          <w:bCs/>
          <w:sz w:val="28"/>
          <w:szCs w:val="28"/>
        </w:rPr>
      </w:pPr>
      <w:r>
        <w:rPr>
          <w:rFonts w:ascii="Times New Roman" w:hAnsi="Times New Roman"/>
          <w:b/>
          <w:bCs/>
          <w:sz w:val="28"/>
          <w:szCs w:val="28"/>
        </w:rPr>
        <w:t>经营者集中简易案件公示表</w:t>
      </w:r>
    </w:p>
    <w:p>
      <w:pPr>
        <w:spacing w:line="440" w:lineRule="exact"/>
        <w:jc w:val="center"/>
        <w:rPr>
          <w:rFonts w:ascii="Times New Roman" w:hAnsi="Times New Roman"/>
          <w:sz w:val="28"/>
          <w:szCs w:val="28"/>
        </w:rPr>
      </w:pPr>
    </w:p>
    <w:tbl>
      <w:tblPr>
        <w:tblStyle w:val="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4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spacing w:line="500" w:lineRule="exact"/>
              <w:rPr>
                <w:rFonts w:ascii="Times New Roman" w:hAnsi="Times New Roman"/>
                <w:b/>
                <w:bCs/>
                <w:sz w:val="24"/>
                <w:szCs w:val="24"/>
              </w:rPr>
            </w:pPr>
            <w:r>
              <w:rPr>
                <w:rFonts w:ascii="Times New Roman" w:hAnsi="Times New Roman"/>
                <w:b/>
                <w:bCs/>
                <w:sz w:val="24"/>
                <w:szCs w:val="24"/>
              </w:rPr>
              <w:t>案件名称</w:t>
            </w:r>
          </w:p>
        </w:tc>
        <w:tc>
          <w:tcPr>
            <w:tcW w:w="6550" w:type="dxa"/>
            <w:gridSpan w:val="2"/>
            <w:shd w:val="clear" w:color="auto" w:fill="auto"/>
            <w:vAlign w:val="center"/>
          </w:tcPr>
          <w:p>
            <w:pPr>
              <w:rPr>
                <w:rFonts w:ascii="Times New Roman" w:hAnsi="Times New Roman"/>
                <w:sz w:val="24"/>
                <w:szCs w:val="24"/>
              </w:rPr>
            </w:pPr>
            <w:r>
              <w:rPr>
                <w:rFonts w:hint="eastAsia" w:ascii="Times New Roman" w:hAnsi="Times New Roman" w:cs="宋体"/>
                <w:kern w:val="0"/>
                <w:sz w:val="24"/>
                <w:szCs w:val="24"/>
              </w:rPr>
              <w:t>淄博匠图恒松控股有限公司收购东杰智能科技集团股份有限公司股权</w:t>
            </w:r>
            <w:r>
              <w:rPr>
                <w:rFonts w:ascii="Times New Roman" w:hAnsi="Times New Roman" w:cs="宋体"/>
                <w:kern w:val="0"/>
                <w:sz w:val="24"/>
                <w:szCs w:val="24"/>
              </w:rPr>
              <w:t>案</w:t>
            </w:r>
            <w:r>
              <w:rPr>
                <w:rFonts w:hint="eastAsia" w:ascii="Times New Roman" w:hAnsi="Times New Roman" w:cs="宋体"/>
                <w:kern w:val="0"/>
                <w:sz w:val="24"/>
                <w:szCs w:val="24"/>
              </w:rPr>
              <w:t>（“</w:t>
            </w:r>
            <w:r>
              <w:rPr>
                <w:rFonts w:hint="eastAsia" w:ascii="Times New Roman" w:hAnsi="Times New Roman" w:cs="宋体"/>
                <w:b/>
                <w:bCs/>
                <w:kern w:val="0"/>
                <w:sz w:val="24"/>
                <w:szCs w:val="24"/>
              </w:rPr>
              <w:t>拟议交易</w:t>
            </w:r>
            <w:r>
              <w:rPr>
                <w:rFonts w:hint="eastAsia" w:ascii="Times New Roman" w:hAnsi="Times New Roman"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tcPr>
          <w:p>
            <w:pPr>
              <w:spacing w:line="500" w:lineRule="exact"/>
              <w:rPr>
                <w:rFonts w:ascii="Times New Roman" w:hAnsi="Times New Roman"/>
                <w:b/>
                <w:bCs/>
                <w:sz w:val="24"/>
                <w:szCs w:val="24"/>
              </w:rPr>
            </w:pPr>
            <w:r>
              <w:rPr>
                <w:rFonts w:ascii="Times New Roman" w:hAnsi="Times New Roman"/>
                <w:b/>
                <w:bCs/>
                <w:sz w:val="24"/>
                <w:szCs w:val="24"/>
              </w:rPr>
              <w:t>交易概况（限200字内）</w:t>
            </w:r>
          </w:p>
        </w:tc>
        <w:tc>
          <w:tcPr>
            <w:tcW w:w="6550" w:type="dxa"/>
            <w:gridSpan w:val="2"/>
          </w:tcPr>
          <w:p>
            <w:pPr>
              <w:spacing w:before="156" w:beforeLines="50" w:after="156" w:afterLines="50"/>
              <w:rPr>
                <w:rFonts w:ascii="Times New Roman" w:hAnsi="Times New Roman"/>
                <w:color w:val="000000"/>
                <w:sz w:val="24"/>
                <w:szCs w:val="24"/>
              </w:rPr>
            </w:pPr>
            <w:r>
              <w:rPr>
                <w:rFonts w:hint="eastAsia" w:ascii="Times New Roman" w:hAnsi="Times New Roman"/>
                <w:color w:val="000000"/>
                <w:sz w:val="24"/>
                <w:szCs w:val="24"/>
              </w:rPr>
              <w:t>2021年8月10日，淄博匠图恒松控股有限公司（“</w:t>
            </w:r>
            <w:r>
              <w:rPr>
                <w:rFonts w:hint="eastAsia" w:ascii="Times New Roman" w:hAnsi="Times New Roman"/>
                <w:b/>
                <w:bCs/>
                <w:color w:val="000000"/>
                <w:sz w:val="24"/>
                <w:szCs w:val="24"/>
              </w:rPr>
              <w:t>淄博恒松</w:t>
            </w:r>
            <w:r>
              <w:rPr>
                <w:rFonts w:hint="eastAsia" w:ascii="Times New Roman" w:hAnsi="Times New Roman"/>
                <w:color w:val="000000"/>
                <w:sz w:val="24"/>
                <w:szCs w:val="24"/>
              </w:rPr>
              <w:t>”）与姚卜文、中合盛资本管理有限公司及梁燕生签订《股份转让协议》，约定由淄博恒松收购姚卜文、中合盛及梁燕生持有的东杰智能科技集团股份有限公司（“</w:t>
            </w:r>
            <w:r>
              <w:rPr>
                <w:rFonts w:hint="eastAsia" w:ascii="Times New Roman" w:hAnsi="Times New Roman"/>
                <w:b/>
                <w:bCs/>
                <w:color w:val="000000"/>
                <w:sz w:val="24"/>
                <w:szCs w:val="24"/>
              </w:rPr>
              <w:t>东杰智能</w:t>
            </w:r>
            <w:r>
              <w:rPr>
                <w:rFonts w:hint="eastAsia" w:ascii="Times New Roman" w:hAnsi="Times New Roman"/>
                <w:color w:val="000000"/>
                <w:sz w:val="24"/>
                <w:szCs w:val="24"/>
              </w:rPr>
              <w:t>”）合计约29.44%的股份。</w:t>
            </w:r>
          </w:p>
          <w:p>
            <w:pPr>
              <w:spacing w:before="156" w:beforeLines="50" w:after="156" w:afterLines="50"/>
              <w:rPr>
                <w:rFonts w:ascii="Times New Roman" w:hAnsi="Times New Roman"/>
                <w:color w:val="000000"/>
                <w:sz w:val="24"/>
                <w:szCs w:val="24"/>
              </w:rPr>
            </w:pPr>
            <w:r>
              <w:rPr>
                <w:rFonts w:hint="eastAsia" w:ascii="Times New Roman" w:hAnsi="Times New Roman"/>
                <w:color w:val="000000"/>
                <w:sz w:val="24"/>
                <w:szCs w:val="24"/>
              </w:rPr>
              <w:t>拟议交易前，东杰智能由姚卜文单独控制。拟议交易完成后，淄博恒松将成为东杰智能的控股股东，并单独控制东杰智能。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tcPr>
          <w:p>
            <w:pPr>
              <w:spacing w:line="500" w:lineRule="exact"/>
              <w:rPr>
                <w:rFonts w:ascii="Times New Roman" w:hAnsi="Times New Roman"/>
                <w:b/>
                <w:bCs/>
                <w:sz w:val="24"/>
                <w:szCs w:val="24"/>
              </w:rPr>
            </w:pPr>
            <w:r>
              <w:rPr>
                <w:rFonts w:ascii="Times New Roman" w:hAnsi="Times New Roman"/>
                <w:b/>
                <w:bCs/>
                <w:sz w:val="24"/>
                <w:szCs w:val="24"/>
              </w:rPr>
              <w:t>参与集中的经营者简介</w:t>
            </w:r>
          </w:p>
        </w:tc>
        <w:tc>
          <w:tcPr>
            <w:tcW w:w="1796" w:type="dxa"/>
          </w:tcPr>
          <w:p>
            <w:pPr>
              <w:pStyle w:val="20"/>
              <w:numPr>
                <w:ilvl w:val="0"/>
                <w:numId w:val="1"/>
              </w:numPr>
              <w:ind w:firstLineChars="0"/>
              <w:rPr>
                <w:rFonts w:ascii="Times New Roman" w:hAnsi="Times New Roman"/>
                <w:sz w:val="24"/>
                <w:szCs w:val="24"/>
              </w:rPr>
            </w:pPr>
            <w:r>
              <w:rPr>
                <w:rFonts w:hint="eastAsia" w:ascii="Times New Roman" w:hAnsi="Times New Roman"/>
                <w:sz w:val="24"/>
                <w:szCs w:val="24"/>
              </w:rPr>
              <w:t>淄博恒松</w:t>
            </w:r>
          </w:p>
        </w:tc>
        <w:tc>
          <w:tcPr>
            <w:tcW w:w="4754" w:type="dxa"/>
          </w:tcPr>
          <w:p>
            <w:pPr>
              <w:spacing w:before="156" w:beforeLines="50" w:after="156" w:afterLines="50"/>
              <w:rPr>
                <w:rFonts w:ascii="Times New Roman" w:hAnsi="Times New Roman"/>
                <w:sz w:val="24"/>
                <w:szCs w:val="24"/>
              </w:rPr>
            </w:pPr>
            <w:r>
              <w:rPr>
                <w:rFonts w:hint="eastAsia" w:ascii="Times New Roman" w:hAnsi="Times New Roman"/>
                <w:sz w:val="24"/>
                <w:szCs w:val="24"/>
              </w:rPr>
              <w:t>淄博恒松于2</w:t>
            </w:r>
            <w:r>
              <w:rPr>
                <w:rFonts w:ascii="Times New Roman" w:hAnsi="Times New Roman"/>
                <w:sz w:val="24"/>
                <w:szCs w:val="24"/>
              </w:rPr>
              <w:t>021</w:t>
            </w:r>
            <w:r>
              <w:rPr>
                <w:rFonts w:hint="eastAsia" w:ascii="Times New Roman" w:hAnsi="Times New Roman"/>
                <w:sz w:val="24"/>
                <w:szCs w:val="24"/>
              </w:rPr>
              <w:t>年成立于山东省，目前尚未开展业务。淄博恒松的最终控制人为淄博市财政局。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tcPr>
          <w:p>
            <w:pPr>
              <w:spacing w:line="500" w:lineRule="exact"/>
              <w:rPr>
                <w:rFonts w:ascii="Times New Roman" w:hAnsi="Times New Roman"/>
                <w:sz w:val="24"/>
                <w:szCs w:val="24"/>
              </w:rPr>
            </w:pPr>
          </w:p>
        </w:tc>
        <w:tc>
          <w:tcPr>
            <w:tcW w:w="1796" w:type="dxa"/>
          </w:tcPr>
          <w:p>
            <w:pPr>
              <w:pStyle w:val="20"/>
              <w:numPr>
                <w:ilvl w:val="0"/>
                <w:numId w:val="1"/>
              </w:numPr>
              <w:ind w:firstLineChars="0"/>
              <w:rPr>
                <w:rFonts w:ascii="Times New Roman" w:hAnsi="Times New Roman"/>
                <w:sz w:val="24"/>
                <w:szCs w:val="24"/>
              </w:rPr>
            </w:pPr>
            <w:r>
              <w:rPr>
                <w:rFonts w:hint="eastAsia" w:ascii="Times New Roman" w:hAnsi="Times New Roman"/>
                <w:sz w:val="24"/>
                <w:szCs w:val="24"/>
              </w:rPr>
              <w:t>东杰智能</w:t>
            </w:r>
          </w:p>
        </w:tc>
        <w:tc>
          <w:tcPr>
            <w:tcW w:w="4754" w:type="dxa"/>
          </w:tcPr>
          <w:p>
            <w:pPr>
              <w:tabs>
                <w:tab w:val="left" w:pos="30"/>
              </w:tabs>
              <w:spacing w:before="156" w:beforeLines="50" w:after="156" w:afterLines="50"/>
              <w:rPr>
                <w:rFonts w:ascii="Times New Roman" w:hAnsi="Times New Roman"/>
                <w:color w:val="000000"/>
                <w:sz w:val="24"/>
                <w:szCs w:val="24"/>
              </w:rPr>
            </w:pPr>
            <w:r>
              <w:rPr>
                <w:rFonts w:ascii="Times New Roman" w:hAnsi="Times New Roman"/>
                <w:color w:val="000000"/>
                <w:sz w:val="24"/>
                <w:szCs w:val="24"/>
              </w:rPr>
              <w:tab/>
            </w:r>
            <w:r>
              <w:rPr>
                <w:rFonts w:hint="eastAsia" w:ascii="Times New Roman" w:hAnsi="Times New Roman"/>
                <w:color w:val="000000"/>
                <w:sz w:val="24"/>
                <w:szCs w:val="24"/>
              </w:rPr>
              <w:t>东杰智能于1</w:t>
            </w:r>
            <w:r>
              <w:rPr>
                <w:rFonts w:ascii="Times New Roman" w:hAnsi="Times New Roman"/>
                <w:color w:val="000000"/>
                <w:sz w:val="24"/>
                <w:szCs w:val="24"/>
              </w:rPr>
              <w:t>995</w:t>
            </w:r>
            <w:r>
              <w:rPr>
                <w:rFonts w:hint="eastAsia" w:ascii="Times New Roman" w:hAnsi="Times New Roman"/>
                <w:color w:val="000000"/>
                <w:sz w:val="24"/>
                <w:szCs w:val="24"/>
              </w:rPr>
              <w:t>年成立于山西省太原市，其在中国境内的主营业务为智能成套装备的设计、制造、安装</w:t>
            </w:r>
            <w:bookmarkStart w:id="0" w:name="_GoBack"/>
            <w:bookmarkEnd w:id="0"/>
            <w:r>
              <w:rPr>
                <w:rFonts w:hint="eastAsia" w:ascii="Times New Roman" w:hAnsi="Times New Roman"/>
                <w:color w:val="000000"/>
                <w:sz w:val="24"/>
                <w:szCs w:val="24"/>
              </w:rPr>
              <w:t>调试与销售。东杰智能的主要产品类别包括智能物流输送系统、智能物流仓储系统、智能立体停车系统、智能涂装系统等。东杰智能最终控制人为姚卜文。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tcPr>
          <w:p>
            <w:pPr>
              <w:spacing w:line="500" w:lineRule="exact"/>
              <w:rPr>
                <w:rFonts w:ascii="Times New Roman" w:hAnsi="Times New Roman"/>
                <w:b/>
                <w:bCs/>
                <w:sz w:val="24"/>
                <w:szCs w:val="24"/>
              </w:rPr>
            </w:pPr>
            <w:r>
              <w:rPr>
                <w:rFonts w:ascii="Times New Roman" w:hAnsi="Times New Roman"/>
                <w:b/>
                <w:bCs/>
                <w:sz w:val="24"/>
                <w:szCs w:val="24"/>
              </w:rPr>
              <w:t>简易案件理由（可以单选，也可以多选）</w:t>
            </w:r>
          </w:p>
        </w:tc>
        <w:tc>
          <w:tcPr>
            <w:tcW w:w="6550" w:type="dxa"/>
            <w:gridSpan w:val="2"/>
          </w:tcPr>
          <w:p>
            <w:pPr>
              <w:spacing w:line="500" w:lineRule="exact"/>
              <w:rPr>
                <w:rFonts w:ascii="Times New Roman" w:hAnsi="Times New Roman"/>
                <w:sz w:val="24"/>
                <w:szCs w:val="24"/>
              </w:rPr>
            </w:pPr>
            <w:r>
              <w:rPr>
                <w:rFonts w:ascii="Times New Roman" w:hAnsi="Times New Roman" w:cs="Arial"/>
                <w:sz w:val="24"/>
                <w:szCs w:val="24"/>
                <w:lang w:val="en-GB"/>
              </w:rPr>
              <w:sym w:font="Wingdings" w:char="F0A8"/>
            </w:r>
            <w:r>
              <w:rPr>
                <w:rFonts w:ascii="Times New Roman" w:hAnsi="Times New Roman"/>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tcPr>
          <w:p>
            <w:pPr>
              <w:spacing w:line="500" w:lineRule="exact"/>
              <w:rPr>
                <w:rFonts w:ascii="Times New Roman" w:hAnsi="Times New Roman"/>
                <w:sz w:val="24"/>
                <w:szCs w:val="24"/>
              </w:rPr>
            </w:pPr>
          </w:p>
        </w:tc>
        <w:tc>
          <w:tcPr>
            <w:tcW w:w="6550" w:type="dxa"/>
            <w:gridSpan w:val="2"/>
          </w:tcPr>
          <w:p>
            <w:pPr>
              <w:spacing w:line="500" w:lineRule="exact"/>
              <w:rPr>
                <w:rFonts w:ascii="Times New Roman" w:hAnsi="Times New Roman"/>
                <w:sz w:val="24"/>
                <w:szCs w:val="24"/>
              </w:rPr>
            </w:pPr>
            <w:r>
              <w:rPr>
                <w:rFonts w:ascii="Times New Roman" w:hAnsi="Times New Roman" w:cs="Arial"/>
                <w:sz w:val="24"/>
                <w:szCs w:val="24"/>
                <w:lang w:val="en-GB"/>
              </w:rPr>
              <w:sym w:font="Wingdings" w:char="F0A8"/>
            </w:r>
            <w:r>
              <w:rPr>
                <w:rFonts w:ascii="Times New Roman" w:hAnsi="Times New Roman" w:cs="Arial"/>
                <w:sz w:val="24"/>
                <w:szCs w:val="24"/>
                <w:lang w:val="en-GB"/>
              </w:rPr>
              <w:t xml:space="preserve"> </w:t>
            </w:r>
            <w:r>
              <w:rPr>
                <w:rFonts w:ascii="Times New Roman" w:hAnsi="Times New Roman"/>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tcPr>
          <w:p>
            <w:pPr>
              <w:spacing w:line="500" w:lineRule="exact"/>
              <w:rPr>
                <w:rFonts w:ascii="Times New Roman" w:hAnsi="Times New Roman"/>
                <w:sz w:val="24"/>
                <w:szCs w:val="24"/>
              </w:rPr>
            </w:pPr>
          </w:p>
        </w:tc>
        <w:tc>
          <w:tcPr>
            <w:tcW w:w="6550" w:type="dxa"/>
            <w:gridSpan w:val="2"/>
          </w:tcPr>
          <w:p>
            <w:pPr>
              <w:spacing w:line="500" w:lineRule="exact"/>
              <w:rPr>
                <w:rFonts w:ascii="Times New Roman" w:hAnsi="Times New Roman"/>
                <w:sz w:val="24"/>
                <w:szCs w:val="24"/>
              </w:rPr>
            </w:pPr>
            <w:r>
              <w:rPr>
                <w:rFonts w:hint="eastAsia" w:ascii="Times New Roman" w:hAnsi="Times New Roman"/>
                <w:sz w:val="24"/>
                <w:szCs w:val="24"/>
              </w:rPr>
              <w:sym w:font="Wingdings" w:char="F0FE"/>
            </w:r>
            <w:r>
              <w:rPr>
                <w:rFonts w:ascii="Times New Roman" w:hAnsi="Times New Roman"/>
                <w:sz w:val="24"/>
                <w:szCs w:val="24"/>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tcPr>
          <w:p>
            <w:pPr>
              <w:spacing w:line="500" w:lineRule="exact"/>
              <w:rPr>
                <w:rFonts w:ascii="Times New Roman" w:hAnsi="Times New Roman"/>
                <w:sz w:val="24"/>
                <w:szCs w:val="24"/>
              </w:rPr>
            </w:pPr>
          </w:p>
        </w:tc>
        <w:tc>
          <w:tcPr>
            <w:tcW w:w="6550" w:type="dxa"/>
            <w:gridSpan w:val="2"/>
          </w:tcPr>
          <w:p>
            <w:pPr>
              <w:spacing w:line="500" w:lineRule="exact"/>
              <w:rPr>
                <w:rFonts w:ascii="Times New Roman" w:hAnsi="Times New Roman"/>
                <w:sz w:val="24"/>
                <w:szCs w:val="24"/>
              </w:rPr>
            </w:pPr>
            <w:r>
              <w:rPr>
                <w:rFonts w:ascii="Times New Roman" w:hAnsi="Times New Roman" w:cs="Arial"/>
                <w:sz w:val="24"/>
                <w:szCs w:val="24"/>
                <w:lang w:val="en-GB"/>
              </w:rPr>
              <w:sym w:font="Wingdings" w:char="F0A8"/>
            </w:r>
            <w:r>
              <w:rPr>
                <w:rFonts w:ascii="Times New Roman" w:hAnsi="Times New Roman" w:cs="Arial"/>
                <w:sz w:val="24"/>
                <w:szCs w:val="24"/>
                <w:lang w:val="en-GB"/>
              </w:rPr>
              <w:t xml:space="preserve"> </w:t>
            </w:r>
            <w:r>
              <w:rPr>
                <w:rFonts w:ascii="Times New Roman" w:hAnsi="Times New Roman"/>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tcPr>
          <w:p>
            <w:pPr>
              <w:spacing w:line="500" w:lineRule="exact"/>
              <w:rPr>
                <w:rFonts w:ascii="Times New Roman" w:hAnsi="Times New Roman"/>
                <w:sz w:val="24"/>
                <w:szCs w:val="24"/>
              </w:rPr>
            </w:pPr>
          </w:p>
        </w:tc>
        <w:tc>
          <w:tcPr>
            <w:tcW w:w="6550" w:type="dxa"/>
            <w:gridSpan w:val="2"/>
          </w:tcPr>
          <w:p>
            <w:pPr>
              <w:spacing w:line="500" w:lineRule="exact"/>
              <w:rPr>
                <w:rFonts w:ascii="Times New Roman" w:hAnsi="Times New Roman"/>
                <w:sz w:val="24"/>
                <w:szCs w:val="24"/>
              </w:rPr>
            </w:pPr>
            <w:r>
              <w:rPr>
                <w:rFonts w:ascii="Times New Roman" w:hAnsi="Times New Roman" w:cs="Arial"/>
                <w:sz w:val="24"/>
                <w:szCs w:val="24"/>
                <w:lang w:val="en-GB"/>
              </w:rPr>
              <w:sym w:font="Wingdings" w:char="F0A8"/>
            </w:r>
            <w:r>
              <w:rPr>
                <w:rFonts w:ascii="Times New Roman" w:hAnsi="Times New Roman" w:cs="Arial"/>
                <w:sz w:val="24"/>
                <w:szCs w:val="24"/>
                <w:lang w:val="en-GB"/>
              </w:rPr>
              <w:t xml:space="preserve"> </w:t>
            </w:r>
            <w:r>
              <w:rPr>
                <w:rFonts w:ascii="Times New Roman" w:hAnsi="Times New Roman"/>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tcPr>
          <w:p>
            <w:pPr>
              <w:spacing w:line="500" w:lineRule="exact"/>
              <w:rPr>
                <w:rFonts w:ascii="Times New Roman" w:hAnsi="Times New Roman"/>
                <w:sz w:val="24"/>
                <w:szCs w:val="24"/>
              </w:rPr>
            </w:pPr>
          </w:p>
        </w:tc>
        <w:tc>
          <w:tcPr>
            <w:tcW w:w="6550" w:type="dxa"/>
            <w:gridSpan w:val="2"/>
          </w:tcPr>
          <w:p>
            <w:pPr>
              <w:spacing w:line="500" w:lineRule="exact"/>
              <w:rPr>
                <w:rFonts w:ascii="Times New Roman" w:hAnsi="Times New Roman"/>
                <w:sz w:val="24"/>
                <w:szCs w:val="24"/>
              </w:rPr>
            </w:pPr>
            <w:r>
              <w:rPr>
                <w:rFonts w:ascii="Times New Roman" w:hAnsi="Times New Roman" w:cs="Arial"/>
                <w:sz w:val="24"/>
                <w:szCs w:val="24"/>
                <w:lang w:val="en-GB"/>
              </w:rPr>
              <w:sym w:font="Wingdings" w:char="F0A8"/>
            </w:r>
            <w:r>
              <w:rPr>
                <w:rFonts w:ascii="Times New Roman" w:hAnsi="Times New Roman" w:cs="Arial"/>
                <w:sz w:val="24"/>
                <w:szCs w:val="24"/>
                <w:lang w:val="en-GB"/>
              </w:rPr>
              <w:t xml:space="preserve"> </w:t>
            </w:r>
            <w:r>
              <w:rPr>
                <w:rFonts w:ascii="Times New Roman" w:hAnsi="Times New Roman"/>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1809" w:type="dxa"/>
            <w:shd w:val="clear" w:color="auto" w:fill="D9D9D9"/>
          </w:tcPr>
          <w:p>
            <w:pPr>
              <w:spacing w:line="500" w:lineRule="exact"/>
              <w:rPr>
                <w:rFonts w:ascii="Times New Roman" w:hAnsi="Times New Roman"/>
                <w:b/>
                <w:bCs/>
                <w:sz w:val="24"/>
                <w:szCs w:val="24"/>
              </w:rPr>
            </w:pPr>
            <w:r>
              <w:rPr>
                <w:rFonts w:ascii="Times New Roman" w:hAnsi="Times New Roman"/>
                <w:b/>
                <w:bCs/>
                <w:sz w:val="24"/>
                <w:szCs w:val="24"/>
              </w:rPr>
              <w:t>备注</w:t>
            </w:r>
          </w:p>
        </w:tc>
        <w:tc>
          <w:tcPr>
            <w:tcW w:w="6550" w:type="dxa"/>
            <w:gridSpan w:val="2"/>
          </w:tcPr>
          <w:p>
            <w:pPr>
              <w:widowControl/>
              <w:snapToGrid w:val="0"/>
              <w:rPr>
                <w:rFonts w:ascii="Times New Roman" w:hAnsi="Times New Roman"/>
                <w:sz w:val="24"/>
                <w:szCs w:val="24"/>
              </w:rPr>
            </w:pPr>
            <w:r>
              <w:rPr>
                <w:rFonts w:ascii="Times New Roman" w:hAnsi="Times New Roman"/>
                <w:sz w:val="24"/>
                <w:szCs w:val="24"/>
              </w:rPr>
              <w:t>相关市场及市场份额</w:t>
            </w:r>
            <w:r>
              <w:rPr>
                <w:rFonts w:hint="eastAsia" w:ascii="Times New Roman" w:hAnsi="Times New Roman"/>
                <w:sz w:val="24"/>
                <w:szCs w:val="24"/>
              </w:rPr>
              <w:t>：</w:t>
            </w:r>
          </w:p>
          <w:p>
            <w:pPr>
              <w:widowControl/>
              <w:snapToGrid w:val="0"/>
              <w:rPr>
                <w:rFonts w:ascii="Times New Roman" w:hAnsi="Times New Roman"/>
                <w:sz w:val="24"/>
                <w:szCs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9"/>
              <w:gridCol w:w="1730"/>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shd w:val="clear" w:color="auto" w:fill="D8D8D8" w:themeFill="background1" w:themeFillShade="D9"/>
                </w:tcPr>
                <w:p>
                  <w:pPr>
                    <w:snapToGrid w:val="0"/>
                    <w:spacing w:after="156" w:afterLines="50"/>
                    <w:rPr>
                      <w:rFonts w:ascii="Times New Roman" w:hAnsi="Times New Roman"/>
                      <w:b/>
                      <w:bCs/>
                      <w:sz w:val="24"/>
                      <w:szCs w:val="24"/>
                    </w:rPr>
                  </w:pPr>
                  <w:r>
                    <w:rPr>
                      <w:rFonts w:ascii="Times New Roman" w:hAnsi="Times New Roman"/>
                      <w:b/>
                      <w:bCs/>
                      <w:sz w:val="24"/>
                      <w:szCs w:val="24"/>
                    </w:rPr>
                    <w:t>相关商品市场</w:t>
                  </w:r>
                </w:p>
              </w:tc>
              <w:tc>
                <w:tcPr>
                  <w:tcW w:w="1843" w:type="dxa"/>
                  <w:shd w:val="clear" w:color="auto" w:fill="D8D8D8" w:themeFill="background1" w:themeFillShade="D9"/>
                </w:tcPr>
                <w:p>
                  <w:pPr>
                    <w:snapToGrid w:val="0"/>
                    <w:spacing w:after="156" w:afterLines="50"/>
                    <w:rPr>
                      <w:rFonts w:ascii="Times New Roman" w:hAnsi="Times New Roman"/>
                      <w:b/>
                      <w:bCs/>
                      <w:sz w:val="24"/>
                      <w:szCs w:val="24"/>
                    </w:rPr>
                  </w:pPr>
                  <w:r>
                    <w:rPr>
                      <w:rFonts w:ascii="Times New Roman" w:hAnsi="Times New Roman"/>
                      <w:b/>
                      <w:bCs/>
                      <w:sz w:val="24"/>
                      <w:szCs w:val="24"/>
                    </w:rPr>
                    <w:t>相关地域市场</w:t>
                  </w:r>
                </w:p>
              </w:tc>
              <w:tc>
                <w:tcPr>
                  <w:tcW w:w="2690" w:type="dxa"/>
                  <w:shd w:val="clear" w:color="auto" w:fill="D8D8D8" w:themeFill="background1" w:themeFillShade="D9"/>
                </w:tcPr>
                <w:p>
                  <w:pPr>
                    <w:snapToGrid w:val="0"/>
                    <w:spacing w:after="156" w:afterLines="50"/>
                    <w:rPr>
                      <w:rFonts w:ascii="Times New Roman" w:hAnsi="Times New Roman"/>
                      <w:b/>
                      <w:bCs/>
                      <w:sz w:val="24"/>
                      <w:szCs w:val="24"/>
                    </w:rPr>
                  </w:pPr>
                  <w:r>
                    <w:rPr>
                      <w:rFonts w:ascii="Times New Roman" w:hAnsi="Times New Roman"/>
                      <w:b/>
                      <w:bCs/>
                      <w:sz w:val="24"/>
                      <w:szCs w:val="24"/>
                    </w:rPr>
                    <w:t>市场份额数据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tcPr>
                <w:p>
                  <w:pPr>
                    <w:snapToGrid w:val="0"/>
                    <w:spacing w:after="156" w:afterLines="50"/>
                    <w:rPr>
                      <w:rFonts w:ascii="Times New Roman" w:hAnsi="Times New Roman"/>
                      <w:sz w:val="24"/>
                      <w:szCs w:val="24"/>
                    </w:rPr>
                  </w:pPr>
                  <w:r>
                    <w:rPr>
                      <w:rFonts w:hint="eastAsia" w:ascii="Times New Roman" w:hAnsi="Times New Roman"/>
                      <w:sz w:val="24"/>
                      <w:szCs w:val="24"/>
                    </w:rPr>
                    <w:t>智能物流输送系统市场</w:t>
                  </w:r>
                </w:p>
              </w:tc>
              <w:tc>
                <w:tcPr>
                  <w:tcW w:w="1843" w:type="dxa"/>
                </w:tcPr>
                <w:p>
                  <w:pPr>
                    <w:snapToGrid w:val="0"/>
                    <w:spacing w:after="156" w:afterLines="50"/>
                    <w:rPr>
                      <w:rFonts w:ascii="Times New Roman" w:hAnsi="Times New Roman"/>
                      <w:sz w:val="24"/>
                      <w:szCs w:val="24"/>
                    </w:rPr>
                  </w:pPr>
                  <w:r>
                    <w:rPr>
                      <w:rFonts w:hint="eastAsia" w:ascii="Times New Roman" w:hAnsi="Times New Roman"/>
                      <w:sz w:val="24"/>
                      <w:szCs w:val="24"/>
                    </w:rPr>
                    <w:t>中国境内</w:t>
                  </w:r>
                </w:p>
              </w:tc>
              <w:tc>
                <w:tcPr>
                  <w:tcW w:w="2690" w:type="dxa"/>
                </w:tcPr>
                <w:p>
                  <w:pPr>
                    <w:snapToGrid w:val="0"/>
                    <w:spacing w:after="156" w:afterLines="50"/>
                    <w:rPr>
                      <w:rFonts w:ascii="Times New Roman" w:hAnsi="Times New Roman"/>
                      <w:sz w:val="24"/>
                      <w:szCs w:val="24"/>
                    </w:rPr>
                  </w:pPr>
                  <w:r>
                    <w:rPr>
                      <w:rFonts w:hint="eastAsia" w:ascii="Times New Roman" w:hAnsi="Times New Roman"/>
                      <w:sz w:val="24"/>
                      <w:szCs w:val="24"/>
                    </w:rPr>
                    <w:t>东杰智能：[</w:t>
                  </w:r>
                  <w:r>
                    <w:rPr>
                      <w:rFonts w:ascii="Times New Roman" w:hAnsi="Times New Roman"/>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tcPr>
                <w:p>
                  <w:pPr>
                    <w:snapToGrid w:val="0"/>
                    <w:spacing w:after="156" w:afterLines="50"/>
                    <w:rPr>
                      <w:rFonts w:ascii="Times New Roman" w:hAnsi="Times New Roman"/>
                      <w:sz w:val="24"/>
                      <w:szCs w:val="24"/>
                    </w:rPr>
                  </w:pPr>
                  <w:r>
                    <w:rPr>
                      <w:rFonts w:hint="eastAsia" w:ascii="Times New Roman" w:hAnsi="Times New Roman"/>
                      <w:sz w:val="24"/>
                      <w:szCs w:val="24"/>
                    </w:rPr>
                    <w:t>智能物流仓储系统市场</w:t>
                  </w:r>
                </w:p>
              </w:tc>
              <w:tc>
                <w:tcPr>
                  <w:tcW w:w="1843" w:type="dxa"/>
                </w:tcPr>
                <w:p>
                  <w:pPr>
                    <w:snapToGrid w:val="0"/>
                    <w:spacing w:after="156" w:afterLines="50"/>
                    <w:rPr>
                      <w:rFonts w:ascii="Times New Roman" w:hAnsi="Times New Roman"/>
                      <w:sz w:val="24"/>
                      <w:szCs w:val="24"/>
                    </w:rPr>
                  </w:pPr>
                  <w:r>
                    <w:rPr>
                      <w:rFonts w:hint="eastAsia" w:ascii="Times New Roman" w:hAnsi="Times New Roman"/>
                      <w:sz w:val="24"/>
                      <w:szCs w:val="24"/>
                    </w:rPr>
                    <w:t>中国境内</w:t>
                  </w:r>
                </w:p>
              </w:tc>
              <w:tc>
                <w:tcPr>
                  <w:tcW w:w="2690" w:type="dxa"/>
                </w:tcPr>
                <w:p>
                  <w:pPr>
                    <w:snapToGrid w:val="0"/>
                    <w:spacing w:after="156" w:afterLines="50"/>
                    <w:rPr>
                      <w:rFonts w:ascii="Times New Roman" w:hAnsi="Times New Roman"/>
                      <w:sz w:val="24"/>
                      <w:szCs w:val="24"/>
                    </w:rPr>
                  </w:pPr>
                  <w:r>
                    <w:rPr>
                      <w:rFonts w:hint="eastAsia" w:ascii="Times New Roman" w:hAnsi="Times New Roman"/>
                      <w:sz w:val="24"/>
                      <w:szCs w:val="24"/>
                    </w:rPr>
                    <w:t>东杰智能：[</w:t>
                  </w:r>
                  <w:r>
                    <w:rPr>
                      <w:rFonts w:ascii="Times New Roman" w:hAnsi="Times New Roman"/>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tcPr>
                <w:p>
                  <w:pPr>
                    <w:snapToGrid w:val="0"/>
                    <w:spacing w:after="156" w:afterLines="50"/>
                    <w:rPr>
                      <w:rFonts w:ascii="Times New Roman" w:hAnsi="Times New Roman"/>
                      <w:sz w:val="24"/>
                      <w:szCs w:val="24"/>
                    </w:rPr>
                  </w:pPr>
                  <w:r>
                    <w:rPr>
                      <w:rFonts w:hint="eastAsia" w:ascii="Times New Roman" w:hAnsi="Times New Roman"/>
                      <w:sz w:val="24"/>
                      <w:szCs w:val="24"/>
                    </w:rPr>
                    <w:t>智能立体停车系统市场</w:t>
                  </w:r>
                </w:p>
              </w:tc>
              <w:tc>
                <w:tcPr>
                  <w:tcW w:w="1843" w:type="dxa"/>
                </w:tcPr>
                <w:p>
                  <w:pPr>
                    <w:snapToGrid w:val="0"/>
                    <w:spacing w:after="156" w:afterLines="50"/>
                    <w:rPr>
                      <w:rFonts w:ascii="Times New Roman" w:hAnsi="Times New Roman"/>
                      <w:sz w:val="24"/>
                      <w:szCs w:val="24"/>
                    </w:rPr>
                  </w:pPr>
                  <w:r>
                    <w:rPr>
                      <w:rFonts w:hint="eastAsia" w:ascii="Times New Roman" w:hAnsi="Times New Roman"/>
                      <w:sz w:val="24"/>
                      <w:szCs w:val="24"/>
                    </w:rPr>
                    <w:t>中国境内</w:t>
                  </w:r>
                </w:p>
              </w:tc>
              <w:tc>
                <w:tcPr>
                  <w:tcW w:w="2690" w:type="dxa"/>
                </w:tcPr>
                <w:p>
                  <w:pPr>
                    <w:snapToGrid w:val="0"/>
                    <w:spacing w:after="156" w:afterLines="50"/>
                    <w:rPr>
                      <w:rFonts w:ascii="Times New Roman" w:hAnsi="Times New Roman"/>
                      <w:sz w:val="24"/>
                      <w:szCs w:val="24"/>
                    </w:rPr>
                  </w:pPr>
                  <w:r>
                    <w:rPr>
                      <w:rFonts w:hint="eastAsia" w:ascii="Times New Roman" w:hAnsi="Times New Roman"/>
                      <w:sz w:val="24"/>
                      <w:szCs w:val="24"/>
                    </w:rPr>
                    <w:t>东杰智能：[</w:t>
                  </w:r>
                  <w:r>
                    <w:rPr>
                      <w:rFonts w:ascii="Times New Roman" w:hAnsi="Times New Roman"/>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tcPr>
                <w:p>
                  <w:pPr>
                    <w:snapToGrid w:val="0"/>
                    <w:spacing w:after="156" w:afterLines="50"/>
                    <w:rPr>
                      <w:rFonts w:ascii="Times New Roman" w:hAnsi="Times New Roman"/>
                      <w:sz w:val="24"/>
                      <w:szCs w:val="24"/>
                    </w:rPr>
                  </w:pPr>
                  <w:r>
                    <w:rPr>
                      <w:rFonts w:hint="eastAsia" w:ascii="Times New Roman" w:hAnsi="Times New Roman"/>
                      <w:sz w:val="24"/>
                      <w:szCs w:val="24"/>
                    </w:rPr>
                    <w:t>智能涂装生产系统市场</w:t>
                  </w:r>
                </w:p>
              </w:tc>
              <w:tc>
                <w:tcPr>
                  <w:tcW w:w="1843" w:type="dxa"/>
                </w:tcPr>
                <w:p>
                  <w:pPr>
                    <w:snapToGrid w:val="0"/>
                    <w:spacing w:after="156" w:afterLines="50"/>
                    <w:rPr>
                      <w:rFonts w:ascii="Times New Roman" w:hAnsi="Times New Roman"/>
                      <w:sz w:val="24"/>
                      <w:szCs w:val="24"/>
                    </w:rPr>
                  </w:pPr>
                  <w:r>
                    <w:rPr>
                      <w:rFonts w:hint="eastAsia" w:ascii="Times New Roman" w:hAnsi="Times New Roman"/>
                      <w:sz w:val="24"/>
                      <w:szCs w:val="24"/>
                    </w:rPr>
                    <w:t>中国境内</w:t>
                  </w:r>
                </w:p>
              </w:tc>
              <w:tc>
                <w:tcPr>
                  <w:tcW w:w="2690" w:type="dxa"/>
                </w:tcPr>
                <w:p>
                  <w:pPr>
                    <w:snapToGrid w:val="0"/>
                    <w:spacing w:after="156" w:afterLines="50"/>
                    <w:rPr>
                      <w:rFonts w:ascii="Times New Roman" w:hAnsi="Times New Roman"/>
                      <w:sz w:val="24"/>
                      <w:szCs w:val="24"/>
                    </w:rPr>
                  </w:pPr>
                  <w:r>
                    <w:rPr>
                      <w:rFonts w:hint="eastAsia" w:ascii="Times New Roman" w:hAnsi="Times New Roman"/>
                      <w:sz w:val="24"/>
                      <w:szCs w:val="24"/>
                    </w:rPr>
                    <w:t>东杰智能：[</w:t>
                  </w:r>
                  <w:r>
                    <w:rPr>
                      <w:rFonts w:ascii="Times New Roman" w:hAnsi="Times New Roman"/>
                      <w:sz w:val="24"/>
                      <w:szCs w:val="24"/>
                    </w:rPr>
                    <w:t>0-5]%</w:t>
                  </w:r>
                </w:p>
              </w:tc>
            </w:tr>
          </w:tbl>
          <w:p>
            <w:pPr>
              <w:widowControl/>
              <w:snapToGrid w:val="0"/>
              <w:ind w:left="420"/>
              <w:rPr>
                <w:rFonts w:ascii="Times New Roman" w:hAnsi="Times New Roman"/>
                <w:sz w:val="24"/>
                <w:szCs w:val="24"/>
              </w:rPr>
            </w:pPr>
          </w:p>
        </w:tc>
      </w:tr>
    </w:tbl>
    <w:p>
      <w:pPr>
        <w:snapToGrid w:val="0"/>
        <w:spacing w:line="240" w:lineRule="exact"/>
        <w:jc w:val="left"/>
        <w:rPr>
          <w:rFonts w:ascii="Times New Roman" w:hAnsi="Times New Roman"/>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9376438"/>
      <w:docPartObj>
        <w:docPartGallery w:val="AutoText"/>
      </w:docPartObj>
    </w:sdtPr>
    <w:sdtEndPr>
      <w:rPr>
        <w:rFonts w:ascii="Times New Roman" w:hAnsi="Times New Roman"/>
      </w:rPr>
    </w:sdtEndPr>
    <w:sdtContent>
      <w:sdt>
        <w:sdtPr>
          <w:id w:val="1728636285"/>
          <w:docPartObj>
            <w:docPartGallery w:val="AutoText"/>
          </w:docPartObj>
        </w:sdtPr>
        <w:sdtEndPr>
          <w:rPr>
            <w:rFonts w:ascii="Times New Roman" w:hAnsi="Times New Roman"/>
          </w:rPr>
        </w:sdtEndPr>
        <w:sdtContent>
          <w:p>
            <w:pPr>
              <w:pStyle w:val="5"/>
              <w:jc w:val="center"/>
              <w:rPr>
                <w:rFonts w:ascii="Times New Roman" w:hAnsi="Times New Roman"/>
              </w:rPr>
            </w:pPr>
            <w:r>
              <w:rPr>
                <w:rFonts w:ascii="Times New Roman" w:hAnsi="Times New Roman"/>
                <w:lang w:val="zh-CN"/>
              </w:rPr>
              <w:t xml:space="preserve"> </w:t>
            </w:r>
            <w:r>
              <w:rPr>
                <w:rFonts w:ascii="Times New Roman" w:hAnsi="Times New Roman"/>
                <w:b/>
                <w:bCs/>
                <w:sz w:val="24"/>
                <w:szCs w:val="24"/>
              </w:rPr>
              <w:fldChar w:fldCharType="begin"/>
            </w:r>
            <w:r>
              <w:rPr>
                <w:rFonts w:ascii="Times New Roman" w:hAnsi="Times New Roman"/>
                <w:b/>
                <w:bCs/>
              </w:rPr>
              <w:instrText xml:space="preserve">PAGE</w:instrText>
            </w:r>
            <w:r>
              <w:rPr>
                <w:rFonts w:ascii="Times New Roman" w:hAnsi="Times New Roman"/>
                <w:b/>
                <w:bCs/>
                <w:sz w:val="24"/>
                <w:szCs w:val="24"/>
              </w:rPr>
              <w:fldChar w:fldCharType="separate"/>
            </w:r>
            <w:r>
              <w:rPr>
                <w:rFonts w:ascii="Times New Roman" w:hAnsi="Times New Roman"/>
                <w:b/>
                <w:bCs/>
              </w:rPr>
              <w:t>1</w:t>
            </w:r>
            <w:r>
              <w:rPr>
                <w:rFonts w:ascii="Times New Roman" w:hAnsi="Times New Roman"/>
                <w:b/>
                <w:bCs/>
                <w:sz w:val="24"/>
                <w:szCs w:val="24"/>
              </w:rPr>
              <w:fldChar w:fldCharType="end"/>
            </w:r>
            <w:r>
              <w:rPr>
                <w:rFonts w:ascii="Times New Roman" w:hAnsi="Times New Roman"/>
                <w:lang w:val="zh-CN"/>
              </w:rPr>
              <w:t xml:space="preserve"> / </w:t>
            </w:r>
            <w:r>
              <w:rPr>
                <w:rFonts w:ascii="Times New Roman" w:hAnsi="Times New Roman"/>
                <w:b/>
                <w:bCs/>
                <w:sz w:val="24"/>
                <w:szCs w:val="24"/>
              </w:rPr>
              <w:fldChar w:fldCharType="begin"/>
            </w:r>
            <w:r>
              <w:rPr>
                <w:rFonts w:ascii="Times New Roman" w:hAnsi="Times New Roman"/>
                <w:b/>
                <w:bCs/>
              </w:rPr>
              <w:instrText xml:space="preserve">NUMPAGES</w:instrText>
            </w:r>
            <w:r>
              <w:rPr>
                <w:rFonts w:ascii="Times New Roman" w:hAnsi="Times New Roman"/>
                <w:b/>
                <w:bCs/>
                <w:sz w:val="24"/>
                <w:szCs w:val="24"/>
              </w:rPr>
              <w:fldChar w:fldCharType="separate"/>
            </w:r>
            <w:r>
              <w:rPr>
                <w:rFonts w:ascii="Times New Roman" w:hAnsi="Times New Roman"/>
                <w:b/>
                <w:bCs/>
              </w:rPr>
              <w:t>2</w:t>
            </w:r>
            <w:r>
              <w:rPr>
                <w:rFonts w:ascii="Times New Roman" w:hAnsi="Times New Roman"/>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6A4903"/>
    <w:multiLevelType w:val="multilevel"/>
    <w:tmpl w:val="1C6A49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05B69"/>
    <w:rsid w:val="00006080"/>
    <w:rsid w:val="0002587C"/>
    <w:rsid w:val="00045507"/>
    <w:rsid w:val="0005594E"/>
    <w:rsid w:val="00082738"/>
    <w:rsid w:val="00087D30"/>
    <w:rsid w:val="000917F0"/>
    <w:rsid w:val="00094095"/>
    <w:rsid w:val="000A3CA7"/>
    <w:rsid w:val="000B0EC8"/>
    <w:rsid w:val="000C5BC7"/>
    <w:rsid w:val="000E7FC9"/>
    <w:rsid w:val="00100B60"/>
    <w:rsid w:val="00113543"/>
    <w:rsid w:val="00117B9E"/>
    <w:rsid w:val="00137BCF"/>
    <w:rsid w:val="001417D8"/>
    <w:rsid w:val="00165964"/>
    <w:rsid w:val="001913F9"/>
    <w:rsid w:val="00192C2C"/>
    <w:rsid w:val="00193065"/>
    <w:rsid w:val="001B52E2"/>
    <w:rsid w:val="001C1B23"/>
    <w:rsid w:val="001E393B"/>
    <w:rsid w:val="0020313A"/>
    <w:rsid w:val="002128F6"/>
    <w:rsid w:val="002158DC"/>
    <w:rsid w:val="00233AB0"/>
    <w:rsid w:val="00245776"/>
    <w:rsid w:val="00262658"/>
    <w:rsid w:val="00266A6B"/>
    <w:rsid w:val="0029252D"/>
    <w:rsid w:val="002E2C9F"/>
    <w:rsid w:val="002E720A"/>
    <w:rsid w:val="002F2D60"/>
    <w:rsid w:val="00302FE1"/>
    <w:rsid w:val="003048E8"/>
    <w:rsid w:val="003061D7"/>
    <w:rsid w:val="00307976"/>
    <w:rsid w:val="0031093F"/>
    <w:rsid w:val="003145BC"/>
    <w:rsid w:val="00316B15"/>
    <w:rsid w:val="0032355A"/>
    <w:rsid w:val="003465A2"/>
    <w:rsid w:val="003C306B"/>
    <w:rsid w:val="003C75D7"/>
    <w:rsid w:val="003D3128"/>
    <w:rsid w:val="003D60DB"/>
    <w:rsid w:val="003F170C"/>
    <w:rsid w:val="003F22E1"/>
    <w:rsid w:val="003F4D5D"/>
    <w:rsid w:val="004030E1"/>
    <w:rsid w:val="00427074"/>
    <w:rsid w:val="00445F6B"/>
    <w:rsid w:val="00462174"/>
    <w:rsid w:val="004B00C8"/>
    <w:rsid w:val="004B3A56"/>
    <w:rsid w:val="004B3BA5"/>
    <w:rsid w:val="004C2586"/>
    <w:rsid w:val="00507D9C"/>
    <w:rsid w:val="00510798"/>
    <w:rsid w:val="00557102"/>
    <w:rsid w:val="00563A4C"/>
    <w:rsid w:val="00566CC7"/>
    <w:rsid w:val="00574F2D"/>
    <w:rsid w:val="005B533D"/>
    <w:rsid w:val="005C3D32"/>
    <w:rsid w:val="005D1309"/>
    <w:rsid w:val="005D1B7F"/>
    <w:rsid w:val="005F167B"/>
    <w:rsid w:val="005F5FFA"/>
    <w:rsid w:val="006113D3"/>
    <w:rsid w:val="00616F24"/>
    <w:rsid w:val="006300C0"/>
    <w:rsid w:val="006447F2"/>
    <w:rsid w:val="00644C5B"/>
    <w:rsid w:val="0067330C"/>
    <w:rsid w:val="00675286"/>
    <w:rsid w:val="00692DA5"/>
    <w:rsid w:val="006A4D58"/>
    <w:rsid w:val="006A4F76"/>
    <w:rsid w:val="006A5728"/>
    <w:rsid w:val="006B49BF"/>
    <w:rsid w:val="006D0734"/>
    <w:rsid w:val="006E4C68"/>
    <w:rsid w:val="006E6FC3"/>
    <w:rsid w:val="00720227"/>
    <w:rsid w:val="00720679"/>
    <w:rsid w:val="007364E2"/>
    <w:rsid w:val="0074694B"/>
    <w:rsid w:val="00785C5F"/>
    <w:rsid w:val="007A0249"/>
    <w:rsid w:val="007C000E"/>
    <w:rsid w:val="007C7803"/>
    <w:rsid w:val="008010AD"/>
    <w:rsid w:val="0080386C"/>
    <w:rsid w:val="008354FF"/>
    <w:rsid w:val="0084303C"/>
    <w:rsid w:val="008736FC"/>
    <w:rsid w:val="008750C5"/>
    <w:rsid w:val="008764AD"/>
    <w:rsid w:val="00877D76"/>
    <w:rsid w:val="00885D99"/>
    <w:rsid w:val="008926BD"/>
    <w:rsid w:val="0089745C"/>
    <w:rsid w:val="008A7ED7"/>
    <w:rsid w:val="008C10CC"/>
    <w:rsid w:val="008F634B"/>
    <w:rsid w:val="00900557"/>
    <w:rsid w:val="009134D0"/>
    <w:rsid w:val="0093344B"/>
    <w:rsid w:val="0095347A"/>
    <w:rsid w:val="009733B4"/>
    <w:rsid w:val="0097529A"/>
    <w:rsid w:val="00997099"/>
    <w:rsid w:val="009A7BF2"/>
    <w:rsid w:val="009B22D1"/>
    <w:rsid w:val="009B5555"/>
    <w:rsid w:val="009C1D9D"/>
    <w:rsid w:val="009C5ACB"/>
    <w:rsid w:val="009E544B"/>
    <w:rsid w:val="009F6CEF"/>
    <w:rsid w:val="009F7FE9"/>
    <w:rsid w:val="00A43A3E"/>
    <w:rsid w:val="00A67610"/>
    <w:rsid w:val="00A73519"/>
    <w:rsid w:val="00A73EC0"/>
    <w:rsid w:val="00A77BD3"/>
    <w:rsid w:val="00A85248"/>
    <w:rsid w:val="00AA1A78"/>
    <w:rsid w:val="00AB1BC4"/>
    <w:rsid w:val="00AD03B6"/>
    <w:rsid w:val="00AD646B"/>
    <w:rsid w:val="00AE4C10"/>
    <w:rsid w:val="00B01090"/>
    <w:rsid w:val="00B10439"/>
    <w:rsid w:val="00B34D88"/>
    <w:rsid w:val="00B357DC"/>
    <w:rsid w:val="00B60E5E"/>
    <w:rsid w:val="00BA0750"/>
    <w:rsid w:val="00BA16D2"/>
    <w:rsid w:val="00BA4F7F"/>
    <w:rsid w:val="00BA6F07"/>
    <w:rsid w:val="00BA7437"/>
    <w:rsid w:val="00BB2377"/>
    <w:rsid w:val="00BB3798"/>
    <w:rsid w:val="00BB4C43"/>
    <w:rsid w:val="00BC44C2"/>
    <w:rsid w:val="00BC6BEF"/>
    <w:rsid w:val="00BD3D34"/>
    <w:rsid w:val="00BD6EBE"/>
    <w:rsid w:val="00BF0D84"/>
    <w:rsid w:val="00BF6C60"/>
    <w:rsid w:val="00BF7F17"/>
    <w:rsid w:val="00C068D5"/>
    <w:rsid w:val="00C20325"/>
    <w:rsid w:val="00C24612"/>
    <w:rsid w:val="00C318CE"/>
    <w:rsid w:val="00C52346"/>
    <w:rsid w:val="00C761A3"/>
    <w:rsid w:val="00C76979"/>
    <w:rsid w:val="00C8184D"/>
    <w:rsid w:val="00C9068E"/>
    <w:rsid w:val="00CD148B"/>
    <w:rsid w:val="00CD25EE"/>
    <w:rsid w:val="00CD2BEC"/>
    <w:rsid w:val="00D001A9"/>
    <w:rsid w:val="00D011A0"/>
    <w:rsid w:val="00D21777"/>
    <w:rsid w:val="00D2453A"/>
    <w:rsid w:val="00D370A7"/>
    <w:rsid w:val="00D451A4"/>
    <w:rsid w:val="00D47988"/>
    <w:rsid w:val="00D515E7"/>
    <w:rsid w:val="00D73A38"/>
    <w:rsid w:val="00D76134"/>
    <w:rsid w:val="00DA3B19"/>
    <w:rsid w:val="00DC70AB"/>
    <w:rsid w:val="00DE39D7"/>
    <w:rsid w:val="00DE7DBD"/>
    <w:rsid w:val="00DF4BCE"/>
    <w:rsid w:val="00E11C0D"/>
    <w:rsid w:val="00E25016"/>
    <w:rsid w:val="00E32A0C"/>
    <w:rsid w:val="00E34BA1"/>
    <w:rsid w:val="00E54B29"/>
    <w:rsid w:val="00EB0EE6"/>
    <w:rsid w:val="00EC669A"/>
    <w:rsid w:val="00ED21B1"/>
    <w:rsid w:val="00ED4254"/>
    <w:rsid w:val="00EE2784"/>
    <w:rsid w:val="00EE4AF0"/>
    <w:rsid w:val="00F16269"/>
    <w:rsid w:val="00F234B2"/>
    <w:rsid w:val="00F26A0F"/>
    <w:rsid w:val="00F418F4"/>
    <w:rsid w:val="00F41E5F"/>
    <w:rsid w:val="00F42BAC"/>
    <w:rsid w:val="00F5086B"/>
    <w:rsid w:val="00F87C1F"/>
    <w:rsid w:val="00FD4A2C"/>
    <w:rsid w:val="00FE3C66"/>
    <w:rsid w:val="00FE4CAC"/>
    <w:rsid w:val="00FF2D6D"/>
    <w:rsid w:val="1B302F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2"/>
    <w:semiHidden/>
    <w:unhideWhenUsed/>
    <w:uiPriority w:val="99"/>
    <w:pPr>
      <w:jc w:val="left"/>
    </w:pPr>
  </w:style>
  <w:style w:type="paragraph" w:styleId="3">
    <w:name w:val="endnote text"/>
    <w:basedOn w:val="1"/>
    <w:link w:val="15"/>
    <w:semiHidden/>
    <w:unhideWhenUsed/>
    <w:uiPriority w:val="99"/>
    <w:pPr>
      <w:snapToGrid w:val="0"/>
      <w:jc w:val="left"/>
    </w:pPr>
  </w:style>
  <w:style w:type="paragraph" w:styleId="4">
    <w:name w:val="Balloon Text"/>
    <w:basedOn w:val="1"/>
    <w:link w:val="18"/>
    <w:semiHidden/>
    <w:unhideWhenUsed/>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1"/>
    <w:semiHidden/>
    <w:uiPriority w:val="99"/>
    <w:pPr>
      <w:snapToGrid w:val="0"/>
      <w:jc w:val="left"/>
    </w:pPr>
    <w:rPr>
      <w:rFonts w:ascii="Times New Roman" w:hAnsi="Times New Roman" w:eastAsia="PMingLiU"/>
      <w:sz w:val="20"/>
      <w:szCs w:val="20"/>
      <w:lang w:eastAsia="zh-TW"/>
    </w:rPr>
  </w:style>
  <w:style w:type="paragraph" w:styleId="8">
    <w:name w:val="annotation subject"/>
    <w:basedOn w:val="2"/>
    <w:next w:val="2"/>
    <w:link w:val="23"/>
    <w:semiHidden/>
    <w:unhideWhenUsed/>
    <w:uiPriority w:val="99"/>
    <w:rPr>
      <w:b/>
      <w:bCs/>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ndnote reference"/>
    <w:semiHidden/>
    <w:unhideWhenUsed/>
    <w:uiPriority w:val="99"/>
    <w:rPr>
      <w:vertAlign w:val="superscript"/>
    </w:rPr>
  </w:style>
  <w:style w:type="character" w:styleId="13">
    <w:name w:val="annotation reference"/>
    <w:basedOn w:val="11"/>
    <w:unhideWhenUsed/>
    <w:uiPriority w:val="0"/>
    <w:rPr>
      <w:sz w:val="21"/>
      <w:szCs w:val="21"/>
    </w:rPr>
  </w:style>
  <w:style w:type="character" w:styleId="14">
    <w:name w:val="footnote reference"/>
    <w:semiHidden/>
    <w:unhideWhenUsed/>
    <w:uiPriority w:val="99"/>
    <w:rPr>
      <w:vertAlign w:val="superscript"/>
    </w:rPr>
  </w:style>
  <w:style w:type="character" w:customStyle="1" w:styleId="15">
    <w:name w:val="尾注文本 Char"/>
    <w:basedOn w:val="11"/>
    <w:link w:val="3"/>
    <w:semiHidden/>
    <w:uiPriority w:val="99"/>
  </w:style>
  <w:style w:type="character" w:customStyle="1" w:styleId="16">
    <w:name w:val="页眉 Char"/>
    <w:link w:val="6"/>
    <w:uiPriority w:val="99"/>
    <w:rPr>
      <w:sz w:val="18"/>
      <w:szCs w:val="18"/>
    </w:rPr>
  </w:style>
  <w:style w:type="character" w:customStyle="1" w:styleId="17">
    <w:name w:val="页脚 Char"/>
    <w:link w:val="5"/>
    <w:uiPriority w:val="99"/>
    <w:rPr>
      <w:sz w:val="18"/>
      <w:szCs w:val="18"/>
    </w:rPr>
  </w:style>
  <w:style w:type="character" w:customStyle="1" w:styleId="18">
    <w:name w:val="批注框文本 Char"/>
    <w:link w:val="4"/>
    <w:semiHidden/>
    <w:uiPriority w:val="99"/>
    <w:rPr>
      <w:kern w:val="2"/>
      <w:sz w:val="18"/>
      <w:szCs w:val="18"/>
    </w:rPr>
  </w:style>
  <w:style w:type="paragraph" w:customStyle="1" w:styleId="19">
    <w:name w:val="列出段落1"/>
    <w:basedOn w:val="1"/>
    <w:qFormat/>
    <w:uiPriority w:val="34"/>
    <w:pPr>
      <w:ind w:firstLine="420" w:firstLineChars="200"/>
    </w:pPr>
  </w:style>
  <w:style w:type="paragraph" w:styleId="20">
    <w:name w:val="List Paragraph"/>
    <w:basedOn w:val="1"/>
    <w:qFormat/>
    <w:uiPriority w:val="34"/>
    <w:pPr>
      <w:ind w:firstLine="420" w:firstLineChars="200"/>
    </w:pPr>
  </w:style>
  <w:style w:type="character" w:customStyle="1" w:styleId="21">
    <w:name w:val="脚注文本 Char"/>
    <w:link w:val="7"/>
    <w:semiHidden/>
    <w:uiPriority w:val="99"/>
    <w:rPr>
      <w:rFonts w:ascii="Times New Roman" w:hAnsi="Times New Roman" w:eastAsia="PMingLiU"/>
      <w:kern w:val="2"/>
      <w:lang w:eastAsia="zh-TW"/>
    </w:rPr>
  </w:style>
  <w:style w:type="character" w:customStyle="1" w:styleId="22">
    <w:name w:val="批注文字 Char"/>
    <w:basedOn w:val="11"/>
    <w:link w:val="2"/>
    <w:semiHidden/>
    <w:uiPriority w:val="99"/>
    <w:rPr>
      <w:kern w:val="2"/>
      <w:sz w:val="21"/>
      <w:szCs w:val="22"/>
    </w:rPr>
  </w:style>
  <w:style w:type="character" w:customStyle="1" w:styleId="23">
    <w:name w:val="批注主题 Char"/>
    <w:basedOn w:val="22"/>
    <w:link w:val="8"/>
    <w:semiHidden/>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3B41E1-F7BA-4CD1-A7E8-25ADA0CD31EF}">
  <ds:schemaRefs/>
</ds:datastoreItem>
</file>

<file path=docProps/app.xml><?xml version="1.0" encoding="utf-8"?>
<Properties xmlns="http://schemas.openxmlformats.org/officeDocument/2006/extended-properties" xmlns:vt="http://schemas.openxmlformats.org/officeDocument/2006/docPropsVTypes">
  <Template>Normal</Template>
  <Company>新日鐵住金株式会社</Company>
  <Pages>2</Pages>
  <Words>132</Words>
  <Characters>754</Characters>
  <Lines>6</Lines>
  <Paragraphs>1</Paragraphs>
  <TotalTime>3829</TotalTime>
  <ScaleCrop>false</ScaleCrop>
  <LinksUpToDate>false</LinksUpToDate>
  <CharactersWithSpaces>885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2021-09-01T12:16:00Z</dcterms:created>
  <dc:creator>dell</dc:creator>
  <cp:lastModifiedBy>Lenovo</cp:lastModifiedBy>
  <cp:lastPrinted>2021-09-06T00:49:31Z</cp:lastPrinted>
  <dcterms:modified xsi:type="dcterms:W3CDTF">2021-09-06T03:12:51Z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