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30"/>
          <w:szCs w:val="30"/>
        </w:rPr>
        <w:t>经营者集中简易案件公示表</w:t>
      </w:r>
    </w:p>
    <w:p>
      <w:pPr>
        <w:spacing w:line="440" w:lineRule="exact"/>
        <w:rPr>
          <w:rFonts w:ascii="宋体" w:hAnsi="宋体"/>
          <w:sz w:val="28"/>
          <w:szCs w:val="28"/>
        </w:rPr>
      </w:pPr>
    </w:p>
    <w:tbl>
      <w:tblPr>
        <w:tblStyle w:val="6"/>
        <w:tblW w:w="904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559"/>
        <w:gridCol w:w="5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7203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</w:rPr>
              <w:t>泰光产业株式会社与株式会社LG化学新设合营企业案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44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7203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泰光产业株式会社（“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</w:rPr>
              <w:t>泰光产业</w:t>
            </w: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”）与株式会社L</w:t>
            </w:r>
            <w:r>
              <w:rPr>
                <w:rFonts w:ascii="宋体" w:hAnsi="宋体" w:cs="宋体"/>
                <w:color w:val="333333"/>
                <w:kern w:val="0"/>
                <w:sz w:val="22"/>
              </w:rPr>
              <w:t>G</w:t>
            </w: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化学（“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</w:rPr>
              <w:t>L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2"/>
              </w:rPr>
              <w:t>G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</w:rPr>
              <w:t>化学</w:t>
            </w: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”）拟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</w:rPr>
              <w:t>在韩国设立合营企业</w:t>
            </w:r>
            <w:r>
              <w:rPr>
                <w:rFonts w:ascii="宋体" w:hAnsi="宋体" w:cs="宋体"/>
                <w:color w:val="333333"/>
                <w:kern w:val="0"/>
                <w:sz w:val="22"/>
              </w:rPr>
              <w:t>TL Chemical Co.,Ltd.</w:t>
            </w: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（“目标公司”），双方将分别持有目标公司</w:t>
            </w:r>
            <w:r>
              <w:rPr>
                <w:rFonts w:ascii="宋体" w:hAnsi="宋体" w:cs="宋体"/>
                <w:color w:val="333333"/>
                <w:kern w:val="0"/>
                <w:sz w:val="22"/>
              </w:rPr>
              <w:t>60</w:t>
            </w: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%、4</w:t>
            </w:r>
            <w:r>
              <w:rPr>
                <w:rFonts w:ascii="宋体" w:hAnsi="宋体" w:cs="宋体"/>
                <w:color w:val="333333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%的股权。目标公司将由双方共同经营。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宋体" w:hAnsi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1、</w:t>
            </w: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泰光产业</w:t>
            </w:r>
          </w:p>
        </w:tc>
        <w:tc>
          <w:tcPr>
            <w:tcW w:w="5644" w:type="dxa"/>
          </w:tcPr>
          <w:p>
            <w:pPr>
              <w:spacing w:line="50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泰光产业为一家韩国公司，主营业务为石油化工、纤维产品的研发、生产与销售；土地、建筑物租赁；广播通信。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宋体" w:hAnsi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2、L</w:t>
            </w:r>
            <w:r>
              <w:rPr>
                <w:rFonts w:ascii="宋体" w:hAnsi="宋体" w:cs="宋体"/>
                <w:color w:val="333333"/>
                <w:kern w:val="0"/>
                <w:sz w:val="22"/>
              </w:rPr>
              <w:t>G</w:t>
            </w: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化学</w:t>
            </w:r>
          </w:p>
        </w:tc>
        <w:tc>
          <w:tcPr>
            <w:tcW w:w="5644" w:type="dxa"/>
          </w:tcPr>
          <w:p>
            <w:pPr>
              <w:spacing w:line="50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L</w:t>
            </w:r>
            <w:r>
              <w:rPr>
                <w:rFonts w:ascii="宋体" w:hAnsi="宋体" w:cs="宋体"/>
                <w:kern w:val="0"/>
                <w:sz w:val="22"/>
              </w:rPr>
              <w:t>G</w:t>
            </w:r>
            <w:r>
              <w:rPr>
                <w:rFonts w:hint="eastAsia" w:ascii="宋体" w:hAnsi="宋体" w:cs="宋体"/>
                <w:kern w:val="0"/>
                <w:sz w:val="22"/>
              </w:rPr>
              <w:t>化学为一家韩国公司，</w:t>
            </w:r>
            <w:r>
              <w:rPr>
                <w:rFonts w:ascii="宋体" w:hAnsi="宋体" w:cs="宋体"/>
                <w:kern w:val="0"/>
                <w:sz w:val="22"/>
              </w:rPr>
              <w:t>主营业务</w:t>
            </w:r>
            <w:r>
              <w:rPr>
                <w:rFonts w:hint="eastAsia" w:ascii="宋体" w:hAnsi="宋体" w:cs="宋体"/>
                <w:kern w:val="0"/>
                <w:sz w:val="22"/>
              </w:rPr>
              <w:t>为石油化工、电池材料、高新材料及生命科学。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7203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□ 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3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/>
                <w:sz w:val="22"/>
              </w:rPr>
              <w:sym w:font="Wingdings" w:char="F0FE"/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3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□</w:t>
            </w:r>
            <w:r>
              <w:rPr>
                <w:rFonts w:hint="eastAsia" w:ascii="宋体" w:hAnsi="宋体"/>
                <w:color w:val="333333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3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□ 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3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□ 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4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3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□ 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7203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相关市场界定及市场份额如下：</w:t>
            </w:r>
          </w:p>
          <w:p>
            <w:pPr>
              <w:pStyle w:val="9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宋体" w:hAnsi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</w:rPr>
              <w:t>产品市场：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</w:rPr>
              <w:t>A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2"/>
              </w:rPr>
              <w:t>N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</w:rPr>
              <w:t>（丙烯腈）市场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2"/>
                <w:lang w:eastAsia="zh-CN"/>
              </w:rPr>
              <w:t>（上游）</w:t>
            </w:r>
          </w:p>
          <w:p>
            <w:pPr>
              <w:pStyle w:val="9"/>
              <w:spacing w:line="500" w:lineRule="exact"/>
              <w:ind w:left="360" w:firstLine="0" w:firstLineChars="0"/>
              <w:rPr>
                <w:rFonts w:ascii="宋体" w:hAnsi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</w:rPr>
              <w:t>地域市场：全球市场</w:t>
            </w:r>
          </w:p>
          <w:p>
            <w:pPr>
              <w:pStyle w:val="9"/>
              <w:spacing w:line="500" w:lineRule="exact"/>
              <w:ind w:left="360" w:firstLine="0" w:firstLineChars="0"/>
              <w:rPr>
                <w:rFonts w:ascii="宋体" w:hAnsi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</w:rPr>
              <w:t>市场份额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2"/>
              </w:rPr>
              <w:t>（泰光产业）：[</w:t>
            </w:r>
            <w:r>
              <w:rPr>
                <w:rFonts w:ascii="宋体" w:hAnsi="宋体"/>
                <w:b/>
                <w:bCs/>
                <w:color w:val="333333"/>
                <w:kern w:val="0"/>
                <w:sz w:val="22"/>
              </w:rPr>
              <w:t>0-5]%</w:t>
            </w:r>
          </w:p>
          <w:p>
            <w:pPr>
              <w:pStyle w:val="9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宋体" w:hAnsi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</w:rPr>
              <w:t>产品市场：</w:t>
            </w:r>
            <w:r>
              <w:rPr>
                <w:rFonts w:ascii="宋体" w:hAnsi="宋体"/>
                <w:b/>
                <w:bCs/>
                <w:color w:val="333333"/>
                <w:kern w:val="0"/>
                <w:sz w:val="22"/>
              </w:rPr>
              <w:t>ABS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2"/>
              </w:rPr>
              <w:t>（丙烯腈-丁二烯-苯乙烯共聚物）市场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2"/>
                <w:lang w:eastAsia="zh-CN"/>
              </w:rPr>
              <w:t>（下游）</w:t>
            </w:r>
          </w:p>
          <w:p>
            <w:pPr>
              <w:pStyle w:val="9"/>
              <w:spacing w:line="500" w:lineRule="exact"/>
              <w:ind w:left="360" w:firstLine="0" w:firstLineChars="0"/>
              <w:rPr>
                <w:rFonts w:ascii="宋体" w:hAnsi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</w:rPr>
              <w:t>地域市场：全球市场</w:t>
            </w:r>
          </w:p>
          <w:p>
            <w:pPr>
              <w:pStyle w:val="9"/>
              <w:spacing w:line="500" w:lineRule="exact"/>
              <w:ind w:left="360" w:firstLine="0" w:firstLineChars="0"/>
              <w:rPr>
                <w:rFonts w:ascii="宋体" w:hAnsi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</w:rPr>
              <w:t>市场份额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2"/>
              </w:rPr>
              <w:t>（L</w:t>
            </w:r>
            <w:r>
              <w:rPr>
                <w:rFonts w:ascii="宋体" w:hAnsi="宋体"/>
                <w:b/>
                <w:bCs/>
                <w:color w:val="333333"/>
                <w:kern w:val="0"/>
                <w:sz w:val="22"/>
              </w:rPr>
              <w:t>G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2"/>
              </w:rPr>
              <w:t>化学）：[</w:t>
            </w:r>
            <w:r>
              <w:rPr>
                <w:rFonts w:ascii="宋体" w:hAnsi="宋体"/>
                <w:b/>
                <w:bCs/>
                <w:color w:val="333333"/>
                <w:kern w:val="0"/>
                <w:sz w:val="22"/>
              </w:rPr>
              <w:t>15-20]%</w:t>
            </w:r>
          </w:p>
          <w:p>
            <w:pPr>
              <w:pStyle w:val="9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宋体" w:hAnsi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</w:rPr>
              <w:t>产品市场：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2"/>
              </w:rPr>
              <w:t>NBL（丁腈胶乳）市场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2"/>
                <w:lang w:eastAsia="zh-CN"/>
              </w:rPr>
              <w:t>（下游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333333"/>
                <w:kern w:val="0"/>
                <w:sz w:val="22"/>
                <w:lang w:eastAsia="zh-CN"/>
              </w:rPr>
              <w:t>）</w:t>
            </w:r>
          </w:p>
          <w:p>
            <w:pPr>
              <w:pStyle w:val="9"/>
              <w:spacing w:line="500" w:lineRule="exact"/>
              <w:ind w:left="360" w:firstLine="0" w:firstLineChars="0"/>
              <w:rPr>
                <w:rFonts w:ascii="宋体" w:hAnsi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</w:rPr>
              <w:t>地域市场：全球市场</w:t>
            </w:r>
          </w:p>
          <w:p>
            <w:pPr>
              <w:pStyle w:val="9"/>
              <w:spacing w:line="500" w:lineRule="exact"/>
              <w:ind w:left="360" w:firstLine="0" w:firstLineChars="0"/>
              <w:rPr>
                <w:rFonts w:ascii="宋体" w:hAnsi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</w:rPr>
              <w:t>市场份额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2"/>
              </w:rPr>
              <w:t>（L</w:t>
            </w:r>
            <w:r>
              <w:rPr>
                <w:rFonts w:ascii="宋体" w:hAnsi="宋体"/>
                <w:b/>
                <w:bCs/>
                <w:color w:val="333333"/>
                <w:kern w:val="0"/>
                <w:sz w:val="22"/>
              </w:rPr>
              <w:t>G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2"/>
              </w:rPr>
              <w:t>化学）：[</w:t>
            </w:r>
            <w:r>
              <w:rPr>
                <w:rFonts w:ascii="宋体" w:hAnsi="宋体"/>
                <w:b/>
                <w:bCs/>
                <w:color w:val="333333"/>
                <w:kern w:val="0"/>
                <w:sz w:val="22"/>
              </w:rPr>
              <w:t>5-10]%</w:t>
            </w:r>
          </w:p>
        </w:tc>
      </w:tr>
    </w:tbl>
    <w:p>
      <w:pPr>
        <w:snapToGrid w:val="0"/>
        <w:spacing w:line="240" w:lineRule="exact"/>
        <w:jc w:val="left"/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2245"/>
    <w:multiLevelType w:val="multilevel"/>
    <w:tmpl w:val="39C3224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20F70"/>
    <w:rsid w:val="00033992"/>
    <w:rsid w:val="00037065"/>
    <w:rsid w:val="00044C2E"/>
    <w:rsid w:val="00071DB9"/>
    <w:rsid w:val="000D0411"/>
    <w:rsid w:val="000D7EBA"/>
    <w:rsid w:val="000F2AAD"/>
    <w:rsid w:val="0011009D"/>
    <w:rsid w:val="001114F0"/>
    <w:rsid w:val="0011343D"/>
    <w:rsid w:val="001164CD"/>
    <w:rsid w:val="00117C3B"/>
    <w:rsid w:val="00127E8C"/>
    <w:rsid w:val="00132FB6"/>
    <w:rsid w:val="00146E86"/>
    <w:rsid w:val="00155717"/>
    <w:rsid w:val="001837A3"/>
    <w:rsid w:val="00194E8A"/>
    <w:rsid w:val="001A54AC"/>
    <w:rsid w:val="00201F7D"/>
    <w:rsid w:val="00207330"/>
    <w:rsid w:val="002229A1"/>
    <w:rsid w:val="00225E73"/>
    <w:rsid w:val="00235BB0"/>
    <w:rsid w:val="00261874"/>
    <w:rsid w:val="00265BC1"/>
    <w:rsid w:val="0027128F"/>
    <w:rsid w:val="002C7D42"/>
    <w:rsid w:val="002E3520"/>
    <w:rsid w:val="003129B0"/>
    <w:rsid w:val="00331147"/>
    <w:rsid w:val="00343612"/>
    <w:rsid w:val="00377D8B"/>
    <w:rsid w:val="003C0AEB"/>
    <w:rsid w:val="003D5F30"/>
    <w:rsid w:val="003E083D"/>
    <w:rsid w:val="0040009B"/>
    <w:rsid w:val="004367D7"/>
    <w:rsid w:val="004A34FE"/>
    <w:rsid w:val="004A71D1"/>
    <w:rsid w:val="004B0AC8"/>
    <w:rsid w:val="004F7688"/>
    <w:rsid w:val="0051563C"/>
    <w:rsid w:val="005456FC"/>
    <w:rsid w:val="00563292"/>
    <w:rsid w:val="005B5194"/>
    <w:rsid w:val="005B6275"/>
    <w:rsid w:val="00604D24"/>
    <w:rsid w:val="006467D8"/>
    <w:rsid w:val="006A531B"/>
    <w:rsid w:val="006A5734"/>
    <w:rsid w:val="006F7693"/>
    <w:rsid w:val="00710140"/>
    <w:rsid w:val="00744337"/>
    <w:rsid w:val="00754DD1"/>
    <w:rsid w:val="00757220"/>
    <w:rsid w:val="007636B2"/>
    <w:rsid w:val="0078468D"/>
    <w:rsid w:val="007B10BE"/>
    <w:rsid w:val="007B6A37"/>
    <w:rsid w:val="007E6F03"/>
    <w:rsid w:val="007F2275"/>
    <w:rsid w:val="008145E3"/>
    <w:rsid w:val="008430D8"/>
    <w:rsid w:val="00850425"/>
    <w:rsid w:val="00871E72"/>
    <w:rsid w:val="008804AD"/>
    <w:rsid w:val="00892E63"/>
    <w:rsid w:val="008A5356"/>
    <w:rsid w:val="008C133E"/>
    <w:rsid w:val="008C2CA5"/>
    <w:rsid w:val="00915F0F"/>
    <w:rsid w:val="009270B1"/>
    <w:rsid w:val="009532DF"/>
    <w:rsid w:val="009718E3"/>
    <w:rsid w:val="00994DEF"/>
    <w:rsid w:val="00997019"/>
    <w:rsid w:val="009A5029"/>
    <w:rsid w:val="009D0359"/>
    <w:rsid w:val="009D38D5"/>
    <w:rsid w:val="009E009B"/>
    <w:rsid w:val="00A06A80"/>
    <w:rsid w:val="00A2755C"/>
    <w:rsid w:val="00A53F26"/>
    <w:rsid w:val="00A724CB"/>
    <w:rsid w:val="00A77E8F"/>
    <w:rsid w:val="00A966A1"/>
    <w:rsid w:val="00AA0CC5"/>
    <w:rsid w:val="00B00B81"/>
    <w:rsid w:val="00B112C0"/>
    <w:rsid w:val="00B16AFE"/>
    <w:rsid w:val="00B52A13"/>
    <w:rsid w:val="00B65DD5"/>
    <w:rsid w:val="00BC4542"/>
    <w:rsid w:val="00BD10B6"/>
    <w:rsid w:val="00C07076"/>
    <w:rsid w:val="00C47997"/>
    <w:rsid w:val="00C90A66"/>
    <w:rsid w:val="00CB00DF"/>
    <w:rsid w:val="00CB3A30"/>
    <w:rsid w:val="00CB45B2"/>
    <w:rsid w:val="00CD72DC"/>
    <w:rsid w:val="00D05CC8"/>
    <w:rsid w:val="00D65040"/>
    <w:rsid w:val="00D675E8"/>
    <w:rsid w:val="00D67A88"/>
    <w:rsid w:val="00D70162"/>
    <w:rsid w:val="00D73C72"/>
    <w:rsid w:val="00D74319"/>
    <w:rsid w:val="00E0592B"/>
    <w:rsid w:val="00E14C5F"/>
    <w:rsid w:val="00E17DC4"/>
    <w:rsid w:val="00E31738"/>
    <w:rsid w:val="00E47028"/>
    <w:rsid w:val="00E86786"/>
    <w:rsid w:val="00E94813"/>
    <w:rsid w:val="00E96145"/>
    <w:rsid w:val="00EB5445"/>
    <w:rsid w:val="00ED2F80"/>
    <w:rsid w:val="00F1624E"/>
    <w:rsid w:val="00F32F8A"/>
    <w:rsid w:val="00F40637"/>
    <w:rsid w:val="00F810AA"/>
    <w:rsid w:val="00FA539A"/>
    <w:rsid w:val="00FB0822"/>
    <w:rsid w:val="00FB43EC"/>
    <w:rsid w:val="00FB6B40"/>
    <w:rsid w:val="253567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MSG_EN_FONT_STYLE_NAME_TEMPLATE_ROLE MSG_EN_FONT_STYLE_NAME_BY_ROLE_TEXT_"/>
    <w:link w:val="8"/>
    <w:qFormat/>
    <w:locked/>
    <w:uiPriority w:val="0"/>
    <w:rPr>
      <w:sz w:val="22"/>
      <w:shd w:val="clear" w:color="auto" w:fill="FFFFFF"/>
    </w:rPr>
  </w:style>
  <w:style w:type="paragraph" w:customStyle="1" w:styleId="8">
    <w:name w:val="MSG_EN_FONT_STYLE_NAME_TEMPLATE_ROLE MSG_EN_FONT_STYLE_NAME_BY_ROLE_TEXT"/>
    <w:basedOn w:val="1"/>
    <w:link w:val="7"/>
    <w:qFormat/>
    <w:uiPriority w:val="0"/>
    <w:pPr>
      <w:shd w:val="clear" w:color="auto" w:fill="FFFFFF"/>
      <w:spacing w:before="480" w:line="518" w:lineRule="exact"/>
      <w:ind w:hanging="720"/>
      <w:jc w:val="center"/>
    </w:pPr>
    <w:rPr>
      <w:rFonts w:asciiTheme="minorHAnsi" w:hAnsiTheme="minorHAnsi" w:eastAsiaTheme="minorEastAsia" w:cstheme="minorBidi"/>
      <w:sz w:val="2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字符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636</Characters>
  <Lines>5</Lines>
  <Paragraphs>1</Paragraphs>
  <TotalTime>17</TotalTime>
  <ScaleCrop>false</ScaleCrop>
  <LinksUpToDate>false</LinksUpToDate>
  <CharactersWithSpaces>746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2021-07-23T06:52:00Z</dcterms:created>
  <dc:creator>陈媚</dc:creator>
  <cp:lastModifiedBy>武兴伟</cp:lastModifiedBy>
  <dcterms:modified xsi:type="dcterms:W3CDTF">2021-08-26T06:18:59Z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