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DF" w:rsidRPr="00CB00DF" w:rsidRDefault="00CB00DF" w:rsidP="00CB00DF">
      <w:pPr>
        <w:snapToGrid w:val="0"/>
        <w:spacing w:before="100" w:beforeAutospacing="1" w:after="100" w:afterAutospacing="1"/>
        <w:jc w:val="left"/>
        <w:rPr>
          <w:rFonts w:ascii="Times New Roman" w:hAnsi="Times New Roman"/>
          <w:b/>
          <w:szCs w:val="21"/>
        </w:rPr>
      </w:pPr>
      <w:r w:rsidRPr="00CB00DF">
        <w:rPr>
          <w:rFonts w:ascii="Times New Roman" w:hAnsi="Times New Roman" w:hint="eastAsia"/>
          <w:b/>
          <w:szCs w:val="21"/>
        </w:rPr>
        <w:t>附件</w:t>
      </w:r>
      <w:r w:rsidRPr="00CB00DF">
        <w:rPr>
          <w:rFonts w:ascii="Times New Roman" w:hAnsi="Times New Roman" w:hint="eastAsia"/>
          <w:b/>
          <w:szCs w:val="21"/>
        </w:rPr>
        <w:t>2</w:t>
      </w:r>
    </w:p>
    <w:p w:rsidR="00CB00DF" w:rsidRPr="008E7B8C" w:rsidRDefault="00CB00DF" w:rsidP="00CB00DF">
      <w:pPr>
        <w:spacing w:line="440" w:lineRule="exact"/>
        <w:jc w:val="center"/>
        <w:rPr>
          <w:rFonts w:ascii="黑体" w:eastAsia="黑体" w:hAnsi="Times New Roman"/>
          <w:sz w:val="30"/>
          <w:szCs w:val="30"/>
        </w:rPr>
      </w:pPr>
      <w:r w:rsidRPr="00202C4C">
        <w:rPr>
          <w:rFonts w:ascii="黑体" w:eastAsia="黑体" w:hAnsi="Times New Roman" w:hint="eastAsia"/>
          <w:sz w:val="30"/>
          <w:szCs w:val="30"/>
        </w:rPr>
        <w:t>经营者集中简易案件公示表</w:t>
      </w:r>
    </w:p>
    <w:p w:rsidR="00CB00DF" w:rsidRDefault="00CB00DF" w:rsidP="00CB00DF">
      <w:pPr>
        <w:spacing w:line="440" w:lineRule="exact"/>
        <w:rPr>
          <w:rFonts w:ascii="黑体" w:eastAsia="黑体" w:hAnsi="Times New Roman"/>
          <w:sz w:val="28"/>
          <w:szCs w:val="28"/>
        </w:rPr>
      </w:pPr>
    </w:p>
    <w:p w:rsidR="00CB00DF" w:rsidRPr="00BA1596" w:rsidRDefault="00CB00DF" w:rsidP="00CB00DF">
      <w:pPr>
        <w:spacing w:line="440" w:lineRule="exact"/>
        <w:ind w:firstLineChars="302" w:firstLine="846"/>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CB00DF" w:rsidRPr="00CB00DF" w:rsidTr="00CB00DF">
        <w:tc>
          <w:tcPr>
            <w:tcW w:w="1809" w:type="dxa"/>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案件名称</w:t>
            </w:r>
          </w:p>
        </w:tc>
        <w:tc>
          <w:tcPr>
            <w:tcW w:w="6949" w:type="dxa"/>
            <w:gridSpan w:val="2"/>
          </w:tcPr>
          <w:p w:rsidR="00CB00DF" w:rsidRPr="00CB00DF" w:rsidRDefault="007136B6" w:rsidP="006908A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中盐内蒙古化工股份有限公司收购青海发投碱业有限公司股权案</w:t>
            </w:r>
          </w:p>
        </w:tc>
      </w:tr>
      <w:tr w:rsidR="00CB00DF" w:rsidRPr="00CB00DF" w:rsidTr="00CB00DF">
        <w:trPr>
          <w:trHeight w:val="993"/>
        </w:trPr>
        <w:tc>
          <w:tcPr>
            <w:tcW w:w="1809" w:type="dxa"/>
            <w:shd w:val="clear" w:color="auto" w:fill="D9D9D9"/>
            <w:vAlign w:val="center"/>
          </w:tcPr>
          <w:p w:rsidR="00F1624E"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交易概况</w:t>
            </w:r>
          </w:p>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（限200字内）</w:t>
            </w:r>
          </w:p>
        </w:tc>
        <w:tc>
          <w:tcPr>
            <w:tcW w:w="6949" w:type="dxa"/>
            <w:gridSpan w:val="2"/>
          </w:tcPr>
          <w:p w:rsidR="00CB00DF" w:rsidRPr="00CB00DF" w:rsidRDefault="00CA74A2" w:rsidP="006908A4">
            <w:pPr>
              <w:spacing w:line="500" w:lineRule="exact"/>
              <w:rPr>
                <w:rFonts w:ascii="仿宋" w:eastAsia="仿宋" w:hAnsi="仿宋" w:cs="宋体"/>
                <w:color w:val="333333"/>
                <w:kern w:val="0"/>
                <w:sz w:val="24"/>
                <w:szCs w:val="24"/>
                <w:bdr w:val="none" w:sz="0" w:space="0" w:color="auto" w:frame="1"/>
              </w:rPr>
            </w:pPr>
            <w:r w:rsidRPr="00CA74A2">
              <w:rPr>
                <w:rFonts w:ascii="仿宋" w:eastAsia="仿宋" w:hAnsi="仿宋" w:cs="宋体" w:hint="eastAsia"/>
                <w:color w:val="333333"/>
                <w:kern w:val="0"/>
                <w:sz w:val="24"/>
                <w:szCs w:val="24"/>
                <w:bdr w:val="none" w:sz="0" w:space="0" w:color="auto" w:frame="1"/>
              </w:rPr>
              <w:t>中盐内蒙古化工股份有限公司</w:t>
            </w:r>
            <w:r w:rsidR="007B6DCF">
              <w:rPr>
                <w:rFonts w:ascii="仿宋" w:eastAsia="仿宋" w:hAnsi="仿宋" w:cs="宋体" w:hint="eastAsia"/>
                <w:color w:val="333333"/>
                <w:kern w:val="0"/>
                <w:sz w:val="24"/>
                <w:szCs w:val="24"/>
                <w:bdr w:val="none" w:sz="0" w:space="0" w:color="auto" w:frame="1"/>
              </w:rPr>
              <w:t>（“中盐化工”）</w:t>
            </w:r>
            <w:r>
              <w:rPr>
                <w:rFonts w:ascii="仿宋" w:eastAsia="仿宋" w:hAnsi="仿宋" w:cs="宋体" w:hint="eastAsia"/>
                <w:color w:val="333333"/>
                <w:kern w:val="0"/>
                <w:sz w:val="24"/>
                <w:szCs w:val="24"/>
                <w:bdr w:val="none" w:sz="0" w:space="0" w:color="auto" w:frame="1"/>
              </w:rPr>
              <w:t>在长沙联合产权交易所</w:t>
            </w:r>
            <w:r w:rsidRPr="00CA74A2">
              <w:rPr>
                <w:rFonts w:ascii="仿宋" w:eastAsia="仿宋" w:hAnsi="仿宋" w:cs="宋体" w:hint="eastAsia"/>
                <w:color w:val="333333"/>
                <w:kern w:val="0"/>
                <w:sz w:val="24"/>
                <w:szCs w:val="24"/>
                <w:bdr w:val="none" w:sz="0" w:space="0" w:color="auto" w:frame="1"/>
              </w:rPr>
              <w:t>以公开摘牌方式收购青海省国有资产投资管理有限公司持有的青海发投碱业有限公司</w:t>
            </w:r>
            <w:r w:rsidR="007B6DCF">
              <w:rPr>
                <w:rFonts w:ascii="仿宋" w:eastAsia="仿宋" w:hAnsi="仿宋" w:cs="宋体" w:hint="eastAsia"/>
                <w:color w:val="333333"/>
                <w:kern w:val="0"/>
                <w:sz w:val="24"/>
                <w:szCs w:val="24"/>
                <w:bdr w:val="none" w:sz="0" w:space="0" w:color="auto" w:frame="1"/>
              </w:rPr>
              <w:t>（“发投碱业”）</w:t>
            </w:r>
            <w:r w:rsidRPr="00CA74A2">
              <w:rPr>
                <w:rFonts w:ascii="仿宋" w:eastAsia="仿宋" w:hAnsi="仿宋" w:cs="宋体" w:hint="eastAsia"/>
                <w:color w:val="333333"/>
                <w:kern w:val="0"/>
                <w:sz w:val="24"/>
                <w:szCs w:val="24"/>
                <w:bdr w:val="none" w:sz="0" w:space="0" w:color="auto" w:frame="1"/>
              </w:rPr>
              <w:t>100%股权</w:t>
            </w:r>
            <w:r w:rsidR="00351985">
              <w:rPr>
                <w:rFonts w:ascii="仿宋" w:eastAsia="仿宋" w:hAnsi="仿宋" w:cs="宋体" w:hint="eastAsia"/>
                <w:color w:val="333333"/>
                <w:kern w:val="0"/>
                <w:sz w:val="24"/>
                <w:szCs w:val="24"/>
                <w:bdr w:val="none" w:sz="0" w:space="0" w:color="auto" w:frame="1"/>
              </w:rPr>
              <w:t>。</w:t>
            </w:r>
            <w:r w:rsidR="00351985" w:rsidRPr="00CB00DF">
              <w:rPr>
                <w:rFonts w:ascii="仿宋" w:eastAsia="仿宋" w:hAnsi="仿宋" w:cs="宋体"/>
                <w:color w:val="333333"/>
                <w:kern w:val="0"/>
                <w:sz w:val="24"/>
                <w:szCs w:val="24"/>
                <w:bdr w:val="none" w:sz="0" w:space="0" w:color="auto" w:frame="1"/>
              </w:rPr>
              <w:t xml:space="preserve"> </w:t>
            </w:r>
          </w:p>
        </w:tc>
      </w:tr>
      <w:tr w:rsidR="00CB00DF" w:rsidRPr="00CB00DF" w:rsidTr="00CB00DF">
        <w:trPr>
          <w:trHeight w:val="468"/>
        </w:trPr>
        <w:tc>
          <w:tcPr>
            <w:tcW w:w="1809" w:type="dxa"/>
            <w:vMerge w:val="restart"/>
            <w:shd w:val="clear" w:color="auto" w:fill="D9D9D9"/>
            <w:vAlign w:val="center"/>
          </w:tcPr>
          <w:p w:rsidR="00F1624E"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参与集中的</w:t>
            </w:r>
          </w:p>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经营者简介</w:t>
            </w:r>
          </w:p>
        </w:tc>
        <w:tc>
          <w:tcPr>
            <w:tcW w:w="1796" w:type="dxa"/>
          </w:tcPr>
          <w:p w:rsidR="00CB00DF" w:rsidRPr="00CB00DF" w:rsidRDefault="009D10F2" w:rsidP="006908A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1</w:t>
            </w:r>
            <w:r>
              <w:rPr>
                <w:rFonts w:ascii="仿宋" w:eastAsia="仿宋" w:hAnsi="仿宋" w:cs="宋体"/>
                <w:color w:val="333333"/>
                <w:kern w:val="0"/>
                <w:sz w:val="24"/>
                <w:szCs w:val="24"/>
                <w:bdr w:val="none" w:sz="0" w:space="0" w:color="auto" w:frame="1"/>
              </w:rPr>
              <w:t>.</w:t>
            </w:r>
            <w:r w:rsidR="00FB6606">
              <w:rPr>
                <w:rFonts w:ascii="仿宋" w:eastAsia="仿宋" w:hAnsi="仿宋" w:cs="宋体" w:hint="eastAsia"/>
                <w:color w:val="333333"/>
                <w:kern w:val="0"/>
                <w:sz w:val="24"/>
                <w:szCs w:val="24"/>
                <w:bdr w:val="none" w:sz="0" w:space="0" w:color="auto" w:frame="1"/>
              </w:rPr>
              <w:t>中盐化工</w:t>
            </w:r>
          </w:p>
        </w:tc>
        <w:tc>
          <w:tcPr>
            <w:tcW w:w="5153" w:type="dxa"/>
          </w:tcPr>
          <w:p w:rsidR="00CB00DF" w:rsidRPr="00CB00DF" w:rsidRDefault="007136B6" w:rsidP="006908A4">
            <w:pPr>
              <w:spacing w:line="500" w:lineRule="exact"/>
              <w:rPr>
                <w:rFonts w:ascii="仿宋" w:eastAsia="仿宋" w:hAnsi="仿宋" w:cs="宋体"/>
                <w:color w:val="333333"/>
                <w:kern w:val="0"/>
                <w:sz w:val="24"/>
                <w:szCs w:val="24"/>
                <w:bdr w:val="none" w:sz="0" w:space="0" w:color="auto" w:frame="1"/>
              </w:rPr>
            </w:pPr>
            <w:r w:rsidRPr="007136B6">
              <w:rPr>
                <w:rFonts w:ascii="仿宋" w:eastAsia="仿宋" w:hAnsi="仿宋" w:cs="宋体" w:hint="eastAsia"/>
                <w:color w:val="333333"/>
                <w:kern w:val="0"/>
                <w:sz w:val="24"/>
                <w:szCs w:val="24"/>
                <w:bdr w:val="none" w:sz="0" w:space="0" w:color="auto" w:frame="1"/>
              </w:rPr>
              <w:t>199</w:t>
            </w:r>
            <w:r w:rsidR="00351985">
              <w:rPr>
                <w:rFonts w:ascii="仿宋" w:eastAsia="仿宋" w:hAnsi="仿宋" w:cs="宋体"/>
                <w:color w:val="333333"/>
                <w:kern w:val="0"/>
                <w:sz w:val="24"/>
                <w:szCs w:val="24"/>
                <w:bdr w:val="none" w:sz="0" w:space="0" w:color="auto" w:frame="1"/>
              </w:rPr>
              <w:t>8</w:t>
            </w:r>
            <w:r w:rsidRPr="007136B6">
              <w:rPr>
                <w:rFonts w:ascii="仿宋" w:eastAsia="仿宋" w:hAnsi="仿宋" w:cs="宋体" w:hint="eastAsia"/>
                <w:color w:val="333333"/>
                <w:kern w:val="0"/>
                <w:sz w:val="24"/>
                <w:szCs w:val="24"/>
                <w:bdr w:val="none" w:sz="0" w:space="0" w:color="auto" w:frame="1"/>
              </w:rPr>
              <w:t>年成立"内蒙古兰太实业股份有限公司"，2000年在上海证券交易所挂牌上市（股票代码：600328），2020年6月更名为"中盐内蒙古化工股份有限公司"</w:t>
            </w:r>
            <w:r w:rsidR="00351985">
              <w:rPr>
                <w:rFonts w:ascii="仿宋" w:eastAsia="仿宋" w:hAnsi="仿宋" w:cs="宋体" w:hint="eastAsia"/>
                <w:color w:val="333333"/>
                <w:kern w:val="0"/>
                <w:sz w:val="24"/>
                <w:szCs w:val="24"/>
                <w:bdr w:val="none" w:sz="0" w:space="0" w:color="auto" w:frame="1"/>
              </w:rPr>
              <w:t>，法定代表人李德禄</w:t>
            </w:r>
            <w:r w:rsidRPr="007136B6">
              <w:rPr>
                <w:rFonts w:ascii="仿宋" w:eastAsia="仿宋" w:hAnsi="仿宋" w:cs="宋体" w:hint="eastAsia"/>
                <w:color w:val="333333"/>
                <w:kern w:val="0"/>
                <w:sz w:val="24"/>
                <w:szCs w:val="24"/>
                <w:bdr w:val="none" w:sz="0" w:space="0" w:color="auto" w:frame="1"/>
              </w:rPr>
              <w:t>。</w:t>
            </w:r>
            <w:r w:rsidR="00351985">
              <w:rPr>
                <w:rFonts w:ascii="仿宋" w:eastAsia="仿宋" w:hAnsi="仿宋" w:cs="宋体" w:hint="eastAsia"/>
                <w:color w:val="333333"/>
                <w:kern w:val="0"/>
                <w:sz w:val="24"/>
                <w:szCs w:val="24"/>
                <w:bdr w:val="none" w:sz="0" w:space="0" w:color="auto" w:frame="1"/>
              </w:rPr>
              <w:t>实际控制人中国盐业集团有限公司。</w:t>
            </w:r>
            <w:r w:rsidR="00351985" w:rsidRPr="00351985">
              <w:rPr>
                <w:rFonts w:ascii="仿宋" w:eastAsia="仿宋" w:hAnsi="仿宋" w:cs="宋体" w:hint="eastAsia"/>
                <w:color w:val="333333"/>
                <w:kern w:val="0"/>
                <w:sz w:val="24"/>
                <w:szCs w:val="24"/>
                <w:bdr w:val="none" w:sz="0" w:space="0" w:color="auto" w:frame="1"/>
              </w:rPr>
              <w:t>公司的主营业务为食盐业务、工业盐业务、盐化工业务和其他业务四大板块</w:t>
            </w:r>
            <w:r w:rsidRPr="007136B6">
              <w:rPr>
                <w:rFonts w:ascii="仿宋" w:eastAsia="仿宋" w:hAnsi="仿宋" w:cs="宋体" w:hint="eastAsia"/>
                <w:color w:val="333333"/>
                <w:kern w:val="0"/>
                <w:sz w:val="24"/>
                <w:szCs w:val="24"/>
                <w:bdr w:val="none" w:sz="0" w:space="0" w:color="auto" w:frame="1"/>
              </w:rPr>
              <w:t>。</w:t>
            </w:r>
          </w:p>
        </w:tc>
      </w:tr>
      <w:tr w:rsidR="00CB00DF" w:rsidRPr="00CB00DF" w:rsidTr="00CB00DF">
        <w:trPr>
          <w:trHeight w:val="404"/>
        </w:trPr>
        <w:tc>
          <w:tcPr>
            <w:tcW w:w="1809" w:type="dxa"/>
            <w:vMerge/>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1796" w:type="dxa"/>
          </w:tcPr>
          <w:p w:rsidR="00CB00DF" w:rsidRPr="00CB00DF" w:rsidRDefault="009D10F2" w:rsidP="006908A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2</w:t>
            </w:r>
            <w:r>
              <w:rPr>
                <w:rFonts w:ascii="仿宋" w:eastAsia="仿宋" w:hAnsi="仿宋" w:cs="宋体"/>
                <w:color w:val="333333"/>
                <w:kern w:val="0"/>
                <w:sz w:val="24"/>
                <w:szCs w:val="24"/>
                <w:bdr w:val="none" w:sz="0" w:space="0" w:color="auto" w:frame="1"/>
              </w:rPr>
              <w:t>.</w:t>
            </w:r>
            <w:r w:rsidR="00942D5B">
              <w:rPr>
                <w:rFonts w:ascii="仿宋" w:eastAsia="仿宋" w:hAnsi="仿宋" w:cs="宋体" w:hint="eastAsia"/>
                <w:color w:val="333333"/>
                <w:kern w:val="0"/>
                <w:sz w:val="24"/>
                <w:szCs w:val="24"/>
                <w:bdr w:val="none" w:sz="0" w:space="0" w:color="auto" w:frame="1"/>
              </w:rPr>
              <w:t>发投碱业</w:t>
            </w:r>
          </w:p>
        </w:tc>
        <w:tc>
          <w:tcPr>
            <w:tcW w:w="5153" w:type="dxa"/>
          </w:tcPr>
          <w:p w:rsidR="00CB00DF" w:rsidRPr="00CB00DF" w:rsidRDefault="007136B6" w:rsidP="006908A4">
            <w:pPr>
              <w:spacing w:line="500" w:lineRule="exact"/>
              <w:rPr>
                <w:rFonts w:ascii="仿宋" w:eastAsia="仿宋" w:hAnsi="仿宋" w:cs="宋体"/>
                <w:color w:val="333333"/>
                <w:kern w:val="0"/>
                <w:sz w:val="24"/>
                <w:szCs w:val="24"/>
                <w:bdr w:val="none" w:sz="0" w:space="0" w:color="auto" w:frame="1"/>
              </w:rPr>
            </w:pPr>
            <w:r w:rsidRPr="007136B6">
              <w:rPr>
                <w:rFonts w:ascii="仿宋" w:eastAsia="仿宋" w:hAnsi="仿宋" w:cs="宋体" w:hint="eastAsia"/>
                <w:color w:val="333333"/>
                <w:kern w:val="0"/>
                <w:sz w:val="24"/>
                <w:szCs w:val="24"/>
                <w:bdr w:val="none" w:sz="0" w:space="0" w:color="auto" w:frame="1"/>
              </w:rPr>
              <w:t>青海发投碱业有限公司于2014年04月08日在海西蒙古族藏族自治州市场监督管理局登记成立。法定代表人</w:t>
            </w:r>
            <w:r>
              <w:rPr>
                <w:rFonts w:ascii="仿宋" w:eastAsia="仿宋" w:hAnsi="仿宋" w:cs="宋体" w:hint="eastAsia"/>
                <w:color w:val="333333"/>
                <w:kern w:val="0"/>
                <w:sz w:val="24"/>
                <w:szCs w:val="24"/>
                <w:bdr w:val="none" w:sz="0" w:space="0" w:color="auto" w:frame="1"/>
              </w:rPr>
              <w:t>时春雷</w:t>
            </w:r>
            <w:r w:rsidRPr="007136B6">
              <w:rPr>
                <w:rFonts w:ascii="仿宋" w:eastAsia="仿宋" w:hAnsi="仿宋" w:cs="宋体" w:hint="eastAsia"/>
                <w:color w:val="333333"/>
                <w:kern w:val="0"/>
                <w:sz w:val="24"/>
                <w:szCs w:val="24"/>
                <w:bdr w:val="none" w:sz="0" w:space="0" w:color="auto" w:frame="1"/>
              </w:rPr>
              <w:t>，公司经营范围包括生产、销售纯碱产品及其副产品，矿产品、煤炭等。</w:t>
            </w:r>
          </w:p>
        </w:tc>
      </w:tr>
      <w:tr w:rsidR="00CB00DF" w:rsidRPr="00CB00DF" w:rsidTr="00CB00DF">
        <w:trPr>
          <w:trHeight w:val="279"/>
        </w:trPr>
        <w:tc>
          <w:tcPr>
            <w:tcW w:w="1809" w:type="dxa"/>
            <w:vMerge w:val="restart"/>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简易案件理由（可以单选，也可以多选）</w:t>
            </w:r>
          </w:p>
        </w:tc>
        <w:tc>
          <w:tcPr>
            <w:tcW w:w="6949" w:type="dxa"/>
            <w:gridSpan w:val="2"/>
          </w:tcPr>
          <w:p w:rsidR="00CB00DF" w:rsidRPr="00CB00DF" w:rsidRDefault="007136B6" w:rsidP="006908A4">
            <w:pPr>
              <w:spacing w:line="500" w:lineRule="exact"/>
              <w:rPr>
                <w:rFonts w:ascii="仿宋" w:eastAsia="仿宋" w:hAnsi="仿宋" w:cs="宋体"/>
                <w:color w:val="333333"/>
                <w:kern w:val="0"/>
                <w:sz w:val="24"/>
                <w:szCs w:val="24"/>
                <w:bdr w:val="none" w:sz="0" w:space="0" w:color="auto" w:frame="1"/>
              </w:rPr>
            </w:pPr>
            <w:r w:rsidRPr="007136B6">
              <w:rPr>
                <w:rFonts w:ascii="Segoe UI Emoji" w:eastAsia="仿宋" w:hAnsi="Segoe UI Emoji" w:cs="Segoe UI Emoji"/>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1</w:t>
            </w:r>
            <w:r w:rsid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在同一相关市场，所有参与集中的经营者所占市场份额之和小于15%。</w:t>
            </w:r>
          </w:p>
        </w:tc>
      </w:tr>
      <w:tr w:rsidR="00CB00DF" w:rsidRPr="00CB00DF" w:rsidTr="00CB00DF">
        <w:trPr>
          <w:trHeight w:val="330"/>
        </w:trPr>
        <w:tc>
          <w:tcPr>
            <w:tcW w:w="1809" w:type="dxa"/>
            <w:vMerge/>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rsidR="00CB00DF" w:rsidRPr="00CB00DF" w:rsidRDefault="007A15E2"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2</w:t>
            </w:r>
            <w:r w:rsid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存在上下游关系的参与集中的经营者，在上下游市场所占的市场份额均小于25%。</w:t>
            </w:r>
          </w:p>
        </w:tc>
      </w:tr>
      <w:tr w:rsidR="00CB00DF" w:rsidRPr="00CB00DF" w:rsidTr="00CB00DF">
        <w:trPr>
          <w:trHeight w:val="285"/>
        </w:trPr>
        <w:tc>
          <w:tcPr>
            <w:tcW w:w="1809" w:type="dxa"/>
            <w:vMerge/>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□3</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不在同一相关市场、也不存在上下游关系的参与集中的经营者，在与交易有关的每个市场所占的份额均小于25%。</w:t>
            </w:r>
          </w:p>
        </w:tc>
      </w:tr>
      <w:tr w:rsidR="00CB00DF" w:rsidRPr="00CB00DF" w:rsidTr="00CB00DF">
        <w:trPr>
          <w:trHeight w:val="870"/>
        </w:trPr>
        <w:tc>
          <w:tcPr>
            <w:tcW w:w="1809" w:type="dxa"/>
            <w:vMerge/>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□4</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参与集中的经营者在中国境外设立合营企业，合营企业不在中国境内从事经济活动。</w:t>
            </w:r>
          </w:p>
        </w:tc>
      </w:tr>
      <w:tr w:rsidR="00CB00DF" w:rsidRPr="00CB00DF" w:rsidTr="00CB00DF">
        <w:trPr>
          <w:trHeight w:val="264"/>
        </w:trPr>
        <w:tc>
          <w:tcPr>
            <w:tcW w:w="1809" w:type="dxa"/>
            <w:vMerge/>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□5</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参与集中的经营者收购境外企业股权或资产的，该境外企业不在中国境内从事经济活动。</w:t>
            </w:r>
          </w:p>
        </w:tc>
      </w:tr>
      <w:tr w:rsidR="00CB00DF" w:rsidRPr="00CB00DF" w:rsidTr="00CB00DF">
        <w:trPr>
          <w:trHeight w:val="345"/>
        </w:trPr>
        <w:tc>
          <w:tcPr>
            <w:tcW w:w="1809" w:type="dxa"/>
            <w:vMerge/>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□6</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由两个以上的经营者共同控制的合营企业，通过集中被其中一个或一个以上经营者控制。</w:t>
            </w:r>
          </w:p>
        </w:tc>
      </w:tr>
      <w:tr w:rsidR="00CB00DF" w:rsidRPr="00CB00DF" w:rsidTr="00CB00DF">
        <w:tc>
          <w:tcPr>
            <w:tcW w:w="1809" w:type="dxa"/>
            <w:shd w:val="clear" w:color="auto" w:fill="D9D9D9"/>
            <w:vAlign w:val="center"/>
          </w:tcPr>
          <w:p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备注</w:t>
            </w:r>
          </w:p>
        </w:tc>
        <w:tc>
          <w:tcPr>
            <w:tcW w:w="6949" w:type="dxa"/>
            <w:gridSpan w:val="2"/>
          </w:tcPr>
          <w:p w:rsidR="009D10F2" w:rsidRDefault="009D10F2" w:rsidP="009D10F2">
            <w:pPr>
              <w:spacing w:line="500" w:lineRule="exact"/>
              <w:rPr>
                <w:rFonts w:ascii="仿宋" w:eastAsia="仿宋" w:hAnsi="仿宋" w:cs="宋体"/>
                <w:color w:val="333333"/>
                <w:kern w:val="0"/>
                <w:sz w:val="24"/>
                <w:szCs w:val="24"/>
                <w:bdr w:val="none" w:sz="0" w:space="0" w:color="auto" w:frame="1"/>
              </w:rPr>
            </w:pPr>
            <w:r w:rsidRPr="009D10F2">
              <w:rPr>
                <w:rFonts w:ascii="仿宋" w:eastAsia="仿宋" w:hAnsi="仿宋" w:cs="宋体"/>
                <w:color w:val="333333"/>
                <w:kern w:val="0"/>
                <w:sz w:val="24"/>
                <w:szCs w:val="24"/>
                <w:bdr w:val="none" w:sz="0" w:space="0" w:color="auto" w:frame="1"/>
              </w:rPr>
              <w:t>相关</w:t>
            </w:r>
            <w:r w:rsidR="00351985">
              <w:rPr>
                <w:rFonts w:ascii="仿宋" w:eastAsia="仿宋" w:hAnsi="仿宋" w:cs="宋体" w:hint="eastAsia"/>
                <w:color w:val="333333"/>
                <w:kern w:val="0"/>
                <w:sz w:val="24"/>
                <w:szCs w:val="24"/>
                <w:bdr w:val="none" w:sz="0" w:space="0" w:color="auto" w:frame="1"/>
              </w:rPr>
              <w:t>产品市场</w:t>
            </w:r>
            <w:r w:rsidRPr="009D10F2">
              <w:rPr>
                <w:rFonts w:ascii="仿宋" w:eastAsia="仿宋" w:hAnsi="仿宋" w:cs="宋体" w:hint="eastAsia"/>
                <w:color w:val="333333"/>
                <w:kern w:val="0"/>
                <w:sz w:val="24"/>
                <w:szCs w:val="24"/>
                <w:bdr w:val="none" w:sz="0" w:space="0" w:color="auto" w:frame="1"/>
              </w:rPr>
              <w:t>：</w:t>
            </w:r>
            <w:r>
              <w:rPr>
                <w:rFonts w:ascii="仿宋" w:eastAsia="仿宋" w:hAnsi="仿宋" w:cs="宋体" w:hint="eastAsia"/>
                <w:color w:val="333333"/>
                <w:kern w:val="0"/>
                <w:sz w:val="24"/>
                <w:szCs w:val="24"/>
                <w:bdr w:val="none" w:sz="0" w:space="0" w:color="auto" w:frame="1"/>
              </w:rPr>
              <w:t>纯碱</w:t>
            </w:r>
          </w:p>
          <w:p w:rsidR="00351985" w:rsidRDefault="00351985" w:rsidP="009D10F2">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相关地域市场：中国境内市场</w:t>
            </w:r>
          </w:p>
          <w:p w:rsidR="00CB00DF" w:rsidRPr="00CB00DF" w:rsidRDefault="009D10F2" w:rsidP="006908A4">
            <w:pPr>
              <w:spacing w:line="500" w:lineRule="exact"/>
              <w:rPr>
                <w:rFonts w:ascii="仿宋" w:eastAsia="仿宋" w:hAnsi="仿宋" w:cs="宋体"/>
                <w:color w:val="333333"/>
                <w:kern w:val="0"/>
                <w:sz w:val="24"/>
                <w:szCs w:val="24"/>
                <w:bdr w:val="none" w:sz="0" w:space="0" w:color="auto" w:frame="1"/>
              </w:rPr>
            </w:pPr>
            <w:r w:rsidRPr="009D10F2">
              <w:rPr>
                <w:rFonts w:ascii="仿宋" w:eastAsia="仿宋" w:hAnsi="仿宋" w:cs="宋体"/>
                <w:color w:val="333333"/>
                <w:kern w:val="0"/>
                <w:sz w:val="24"/>
                <w:szCs w:val="24"/>
                <w:bdr w:val="none" w:sz="0" w:space="0" w:color="auto" w:frame="1"/>
              </w:rPr>
              <w:t>市场份额数据</w:t>
            </w:r>
            <w:r w:rsidR="007B6DCF">
              <w:rPr>
                <w:rFonts w:ascii="仿宋" w:eastAsia="仿宋" w:hAnsi="仿宋" w:cs="宋体" w:hint="eastAsia"/>
                <w:color w:val="333333"/>
                <w:kern w:val="0"/>
                <w:sz w:val="24"/>
                <w:szCs w:val="24"/>
                <w:bdr w:val="none" w:sz="0" w:space="0" w:color="auto" w:frame="1"/>
              </w:rPr>
              <w:t>:</w:t>
            </w:r>
            <w:r w:rsidR="0066721C">
              <w:rPr>
                <w:rFonts w:ascii="仿宋" w:eastAsia="仿宋" w:hAnsi="仿宋" w:cs="宋体" w:hint="eastAsia"/>
                <w:color w:val="333333"/>
                <w:kern w:val="0"/>
                <w:sz w:val="24"/>
                <w:szCs w:val="24"/>
                <w:bdr w:val="none" w:sz="0" w:space="0" w:color="auto" w:frame="1"/>
              </w:rPr>
              <w:t>中盐化工</w:t>
            </w:r>
            <w:r>
              <w:rPr>
                <w:rFonts w:ascii="仿宋" w:eastAsia="仿宋" w:hAnsi="仿宋" w:cs="宋体" w:hint="eastAsia"/>
                <w:color w:val="333333"/>
                <w:kern w:val="0"/>
                <w:sz w:val="24"/>
                <w:szCs w:val="24"/>
                <w:bdr w:val="none" w:sz="0" w:space="0" w:color="auto" w:frame="1"/>
              </w:rPr>
              <w:t>:</w:t>
            </w:r>
            <w:r w:rsidR="00B80BFC">
              <w:rPr>
                <w:rFonts w:ascii="仿宋" w:eastAsia="仿宋" w:hAnsi="仿宋" w:cs="宋体"/>
                <w:color w:val="333333"/>
                <w:kern w:val="0"/>
                <w:sz w:val="24"/>
                <w:szCs w:val="24"/>
                <w:bdr w:val="none" w:sz="0" w:space="0" w:color="auto" w:frame="1"/>
              </w:rPr>
              <w:t>1</w:t>
            </w:r>
            <w:r w:rsidR="00EE3BBF">
              <w:rPr>
                <w:rFonts w:ascii="仿宋" w:eastAsia="仿宋" w:hAnsi="仿宋" w:cs="宋体"/>
                <w:color w:val="333333"/>
                <w:kern w:val="0"/>
                <w:sz w:val="24"/>
                <w:szCs w:val="24"/>
                <w:bdr w:val="none" w:sz="0" w:space="0" w:color="auto" w:frame="1"/>
              </w:rPr>
              <w:t>0</w:t>
            </w:r>
            <w:r w:rsidR="00EE3BBF">
              <w:rPr>
                <w:rFonts w:ascii="仿宋" w:eastAsia="仿宋" w:hAnsi="仿宋" w:cs="宋体" w:hint="eastAsia"/>
                <w:color w:val="333333"/>
                <w:kern w:val="0"/>
                <w:sz w:val="24"/>
                <w:szCs w:val="24"/>
                <w:bdr w:val="none" w:sz="0" w:space="0" w:color="auto" w:frame="1"/>
              </w:rPr>
              <w:t>%</w:t>
            </w:r>
            <w:r w:rsidR="00B80BFC">
              <w:rPr>
                <w:rFonts w:ascii="仿宋" w:eastAsia="仿宋" w:hAnsi="仿宋" w:cs="宋体" w:hint="eastAsia"/>
                <w:color w:val="333333"/>
                <w:kern w:val="0"/>
                <w:sz w:val="24"/>
                <w:szCs w:val="24"/>
                <w:bdr w:val="none" w:sz="0" w:space="0" w:color="auto" w:frame="1"/>
              </w:rPr>
              <w:t>-</w:t>
            </w:r>
            <w:r w:rsidR="007B6DCF">
              <w:rPr>
                <w:rFonts w:ascii="仿宋" w:eastAsia="仿宋" w:hAnsi="仿宋" w:cs="宋体"/>
                <w:color w:val="333333"/>
                <w:kern w:val="0"/>
                <w:sz w:val="24"/>
                <w:szCs w:val="24"/>
                <w:bdr w:val="none" w:sz="0" w:space="0" w:color="auto" w:frame="1"/>
              </w:rPr>
              <w:t>1</w:t>
            </w:r>
            <w:r w:rsidR="00B80BFC">
              <w:rPr>
                <w:rFonts w:ascii="仿宋" w:eastAsia="仿宋" w:hAnsi="仿宋" w:cs="宋体"/>
                <w:color w:val="333333"/>
                <w:kern w:val="0"/>
                <w:sz w:val="24"/>
                <w:szCs w:val="24"/>
                <w:bdr w:val="none" w:sz="0" w:space="0" w:color="auto" w:frame="1"/>
              </w:rPr>
              <w:t>5</w:t>
            </w:r>
            <w:r w:rsidR="0066721C" w:rsidRPr="00387D3E">
              <w:rPr>
                <w:rFonts w:ascii="仿宋" w:eastAsia="仿宋" w:hAnsi="仿宋" w:cs="宋体"/>
                <w:color w:val="333333"/>
                <w:kern w:val="0"/>
                <w:sz w:val="24"/>
                <w:szCs w:val="24"/>
                <w:bdr w:val="none" w:sz="0" w:space="0" w:color="auto" w:frame="1"/>
              </w:rPr>
              <w:t>%</w:t>
            </w:r>
            <w:r w:rsidR="007B6DCF">
              <w:rPr>
                <w:rFonts w:ascii="仿宋" w:eastAsia="仿宋" w:hAnsi="仿宋" w:cs="宋体" w:hint="eastAsia"/>
                <w:color w:val="333333"/>
                <w:kern w:val="0"/>
                <w:sz w:val="24"/>
                <w:szCs w:val="24"/>
                <w:bdr w:val="none" w:sz="0" w:space="0" w:color="auto" w:frame="1"/>
              </w:rPr>
              <w:t>；</w:t>
            </w:r>
            <w:r w:rsidR="00CA74A2" w:rsidRPr="00387D3E">
              <w:rPr>
                <w:rFonts w:ascii="仿宋" w:eastAsia="仿宋" w:hAnsi="仿宋" w:cs="宋体" w:hint="eastAsia"/>
                <w:color w:val="333333"/>
                <w:kern w:val="0"/>
                <w:sz w:val="24"/>
                <w:szCs w:val="24"/>
                <w:bdr w:val="none" w:sz="0" w:space="0" w:color="auto" w:frame="1"/>
              </w:rPr>
              <w:t>发投碱业</w:t>
            </w:r>
            <w:r w:rsidR="007B6DCF">
              <w:rPr>
                <w:rFonts w:ascii="仿宋" w:eastAsia="仿宋" w:hAnsi="仿宋" w:cs="宋体" w:hint="eastAsia"/>
                <w:color w:val="333333"/>
                <w:kern w:val="0"/>
                <w:sz w:val="24"/>
                <w:szCs w:val="24"/>
                <w:bdr w:val="none" w:sz="0" w:space="0" w:color="auto" w:frame="1"/>
              </w:rPr>
              <w:t>：</w:t>
            </w:r>
            <w:r w:rsidR="00B80BFC">
              <w:rPr>
                <w:rFonts w:ascii="仿宋" w:eastAsia="仿宋" w:hAnsi="仿宋" w:cs="宋体"/>
                <w:color w:val="333333"/>
                <w:kern w:val="0"/>
                <w:sz w:val="24"/>
                <w:szCs w:val="24"/>
                <w:bdr w:val="none" w:sz="0" w:space="0" w:color="auto" w:frame="1"/>
              </w:rPr>
              <w:t>0</w:t>
            </w:r>
            <w:r w:rsidR="00EE3BBF">
              <w:rPr>
                <w:rFonts w:ascii="仿宋" w:eastAsia="仿宋" w:hAnsi="仿宋" w:cs="宋体" w:hint="eastAsia"/>
                <w:color w:val="333333"/>
                <w:kern w:val="0"/>
                <w:sz w:val="24"/>
                <w:szCs w:val="24"/>
                <w:bdr w:val="none" w:sz="0" w:space="0" w:color="auto" w:frame="1"/>
              </w:rPr>
              <w:t>%</w:t>
            </w:r>
            <w:bookmarkStart w:id="0" w:name="_GoBack"/>
            <w:bookmarkEnd w:id="0"/>
            <w:r w:rsidR="00B80BFC">
              <w:rPr>
                <w:rFonts w:ascii="仿宋" w:eastAsia="仿宋" w:hAnsi="仿宋" w:cs="宋体" w:hint="eastAsia"/>
                <w:color w:val="333333"/>
                <w:kern w:val="0"/>
                <w:sz w:val="24"/>
                <w:szCs w:val="24"/>
                <w:bdr w:val="none" w:sz="0" w:space="0" w:color="auto" w:frame="1"/>
              </w:rPr>
              <w:t>-</w:t>
            </w:r>
            <w:r w:rsidR="00B80BFC">
              <w:rPr>
                <w:rFonts w:ascii="仿宋" w:eastAsia="仿宋" w:hAnsi="仿宋" w:cs="宋体"/>
                <w:color w:val="333333"/>
                <w:kern w:val="0"/>
                <w:sz w:val="24"/>
                <w:szCs w:val="24"/>
                <w:bdr w:val="none" w:sz="0" w:space="0" w:color="auto" w:frame="1"/>
              </w:rPr>
              <w:t>5</w:t>
            </w:r>
            <w:r w:rsidR="0066721C" w:rsidRPr="00387D3E">
              <w:rPr>
                <w:rFonts w:ascii="仿宋" w:eastAsia="仿宋" w:hAnsi="仿宋" w:cs="宋体"/>
                <w:color w:val="333333"/>
                <w:kern w:val="0"/>
                <w:sz w:val="24"/>
                <w:szCs w:val="24"/>
                <w:bdr w:val="none" w:sz="0" w:space="0" w:color="auto" w:frame="1"/>
              </w:rPr>
              <w:t>%</w:t>
            </w:r>
            <w:r w:rsidR="0066721C" w:rsidRPr="00387D3E">
              <w:rPr>
                <w:rFonts w:ascii="仿宋" w:eastAsia="仿宋" w:hAnsi="仿宋" w:cs="宋体" w:hint="eastAsia"/>
                <w:color w:val="333333"/>
                <w:kern w:val="0"/>
                <w:sz w:val="24"/>
                <w:szCs w:val="24"/>
                <w:bdr w:val="none" w:sz="0" w:space="0" w:color="auto" w:frame="1"/>
              </w:rPr>
              <w:t>。</w:t>
            </w:r>
          </w:p>
        </w:tc>
      </w:tr>
    </w:tbl>
    <w:p w:rsidR="00CB00DF" w:rsidRDefault="00CB00DF" w:rsidP="00CB00DF">
      <w:pPr>
        <w:snapToGrid w:val="0"/>
        <w:spacing w:line="240" w:lineRule="exact"/>
        <w:jc w:val="left"/>
        <w:rPr>
          <w:rFonts w:ascii="楷体_GB2312" w:eastAsia="楷体_GB2312" w:hAnsi="宋体"/>
          <w:sz w:val="24"/>
          <w:szCs w:val="24"/>
        </w:rPr>
      </w:pPr>
    </w:p>
    <w:p w:rsidR="00CB00DF" w:rsidRPr="00CB00DF" w:rsidRDefault="00CB00DF" w:rsidP="00CB00DF">
      <w:pPr>
        <w:snapToGrid w:val="0"/>
        <w:spacing w:line="240" w:lineRule="exact"/>
        <w:jc w:val="left"/>
        <w:rPr>
          <w:rFonts w:ascii="方正仿宋_GBK" w:eastAsia="方正仿宋_GBK" w:hAnsi="宋体"/>
          <w:sz w:val="24"/>
          <w:szCs w:val="24"/>
        </w:rPr>
      </w:pPr>
      <w:r w:rsidRPr="00CB00DF">
        <w:rPr>
          <w:rFonts w:ascii="方正仿宋_GBK" w:eastAsia="方正仿宋_GBK" w:hAnsi="宋体" w:hint="eastAsia"/>
          <w:sz w:val="24"/>
          <w:szCs w:val="24"/>
        </w:rPr>
        <w:t>注解：</w:t>
      </w:r>
    </w:p>
    <w:p w:rsidR="00CB00DF" w:rsidRPr="00CB00DF" w:rsidRDefault="00CB00DF" w:rsidP="00CB00DF">
      <w:pPr>
        <w:snapToGrid w:val="0"/>
        <w:spacing w:line="360" w:lineRule="auto"/>
        <w:ind w:firstLineChars="200" w:firstLine="480"/>
        <w:jc w:val="left"/>
        <w:rPr>
          <w:rFonts w:ascii="方正仿宋_GBK" w:eastAsia="方正仿宋_GBK" w:hAnsi="宋体"/>
          <w:sz w:val="24"/>
          <w:szCs w:val="24"/>
        </w:rPr>
      </w:pPr>
      <w:r w:rsidRPr="00CB00DF">
        <w:rPr>
          <w:rFonts w:ascii="方正仿宋_GBK" w:eastAsia="方正仿宋_GBK" w:hAnsi="宋体" w:hint="eastAsia"/>
          <w:sz w:val="24"/>
          <w:szCs w:val="24"/>
        </w:rPr>
        <w:t>1</w:t>
      </w:r>
      <w:r>
        <w:rPr>
          <w:rFonts w:ascii="方正仿宋_GBK" w:eastAsia="方正仿宋_GBK" w:hAnsi="宋体" w:hint="eastAsia"/>
          <w:sz w:val="24"/>
          <w:szCs w:val="24"/>
        </w:rPr>
        <w:t>.</w:t>
      </w:r>
      <w:r w:rsidRPr="00CB00DF">
        <w:rPr>
          <w:rFonts w:ascii="方正仿宋_GBK" w:eastAsia="方正仿宋_GBK" w:hAnsi="宋体" w:hint="eastAsia"/>
          <w:sz w:val="24"/>
          <w:szCs w:val="24"/>
        </w:rPr>
        <w:t>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rsidR="00CB00DF" w:rsidRPr="00CB00DF" w:rsidRDefault="00CB00DF" w:rsidP="00CB00DF">
      <w:pPr>
        <w:spacing w:line="360" w:lineRule="auto"/>
        <w:ind w:firstLineChars="200" w:firstLine="480"/>
        <w:rPr>
          <w:rFonts w:ascii="方正仿宋_GBK" w:eastAsia="方正仿宋_GBK" w:hAnsi="Times New Roman"/>
          <w:sz w:val="28"/>
          <w:szCs w:val="28"/>
        </w:rPr>
      </w:pPr>
      <w:r w:rsidRPr="00CB00DF">
        <w:rPr>
          <w:rFonts w:ascii="方正仿宋_GBK" w:eastAsia="方正仿宋_GBK" w:hAnsi="宋体" w:hint="eastAsia"/>
          <w:sz w:val="24"/>
          <w:szCs w:val="24"/>
        </w:rPr>
        <w:t>2</w:t>
      </w:r>
      <w:r>
        <w:rPr>
          <w:rFonts w:ascii="方正仿宋_GBK" w:eastAsia="方正仿宋_GBK" w:hAnsi="宋体" w:hint="eastAsia"/>
          <w:sz w:val="24"/>
          <w:szCs w:val="24"/>
        </w:rPr>
        <w:t>.</w:t>
      </w:r>
      <w:r w:rsidRPr="00CB00DF">
        <w:rPr>
          <w:rFonts w:ascii="方正仿宋_GBK" w:eastAsia="方正仿宋_GBK" w:hAnsi="宋体" w:hint="eastAsia"/>
          <w:sz w:val="24"/>
          <w:szCs w:val="24"/>
        </w:rPr>
        <w:t>申报方申请简易案件的理由是基于第4项、第5项时，无须在备注中说明相关市场和市场份额。</w:t>
      </w:r>
      <w:r w:rsidRPr="00CB00DF">
        <w:rPr>
          <w:rFonts w:ascii="方正仿宋_GBK" w:eastAsia="方正仿宋_GBK" w:hAnsi="宋体" w:hint="eastAsia"/>
          <w:sz w:val="24"/>
          <w:szCs w:val="24"/>
        </w:rPr>
        <w:br/>
        <w:t xml:space="preserve">    3</w:t>
      </w:r>
      <w:r>
        <w:rPr>
          <w:rFonts w:ascii="方正仿宋_GBK" w:eastAsia="方正仿宋_GBK" w:hAnsi="宋体" w:hint="eastAsia"/>
          <w:sz w:val="24"/>
          <w:szCs w:val="24"/>
        </w:rPr>
        <w:t>.</w:t>
      </w:r>
      <w:r w:rsidRPr="00CB00DF">
        <w:rPr>
          <w:rFonts w:ascii="方正仿宋_GBK" w:eastAsia="方正仿宋_GBK" w:hAnsi="宋体" w:hint="eastAsia"/>
          <w:sz w:val="24"/>
          <w:szCs w:val="24"/>
        </w:rPr>
        <w:t>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rsidR="00CB00DF" w:rsidRDefault="00CB00DF" w:rsidP="00CB00DF"/>
    <w:p w:rsidR="000F5E24" w:rsidRPr="00CB00DF" w:rsidRDefault="000744E5"/>
    <w:sectPr w:rsidR="000F5E24"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E5" w:rsidRDefault="000744E5" w:rsidP="00387D3E">
      <w:r>
        <w:separator/>
      </w:r>
    </w:p>
  </w:endnote>
  <w:endnote w:type="continuationSeparator" w:id="0">
    <w:p w:rsidR="000744E5" w:rsidRDefault="000744E5" w:rsidP="0038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楷体_GB2312">
    <w:altName w:val="楷体"/>
    <w:charset w:val="86"/>
    <w:family w:val="modern"/>
    <w:pitch w:val="default"/>
    <w:sig w:usb0="00000000" w:usb1="00000000" w:usb2="00000010" w:usb3="00000000" w:csb0="00040000" w:csb1="00000000"/>
  </w:font>
  <w:font w:name="方正仿宋_GBK">
    <w:altName w:val="宋体"/>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E5" w:rsidRDefault="000744E5" w:rsidP="00387D3E">
      <w:r>
        <w:separator/>
      </w:r>
    </w:p>
  </w:footnote>
  <w:footnote w:type="continuationSeparator" w:id="0">
    <w:p w:rsidR="000744E5" w:rsidRDefault="000744E5" w:rsidP="0038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37065"/>
    <w:rsid w:val="000744E5"/>
    <w:rsid w:val="000D7EBA"/>
    <w:rsid w:val="001164CD"/>
    <w:rsid w:val="00155717"/>
    <w:rsid w:val="001837A3"/>
    <w:rsid w:val="00351985"/>
    <w:rsid w:val="00387D3E"/>
    <w:rsid w:val="003C0AEB"/>
    <w:rsid w:val="004F7688"/>
    <w:rsid w:val="0063572D"/>
    <w:rsid w:val="006467D8"/>
    <w:rsid w:val="0066721C"/>
    <w:rsid w:val="006A531B"/>
    <w:rsid w:val="006F7693"/>
    <w:rsid w:val="00710140"/>
    <w:rsid w:val="007136B6"/>
    <w:rsid w:val="007A15E2"/>
    <w:rsid w:val="007B6DCF"/>
    <w:rsid w:val="007F2275"/>
    <w:rsid w:val="00915F0F"/>
    <w:rsid w:val="00942D5B"/>
    <w:rsid w:val="009532DF"/>
    <w:rsid w:val="009555EE"/>
    <w:rsid w:val="00997019"/>
    <w:rsid w:val="009A5029"/>
    <w:rsid w:val="009D10F2"/>
    <w:rsid w:val="009D38D5"/>
    <w:rsid w:val="00A53F26"/>
    <w:rsid w:val="00AA0CC5"/>
    <w:rsid w:val="00AA0EC3"/>
    <w:rsid w:val="00AC5328"/>
    <w:rsid w:val="00B16AFE"/>
    <w:rsid w:val="00B65DD5"/>
    <w:rsid w:val="00B80BFC"/>
    <w:rsid w:val="00BD10B6"/>
    <w:rsid w:val="00C07076"/>
    <w:rsid w:val="00CA74A2"/>
    <w:rsid w:val="00CB00DF"/>
    <w:rsid w:val="00D73C72"/>
    <w:rsid w:val="00E0592B"/>
    <w:rsid w:val="00E31738"/>
    <w:rsid w:val="00E86786"/>
    <w:rsid w:val="00EB7335"/>
    <w:rsid w:val="00ED2F80"/>
    <w:rsid w:val="00EE3BBF"/>
    <w:rsid w:val="00F1624E"/>
    <w:rsid w:val="00F32F8A"/>
    <w:rsid w:val="00F419F3"/>
    <w:rsid w:val="00F810AA"/>
    <w:rsid w:val="00FB43EC"/>
    <w:rsid w:val="00FB6606"/>
    <w:rsid w:val="00FB6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E3A0"/>
  <w15:docId w15:val="{A27F0662-A581-C149-83D3-0E18006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D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7D3E"/>
    <w:rPr>
      <w:rFonts w:ascii="Calibri" w:eastAsia="宋体" w:hAnsi="Calibri" w:cs="Times New Roman"/>
      <w:sz w:val="18"/>
      <w:szCs w:val="18"/>
    </w:rPr>
  </w:style>
  <w:style w:type="paragraph" w:styleId="a5">
    <w:name w:val="footer"/>
    <w:basedOn w:val="a"/>
    <w:link w:val="a6"/>
    <w:uiPriority w:val="99"/>
    <w:unhideWhenUsed/>
    <w:rsid w:val="00387D3E"/>
    <w:pPr>
      <w:tabs>
        <w:tab w:val="center" w:pos="4153"/>
        <w:tab w:val="right" w:pos="8306"/>
      </w:tabs>
      <w:snapToGrid w:val="0"/>
      <w:jc w:val="left"/>
    </w:pPr>
    <w:rPr>
      <w:sz w:val="18"/>
      <w:szCs w:val="18"/>
    </w:rPr>
  </w:style>
  <w:style w:type="character" w:customStyle="1" w:styleId="a6">
    <w:name w:val="页脚 字符"/>
    <w:basedOn w:val="a0"/>
    <w:link w:val="a5"/>
    <w:uiPriority w:val="99"/>
    <w:rsid w:val="00387D3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MyPC</cp:lastModifiedBy>
  <cp:revision>10</cp:revision>
  <dcterms:created xsi:type="dcterms:W3CDTF">2020-09-17T11:07:00Z</dcterms:created>
  <dcterms:modified xsi:type="dcterms:W3CDTF">2021-08-18T08:38:00Z</dcterms:modified>
</cp:coreProperties>
</file>