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0DF" w:rsidRPr="00CB00DF" w:rsidRDefault="00CB00DF" w:rsidP="00CB00DF">
      <w:pPr>
        <w:snapToGrid w:val="0"/>
        <w:spacing w:before="100" w:beforeAutospacing="1" w:after="100" w:afterAutospacing="1"/>
        <w:jc w:val="left"/>
        <w:rPr>
          <w:rFonts w:ascii="Times New Roman" w:hAnsi="Times New Roman"/>
          <w:b/>
          <w:szCs w:val="21"/>
        </w:rPr>
      </w:pPr>
      <w:r w:rsidRPr="00CB00DF">
        <w:rPr>
          <w:rFonts w:ascii="Times New Roman" w:hAnsi="Times New Roman" w:hint="eastAsia"/>
          <w:b/>
          <w:szCs w:val="21"/>
        </w:rPr>
        <w:t>附件</w:t>
      </w:r>
      <w:r w:rsidRPr="00CB00DF">
        <w:rPr>
          <w:rFonts w:ascii="Times New Roman" w:hAnsi="Times New Roman" w:hint="eastAsia"/>
          <w:b/>
          <w:szCs w:val="21"/>
        </w:rPr>
        <w:t>2</w:t>
      </w:r>
    </w:p>
    <w:p w:rsidR="00CB00DF" w:rsidRPr="008E7B8C" w:rsidRDefault="00CB00DF" w:rsidP="00CB00DF">
      <w:pPr>
        <w:spacing w:line="440" w:lineRule="exact"/>
        <w:jc w:val="center"/>
        <w:rPr>
          <w:rFonts w:ascii="黑体" w:eastAsia="黑体" w:hAnsi="Times New Roman"/>
          <w:sz w:val="30"/>
          <w:szCs w:val="30"/>
        </w:rPr>
      </w:pPr>
      <w:r w:rsidRPr="00202C4C">
        <w:rPr>
          <w:rFonts w:ascii="黑体" w:eastAsia="黑体" w:hAnsi="Times New Roman" w:hint="eastAsia"/>
          <w:sz w:val="30"/>
          <w:szCs w:val="30"/>
        </w:rPr>
        <w:t>经营者集中简易案件公示表</w:t>
      </w:r>
    </w:p>
    <w:p w:rsidR="00CB00DF" w:rsidRDefault="00CB00DF" w:rsidP="00CB00DF">
      <w:pPr>
        <w:spacing w:line="440" w:lineRule="exact"/>
        <w:rPr>
          <w:rFonts w:ascii="黑体" w:eastAsia="黑体" w:hAnsi="Times New Roman"/>
          <w:sz w:val="28"/>
          <w:szCs w:val="28"/>
        </w:rPr>
      </w:pPr>
    </w:p>
    <w:p w:rsidR="00CB00DF" w:rsidRPr="00BA1596" w:rsidRDefault="00CB00DF" w:rsidP="00CB00DF">
      <w:pPr>
        <w:spacing w:line="440" w:lineRule="exact"/>
        <w:ind w:firstLineChars="302" w:firstLine="846"/>
        <w:rPr>
          <w:rFonts w:ascii="仿宋_GB2312" w:eastAsia="仿宋_GB2312" w:hAnsi="Times New Roman"/>
          <w:sz w:val="28"/>
          <w:szCs w:val="28"/>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96"/>
        <w:gridCol w:w="5153"/>
      </w:tblGrid>
      <w:tr w:rsidR="00CB00DF" w:rsidRPr="00CB00DF" w:rsidTr="00CB00DF">
        <w:tc>
          <w:tcPr>
            <w:tcW w:w="1809" w:type="dxa"/>
            <w:shd w:val="clear" w:color="auto" w:fill="D9D9D9"/>
            <w:vAlign w:val="center"/>
          </w:tcPr>
          <w:p w:rsidR="00CB00DF" w:rsidRPr="00CB00DF" w:rsidRDefault="00CB00DF" w:rsidP="00CB00DF">
            <w:pPr>
              <w:spacing w:line="500" w:lineRule="exact"/>
              <w:jc w:val="center"/>
              <w:rPr>
                <w:rFonts w:ascii="仿宋" w:eastAsia="仿宋" w:hAnsi="仿宋" w:cs="宋体"/>
                <w:color w:val="333333"/>
                <w:kern w:val="0"/>
                <w:sz w:val="24"/>
                <w:szCs w:val="24"/>
                <w:bdr w:val="none" w:sz="0" w:space="0" w:color="auto" w:frame="1"/>
              </w:rPr>
            </w:pPr>
            <w:r w:rsidRPr="00CB00DF">
              <w:rPr>
                <w:rFonts w:ascii="仿宋" w:eastAsia="仿宋" w:hAnsi="仿宋" w:cs="宋体" w:hint="eastAsia"/>
                <w:color w:val="333333"/>
                <w:kern w:val="0"/>
                <w:sz w:val="24"/>
                <w:szCs w:val="24"/>
                <w:bdr w:val="none" w:sz="0" w:space="0" w:color="auto" w:frame="1"/>
              </w:rPr>
              <w:t>案件名称</w:t>
            </w:r>
          </w:p>
        </w:tc>
        <w:tc>
          <w:tcPr>
            <w:tcW w:w="6949" w:type="dxa"/>
            <w:gridSpan w:val="2"/>
          </w:tcPr>
          <w:p w:rsidR="00CB00DF" w:rsidRPr="00CB00DF" w:rsidRDefault="007136B6" w:rsidP="006908A4">
            <w:pPr>
              <w:spacing w:line="500" w:lineRule="exact"/>
              <w:rPr>
                <w:rFonts w:ascii="仿宋" w:eastAsia="仿宋" w:hAnsi="仿宋" w:cs="宋体"/>
                <w:color w:val="333333"/>
                <w:kern w:val="0"/>
                <w:sz w:val="24"/>
                <w:szCs w:val="24"/>
                <w:bdr w:val="none" w:sz="0" w:space="0" w:color="auto" w:frame="1"/>
              </w:rPr>
            </w:pPr>
            <w:r>
              <w:rPr>
                <w:rFonts w:ascii="仿宋" w:eastAsia="仿宋" w:hAnsi="仿宋" w:cs="宋体" w:hint="eastAsia"/>
                <w:color w:val="333333"/>
                <w:kern w:val="0"/>
                <w:sz w:val="24"/>
                <w:szCs w:val="24"/>
                <w:bdr w:val="none" w:sz="0" w:space="0" w:color="auto" w:frame="1"/>
              </w:rPr>
              <w:t>中盐内蒙古化工股份有限公司收购青海发投碱业有限公司股权案</w:t>
            </w:r>
          </w:p>
        </w:tc>
      </w:tr>
      <w:tr w:rsidR="00CB00DF" w:rsidRPr="00CB00DF" w:rsidTr="00CB00DF">
        <w:trPr>
          <w:trHeight w:val="993"/>
        </w:trPr>
        <w:tc>
          <w:tcPr>
            <w:tcW w:w="1809" w:type="dxa"/>
            <w:shd w:val="clear" w:color="auto" w:fill="D9D9D9"/>
            <w:vAlign w:val="center"/>
          </w:tcPr>
          <w:p w:rsidR="00F1624E" w:rsidRDefault="00CB00DF" w:rsidP="00CB00DF">
            <w:pPr>
              <w:spacing w:line="500" w:lineRule="exact"/>
              <w:jc w:val="center"/>
              <w:rPr>
                <w:rFonts w:ascii="仿宋" w:eastAsia="仿宋" w:hAnsi="仿宋" w:cs="宋体"/>
                <w:color w:val="333333"/>
                <w:kern w:val="0"/>
                <w:sz w:val="24"/>
                <w:szCs w:val="24"/>
                <w:bdr w:val="none" w:sz="0" w:space="0" w:color="auto" w:frame="1"/>
              </w:rPr>
            </w:pPr>
            <w:r w:rsidRPr="00CB00DF">
              <w:rPr>
                <w:rFonts w:ascii="仿宋" w:eastAsia="仿宋" w:hAnsi="仿宋" w:cs="宋体" w:hint="eastAsia"/>
                <w:color w:val="333333"/>
                <w:kern w:val="0"/>
                <w:sz w:val="24"/>
                <w:szCs w:val="24"/>
                <w:bdr w:val="none" w:sz="0" w:space="0" w:color="auto" w:frame="1"/>
              </w:rPr>
              <w:t>交易概况</w:t>
            </w:r>
          </w:p>
          <w:p w:rsidR="00CB00DF" w:rsidRPr="00CB00DF" w:rsidRDefault="00CB00DF" w:rsidP="00CB00DF">
            <w:pPr>
              <w:spacing w:line="500" w:lineRule="exact"/>
              <w:jc w:val="center"/>
              <w:rPr>
                <w:rFonts w:ascii="仿宋" w:eastAsia="仿宋" w:hAnsi="仿宋" w:cs="宋体"/>
                <w:color w:val="333333"/>
                <w:kern w:val="0"/>
                <w:sz w:val="24"/>
                <w:szCs w:val="24"/>
                <w:bdr w:val="none" w:sz="0" w:space="0" w:color="auto" w:frame="1"/>
              </w:rPr>
            </w:pPr>
            <w:r w:rsidRPr="00CB00DF">
              <w:rPr>
                <w:rFonts w:ascii="仿宋" w:eastAsia="仿宋" w:hAnsi="仿宋" w:cs="宋体" w:hint="eastAsia"/>
                <w:color w:val="333333"/>
                <w:kern w:val="0"/>
                <w:sz w:val="24"/>
                <w:szCs w:val="24"/>
                <w:bdr w:val="none" w:sz="0" w:space="0" w:color="auto" w:frame="1"/>
              </w:rPr>
              <w:t>（限200字内）</w:t>
            </w:r>
          </w:p>
        </w:tc>
        <w:tc>
          <w:tcPr>
            <w:tcW w:w="6949" w:type="dxa"/>
            <w:gridSpan w:val="2"/>
          </w:tcPr>
          <w:p w:rsidR="00CB00DF" w:rsidRPr="00CB00DF" w:rsidRDefault="00CA74A2" w:rsidP="006908A4">
            <w:pPr>
              <w:spacing w:line="500" w:lineRule="exact"/>
              <w:rPr>
                <w:rFonts w:ascii="仿宋" w:eastAsia="仿宋" w:hAnsi="仿宋" w:cs="宋体"/>
                <w:color w:val="333333"/>
                <w:kern w:val="0"/>
                <w:sz w:val="24"/>
                <w:szCs w:val="24"/>
                <w:bdr w:val="none" w:sz="0" w:space="0" w:color="auto" w:frame="1"/>
              </w:rPr>
            </w:pPr>
            <w:r w:rsidRPr="00CA74A2">
              <w:rPr>
                <w:rFonts w:ascii="仿宋" w:eastAsia="仿宋" w:hAnsi="仿宋" w:cs="宋体" w:hint="eastAsia"/>
                <w:color w:val="333333"/>
                <w:kern w:val="0"/>
                <w:sz w:val="24"/>
                <w:szCs w:val="24"/>
                <w:bdr w:val="none" w:sz="0" w:space="0" w:color="auto" w:frame="1"/>
              </w:rPr>
              <w:t>中盐内蒙古化工股份有限公司</w:t>
            </w:r>
            <w:r w:rsidR="007B6DCF">
              <w:rPr>
                <w:rFonts w:ascii="仿宋" w:eastAsia="仿宋" w:hAnsi="仿宋" w:cs="宋体" w:hint="eastAsia"/>
                <w:color w:val="333333"/>
                <w:kern w:val="0"/>
                <w:sz w:val="24"/>
                <w:szCs w:val="24"/>
                <w:bdr w:val="none" w:sz="0" w:space="0" w:color="auto" w:frame="1"/>
              </w:rPr>
              <w:t>（“中盐化工”）</w:t>
            </w:r>
            <w:r>
              <w:rPr>
                <w:rFonts w:ascii="仿宋" w:eastAsia="仿宋" w:hAnsi="仿宋" w:cs="宋体" w:hint="eastAsia"/>
                <w:color w:val="333333"/>
                <w:kern w:val="0"/>
                <w:sz w:val="24"/>
                <w:szCs w:val="24"/>
                <w:bdr w:val="none" w:sz="0" w:space="0" w:color="auto" w:frame="1"/>
              </w:rPr>
              <w:t>在长沙联合产权交易所</w:t>
            </w:r>
            <w:r w:rsidRPr="00CA74A2">
              <w:rPr>
                <w:rFonts w:ascii="仿宋" w:eastAsia="仿宋" w:hAnsi="仿宋" w:cs="宋体" w:hint="eastAsia"/>
                <w:color w:val="333333"/>
                <w:kern w:val="0"/>
                <w:sz w:val="24"/>
                <w:szCs w:val="24"/>
                <w:bdr w:val="none" w:sz="0" w:space="0" w:color="auto" w:frame="1"/>
              </w:rPr>
              <w:t>以公开摘牌方式收购青海省国有资产投资管理有限公司持有的青海发投碱业有限公司</w:t>
            </w:r>
            <w:r w:rsidR="007B6DCF">
              <w:rPr>
                <w:rFonts w:ascii="仿宋" w:eastAsia="仿宋" w:hAnsi="仿宋" w:cs="宋体" w:hint="eastAsia"/>
                <w:color w:val="333333"/>
                <w:kern w:val="0"/>
                <w:sz w:val="24"/>
                <w:szCs w:val="24"/>
                <w:bdr w:val="none" w:sz="0" w:space="0" w:color="auto" w:frame="1"/>
              </w:rPr>
              <w:t>（“发投碱业”）</w:t>
            </w:r>
            <w:r w:rsidRPr="00CA74A2">
              <w:rPr>
                <w:rFonts w:ascii="仿宋" w:eastAsia="仿宋" w:hAnsi="仿宋" w:cs="宋体" w:hint="eastAsia"/>
                <w:color w:val="333333"/>
                <w:kern w:val="0"/>
                <w:sz w:val="24"/>
                <w:szCs w:val="24"/>
                <w:bdr w:val="none" w:sz="0" w:space="0" w:color="auto" w:frame="1"/>
              </w:rPr>
              <w:t>100%股权</w:t>
            </w:r>
            <w:r w:rsidR="00351985">
              <w:rPr>
                <w:rFonts w:ascii="仿宋" w:eastAsia="仿宋" w:hAnsi="仿宋" w:cs="宋体" w:hint="eastAsia"/>
                <w:color w:val="333333"/>
                <w:kern w:val="0"/>
                <w:sz w:val="24"/>
                <w:szCs w:val="24"/>
                <w:bdr w:val="none" w:sz="0" w:space="0" w:color="auto" w:frame="1"/>
              </w:rPr>
              <w:t>。</w:t>
            </w:r>
            <w:r w:rsidR="00351985" w:rsidRPr="00CB00DF">
              <w:rPr>
                <w:rFonts w:ascii="仿宋" w:eastAsia="仿宋" w:hAnsi="仿宋" w:cs="宋体"/>
                <w:color w:val="333333"/>
                <w:kern w:val="0"/>
                <w:sz w:val="24"/>
                <w:szCs w:val="24"/>
                <w:bdr w:val="none" w:sz="0" w:space="0" w:color="auto" w:frame="1"/>
              </w:rPr>
              <w:t xml:space="preserve"> </w:t>
            </w:r>
          </w:p>
        </w:tc>
      </w:tr>
      <w:tr w:rsidR="00CB00DF" w:rsidRPr="00CB00DF" w:rsidTr="00CB00DF">
        <w:trPr>
          <w:trHeight w:val="468"/>
        </w:trPr>
        <w:tc>
          <w:tcPr>
            <w:tcW w:w="1809" w:type="dxa"/>
            <w:vMerge w:val="restart"/>
            <w:shd w:val="clear" w:color="auto" w:fill="D9D9D9"/>
            <w:vAlign w:val="center"/>
          </w:tcPr>
          <w:p w:rsidR="00F1624E" w:rsidRDefault="00CB00DF" w:rsidP="00CB00DF">
            <w:pPr>
              <w:spacing w:line="500" w:lineRule="exact"/>
              <w:jc w:val="center"/>
              <w:rPr>
                <w:rFonts w:ascii="仿宋" w:eastAsia="仿宋" w:hAnsi="仿宋" w:cs="宋体"/>
                <w:color w:val="333333"/>
                <w:kern w:val="0"/>
                <w:sz w:val="24"/>
                <w:szCs w:val="24"/>
                <w:bdr w:val="none" w:sz="0" w:space="0" w:color="auto" w:frame="1"/>
              </w:rPr>
            </w:pPr>
            <w:r w:rsidRPr="00CB00DF">
              <w:rPr>
                <w:rFonts w:ascii="仿宋" w:eastAsia="仿宋" w:hAnsi="仿宋" w:cs="宋体" w:hint="eastAsia"/>
                <w:color w:val="333333"/>
                <w:kern w:val="0"/>
                <w:sz w:val="24"/>
                <w:szCs w:val="24"/>
                <w:bdr w:val="none" w:sz="0" w:space="0" w:color="auto" w:frame="1"/>
              </w:rPr>
              <w:t>参与集中的</w:t>
            </w:r>
          </w:p>
          <w:p w:rsidR="00CB00DF" w:rsidRPr="00CB00DF" w:rsidRDefault="00CB00DF" w:rsidP="00CB00DF">
            <w:pPr>
              <w:spacing w:line="500" w:lineRule="exact"/>
              <w:jc w:val="center"/>
              <w:rPr>
                <w:rFonts w:ascii="仿宋" w:eastAsia="仿宋" w:hAnsi="仿宋" w:cs="宋体"/>
                <w:color w:val="333333"/>
                <w:kern w:val="0"/>
                <w:sz w:val="24"/>
                <w:szCs w:val="24"/>
                <w:bdr w:val="none" w:sz="0" w:space="0" w:color="auto" w:frame="1"/>
              </w:rPr>
            </w:pPr>
            <w:r w:rsidRPr="00CB00DF">
              <w:rPr>
                <w:rFonts w:ascii="仿宋" w:eastAsia="仿宋" w:hAnsi="仿宋" w:cs="宋体" w:hint="eastAsia"/>
                <w:color w:val="333333"/>
                <w:kern w:val="0"/>
                <w:sz w:val="24"/>
                <w:szCs w:val="24"/>
                <w:bdr w:val="none" w:sz="0" w:space="0" w:color="auto" w:frame="1"/>
              </w:rPr>
              <w:t>经营者简介</w:t>
            </w:r>
          </w:p>
        </w:tc>
        <w:tc>
          <w:tcPr>
            <w:tcW w:w="1796" w:type="dxa"/>
          </w:tcPr>
          <w:p w:rsidR="00CB00DF" w:rsidRPr="00CB00DF" w:rsidRDefault="009D10F2" w:rsidP="006908A4">
            <w:pPr>
              <w:spacing w:line="500" w:lineRule="exact"/>
              <w:rPr>
                <w:rFonts w:ascii="仿宋" w:eastAsia="仿宋" w:hAnsi="仿宋" w:cs="宋体"/>
                <w:color w:val="333333"/>
                <w:kern w:val="0"/>
                <w:sz w:val="24"/>
                <w:szCs w:val="24"/>
                <w:bdr w:val="none" w:sz="0" w:space="0" w:color="auto" w:frame="1"/>
              </w:rPr>
            </w:pPr>
            <w:r>
              <w:rPr>
                <w:rFonts w:ascii="仿宋" w:eastAsia="仿宋" w:hAnsi="仿宋" w:cs="宋体" w:hint="eastAsia"/>
                <w:color w:val="333333"/>
                <w:kern w:val="0"/>
                <w:sz w:val="24"/>
                <w:szCs w:val="24"/>
                <w:bdr w:val="none" w:sz="0" w:space="0" w:color="auto" w:frame="1"/>
              </w:rPr>
              <w:t>1</w:t>
            </w:r>
            <w:r>
              <w:rPr>
                <w:rFonts w:ascii="仿宋" w:eastAsia="仿宋" w:hAnsi="仿宋" w:cs="宋体"/>
                <w:color w:val="333333"/>
                <w:kern w:val="0"/>
                <w:sz w:val="24"/>
                <w:szCs w:val="24"/>
                <w:bdr w:val="none" w:sz="0" w:space="0" w:color="auto" w:frame="1"/>
              </w:rPr>
              <w:t>.</w:t>
            </w:r>
            <w:r w:rsidR="00FB6606">
              <w:rPr>
                <w:rFonts w:ascii="仿宋" w:eastAsia="仿宋" w:hAnsi="仿宋" w:cs="宋体" w:hint="eastAsia"/>
                <w:color w:val="333333"/>
                <w:kern w:val="0"/>
                <w:sz w:val="24"/>
                <w:szCs w:val="24"/>
                <w:bdr w:val="none" w:sz="0" w:space="0" w:color="auto" w:frame="1"/>
              </w:rPr>
              <w:t>中盐化工</w:t>
            </w:r>
          </w:p>
        </w:tc>
        <w:tc>
          <w:tcPr>
            <w:tcW w:w="5153" w:type="dxa"/>
          </w:tcPr>
          <w:p w:rsidR="00CB00DF" w:rsidRPr="00CB00DF" w:rsidRDefault="007136B6" w:rsidP="006908A4">
            <w:pPr>
              <w:spacing w:line="500" w:lineRule="exact"/>
              <w:rPr>
                <w:rFonts w:ascii="仿宋" w:eastAsia="仿宋" w:hAnsi="仿宋" w:cs="宋体"/>
                <w:color w:val="333333"/>
                <w:kern w:val="0"/>
                <w:sz w:val="24"/>
                <w:szCs w:val="24"/>
                <w:bdr w:val="none" w:sz="0" w:space="0" w:color="auto" w:frame="1"/>
              </w:rPr>
            </w:pPr>
            <w:r w:rsidRPr="007136B6">
              <w:rPr>
                <w:rFonts w:ascii="仿宋" w:eastAsia="仿宋" w:hAnsi="仿宋" w:cs="宋体" w:hint="eastAsia"/>
                <w:color w:val="333333"/>
                <w:kern w:val="0"/>
                <w:sz w:val="24"/>
                <w:szCs w:val="24"/>
                <w:bdr w:val="none" w:sz="0" w:space="0" w:color="auto" w:frame="1"/>
              </w:rPr>
              <w:t>199</w:t>
            </w:r>
            <w:r w:rsidR="00351985">
              <w:rPr>
                <w:rFonts w:ascii="仿宋" w:eastAsia="仿宋" w:hAnsi="仿宋" w:cs="宋体"/>
                <w:color w:val="333333"/>
                <w:kern w:val="0"/>
                <w:sz w:val="24"/>
                <w:szCs w:val="24"/>
                <w:bdr w:val="none" w:sz="0" w:space="0" w:color="auto" w:frame="1"/>
              </w:rPr>
              <w:t>8</w:t>
            </w:r>
            <w:r w:rsidRPr="007136B6">
              <w:rPr>
                <w:rFonts w:ascii="仿宋" w:eastAsia="仿宋" w:hAnsi="仿宋" w:cs="宋体" w:hint="eastAsia"/>
                <w:color w:val="333333"/>
                <w:kern w:val="0"/>
                <w:sz w:val="24"/>
                <w:szCs w:val="24"/>
                <w:bdr w:val="none" w:sz="0" w:space="0" w:color="auto" w:frame="1"/>
              </w:rPr>
              <w:t>年成立"内蒙古兰太实业股份有限公司"，2000年在上海证券交易所挂牌上市（股票代码：600328），2020年6月更名为"中盐内蒙古化工股份有限公司"</w:t>
            </w:r>
            <w:r w:rsidR="00351985">
              <w:rPr>
                <w:rFonts w:ascii="仿宋" w:eastAsia="仿宋" w:hAnsi="仿宋" w:cs="宋体" w:hint="eastAsia"/>
                <w:color w:val="333333"/>
                <w:kern w:val="0"/>
                <w:sz w:val="24"/>
                <w:szCs w:val="24"/>
                <w:bdr w:val="none" w:sz="0" w:space="0" w:color="auto" w:frame="1"/>
              </w:rPr>
              <w:t>，法定代表人李德禄</w:t>
            </w:r>
            <w:r w:rsidRPr="007136B6">
              <w:rPr>
                <w:rFonts w:ascii="仿宋" w:eastAsia="仿宋" w:hAnsi="仿宋" w:cs="宋体" w:hint="eastAsia"/>
                <w:color w:val="333333"/>
                <w:kern w:val="0"/>
                <w:sz w:val="24"/>
                <w:szCs w:val="24"/>
                <w:bdr w:val="none" w:sz="0" w:space="0" w:color="auto" w:frame="1"/>
              </w:rPr>
              <w:t>。</w:t>
            </w:r>
            <w:r w:rsidR="00351985">
              <w:rPr>
                <w:rFonts w:ascii="仿宋" w:eastAsia="仿宋" w:hAnsi="仿宋" w:cs="宋体" w:hint="eastAsia"/>
                <w:color w:val="333333"/>
                <w:kern w:val="0"/>
                <w:sz w:val="24"/>
                <w:szCs w:val="24"/>
                <w:bdr w:val="none" w:sz="0" w:space="0" w:color="auto" w:frame="1"/>
              </w:rPr>
              <w:t>实际控制人中国盐业集团有限公司。</w:t>
            </w:r>
            <w:r w:rsidR="00351985" w:rsidRPr="00351985">
              <w:rPr>
                <w:rFonts w:ascii="仿宋" w:eastAsia="仿宋" w:hAnsi="仿宋" w:cs="宋体" w:hint="eastAsia"/>
                <w:color w:val="333333"/>
                <w:kern w:val="0"/>
                <w:sz w:val="24"/>
                <w:szCs w:val="24"/>
                <w:bdr w:val="none" w:sz="0" w:space="0" w:color="auto" w:frame="1"/>
              </w:rPr>
              <w:t>公司的主营业务为食盐业务、工业盐业务、盐化工业务和其他业务四大板块</w:t>
            </w:r>
            <w:r w:rsidRPr="007136B6">
              <w:rPr>
                <w:rFonts w:ascii="仿宋" w:eastAsia="仿宋" w:hAnsi="仿宋" w:cs="宋体" w:hint="eastAsia"/>
                <w:color w:val="333333"/>
                <w:kern w:val="0"/>
                <w:sz w:val="24"/>
                <w:szCs w:val="24"/>
                <w:bdr w:val="none" w:sz="0" w:space="0" w:color="auto" w:frame="1"/>
              </w:rPr>
              <w:t>。</w:t>
            </w:r>
          </w:p>
        </w:tc>
      </w:tr>
      <w:tr w:rsidR="00CB00DF" w:rsidRPr="00CB00DF" w:rsidTr="00CB00DF">
        <w:trPr>
          <w:trHeight w:val="404"/>
        </w:trPr>
        <w:tc>
          <w:tcPr>
            <w:tcW w:w="1809" w:type="dxa"/>
            <w:vMerge/>
            <w:shd w:val="clear" w:color="auto" w:fill="D9D9D9"/>
            <w:vAlign w:val="center"/>
          </w:tcPr>
          <w:p w:rsidR="00CB00DF" w:rsidRPr="00CB00DF" w:rsidRDefault="00CB00DF" w:rsidP="00CB00DF">
            <w:pPr>
              <w:spacing w:line="500" w:lineRule="exact"/>
              <w:jc w:val="center"/>
              <w:rPr>
                <w:rFonts w:ascii="仿宋" w:eastAsia="仿宋" w:hAnsi="仿宋" w:cs="宋体"/>
                <w:color w:val="333333"/>
                <w:kern w:val="0"/>
                <w:sz w:val="24"/>
                <w:szCs w:val="24"/>
                <w:bdr w:val="none" w:sz="0" w:space="0" w:color="auto" w:frame="1"/>
              </w:rPr>
            </w:pPr>
          </w:p>
        </w:tc>
        <w:tc>
          <w:tcPr>
            <w:tcW w:w="1796" w:type="dxa"/>
          </w:tcPr>
          <w:p w:rsidR="00CB00DF" w:rsidRPr="00CB00DF" w:rsidRDefault="009D10F2" w:rsidP="006908A4">
            <w:pPr>
              <w:spacing w:line="500" w:lineRule="exact"/>
              <w:rPr>
                <w:rFonts w:ascii="仿宋" w:eastAsia="仿宋" w:hAnsi="仿宋" w:cs="宋体"/>
                <w:color w:val="333333"/>
                <w:kern w:val="0"/>
                <w:sz w:val="24"/>
                <w:szCs w:val="24"/>
                <w:bdr w:val="none" w:sz="0" w:space="0" w:color="auto" w:frame="1"/>
              </w:rPr>
            </w:pPr>
            <w:r>
              <w:rPr>
                <w:rFonts w:ascii="仿宋" w:eastAsia="仿宋" w:hAnsi="仿宋" w:cs="宋体" w:hint="eastAsia"/>
                <w:color w:val="333333"/>
                <w:kern w:val="0"/>
                <w:sz w:val="24"/>
                <w:szCs w:val="24"/>
                <w:bdr w:val="none" w:sz="0" w:space="0" w:color="auto" w:frame="1"/>
              </w:rPr>
              <w:t>2</w:t>
            </w:r>
            <w:r>
              <w:rPr>
                <w:rFonts w:ascii="仿宋" w:eastAsia="仿宋" w:hAnsi="仿宋" w:cs="宋体"/>
                <w:color w:val="333333"/>
                <w:kern w:val="0"/>
                <w:sz w:val="24"/>
                <w:szCs w:val="24"/>
                <w:bdr w:val="none" w:sz="0" w:space="0" w:color="auto" w:frame="1"/>
              </w:rPr>
              <w:t>.</w:t>
            </w:r>
            <w:r w:rsidR="00942D5B">
              <w:rPr>
                <w:rFonts w:ascii="仿宋" w:eastAsia="仿宋" w:hAnsi="仿宋" w:cs="宋体" w:hint="eastAsia"/>
                <w:color w:val="333333"/>
                <w:kern w:val="0"/>
                <w:sz w:val="24"/>
                <w:szCs w:val="24"/>
                <w:bdr w:val="none" w:sz="0" w:space="0" w:color="auto" w:frame="1"/>
              </w:rPr>
              <w:t>发投碱业</w:t>
            </w:r>
          </w:p>
        </w:tc>
        <w:tc>
          <w:tcPr>
            <w:tcW w:w="5153" w:type="dxa"/>
          </w:tcPr>
          <w:p w:rsidR="00CB00DF" w:rsidRPr="00CB00DF" w:rsidRDefault="007136B6" w:rsidP="006908A4">
            <w:pPr>
              <w:spacing w:line="500" w:lineRule="exact"/>
              <w:rPr>
                <w:rFonts w:ascii="仿宋" w:eastAsia="仿宋" w:hAnsi="仿宋" w:cs="宋体"/>
                <w:color w:val="333333"/>
                <w:kern w:val="0"/>
                <w:sz w:val="24"/>
                <w:szCs w:val="24"/>
                <w:bdr w:val="none" w:sz="0" w:space="0" w:color="auto" w:frame="1"/>
              </w:rPr>
            </w:pPr>
            <w:r w:rsidRPr="007136B6">
              <w:rPr>
                <w:rFonts w:ascii="仿宋" w:eastAsia="仿宋" w:hAnsi="仿宋" w:cs="宋体" w:hint="eastAsia"/>
                <w:color w:val="333333"/>
                <w:kern w:val="0"/>
                <w:sz w:val="24"/>
                <w:szCs w:val="24"/>
                <w:bdr w:val="none" w:sz="0" w:space="0" w:color="auto" w:frame="1"/>
              </w:rPr>
              <w:t>青海发投碱业有限公司于2014年04月08日在海西蒙古族藏族自治州市场监督管理局登记成立。法定代表人</w:t>
            </w:r>
            <w:r>
              <w:rPr>
                <w:rFonts w:ascii="仿宋" w:eastAsia="仿宋" w:hAnsi="仿宋" w:cs="宋体" w:hint="eastAsia"/>
                <w:color w:val="333333"/>
                <w:kern w:val="0"/>
                <w:sz w:val="24"/>
                <w:szCs w:val="24"/>
                <w:bdr w:val="none" w:sz="0" w:space="0" w:color="auto" w:frame="1"/>
              </w:rPr>
              <w:t>时春雷</w:t>
            </w:r>
            <w:r w:rsidRPr="007136B6">
              <w:rPr>
                <w:rFonts w:ascii="仿宋" w:eastAsia="仿宋" w:hAnsi="仿宋" w:cs="宋体" w:hint="eastAsia"/>
                <w:color w:val="333333"/>
                <w:kern w:val="0"/>
                <w:sz w:val="24"/>
                <w:szCs w:val="24"/>
                <w:bdr w:val="none" w:sz="0" w:space="0" w:color="auto" w:frame="1"/>
              </w:rPr>
              <w:t>，公司经营范围包括生产、销售纯碱产品及其副产品，矿产品、煤炭等。</w:t>
            </w:r>
          </w:p>
        </w:tc>
      </w:tr>
      <w:tr w:rsidR="00CB00DF" w:rsidRPr="00CB00DF" w:rsidTr="00CB00DF">
        <w:trPr>
          <w:trHeight w:val="279"/>
        </w:trPr>
        <w:tc>
          <w:tcPr>
            <w:tcW w:w="1809" w:type="dxa"/>
            <w:vMerge w:val="restart"/>
            <w:shd w:val="clear" w:color="auto" w:fill="D9D9D9"/>
            <w:vAlign w:val="center"/>
          </w:tcPr>
          <w:p w:rsidR="00CB00DF" w:rsidRPr="00CB00DF" w:rsidRDefault="00CB00DF" w:rsidP="00CB00DF">
            <w:pPr>
              <w:spacing w:line="500" w:lineRule="exact"/>
              <w:jc w:val="center"/>
              <w:rPr>
                <w:rFonts w:ascii="仿宋" w:eastAsia="仿宋" w:hAnsi="仿宋" w:cs="宋体"/>
                <w:color w:val="333333"/>
                <w:kern w:val="0"/>
                <w:sz w:val="24"/>
                <w:szCs w:val="24"/>
                <w:bdr w:val="none" w:sz="0" w:space="0" w:color="auto" w:frame="1"/>
              </w:rPr>
            </w:pPr>
            <w:r w:rsidRPr="00CB00DF">
              <w:rPr>
                <w:rFonts w:ascii="仿宋" w:eastAsia="仿宋" w:hAnsi="仿宋" w:cs="宋体" w:hint="eastAsia"/>
                <w:color w:val="333333"/>
                <w:kern w:val="0"/>
                <w:sz w:val="24"/>
                <w:szCs w:val="24"/>
                <w:bdr w:val="none" w:sz="0" w:space="0" w:color="auto" w:frame="1"/>
              </w:rPr>
              <w:t>简易案件理由（可以单选，也可以多选）</w:t>
            </w:r>
          </w:p>
        </w:tc>
        <w:tc>
          <w:tcPr>
            <w:tcW w:w="6949" w:type="dxa"/>
            <w:gridSpan w:val="2"/>
          </w:tcPr>
          <w:p w:rsidR="00CB00DF" w:rsidRPr="00CB00DF" w:rsidRDefault="007136B6" w:rsidP="006908A4">
            <w:pPr>
              <w:spacing w:line="500" w:lineRule="exact"/>
              <w:rPr>
                <w:rFonts w:ascii="仿宋" w:eastAsia="仿宋" w:hAnsi="仿宋" w:cs="宋体"/>
                <w:color w:val="333333"/>
                <w:kern w:val="0"/>
                <w:sz w:val="24"/>
                <w:szCs w:val="24"/>
                <w:bdr w:val="none" w:sz="0" w:space="0" w:color="auto" w:frame="1"/>
              </w:rPr>
            </w:pPr>
            <w:r w:rsidRPr="007136B6">
              <w:rPr>
                <w:rFonts w:ascii="Segoe UI Emoji" w:eastAsia="仿宋" w:hAnsi="Segoe UI Emoji" w:cs="Segoe UI Emoji"/>
                <w:color w:val="333333"/>
                <w:kern w:val="0"/>
                <w:sz w:val="24"/>
                <w:szCs w:val="24"/>
                <w:bdr w:val="none" w:sz="0" w:space="0" w:color="auto" w:frame="1"/>
              </w:rPr>
              <w:t>☑</w:t>
            </w:r>
            <w:r w:rsidR="00CB00DF" w:rsidRPr="00CB00DF">
              <w:rPr>
                <w:rFonts w:ascii="仿宋" w:eastAsia="仿宋" w:hAnsi="仿宋" w:cs="宋体" w:hint="eastAsia"/>
                <w:color w:val="333333"/>
                <w:kern w:val="0"/>
                <w:sz w:val="24"/>
                <w:szCs w:val="24"/>
                <w:bdr w:val="none" w:sz="0" w:space="0" w:color="auto" w:frame="1"/>
              </w:rPr>
              <w:t>1</w:t>
            </w:r>
            <w:r w:rsidR="00CB00DF">
              <w:rPr>
                <w:rFonts w:ascii="仿宋" w:eastAsia="仿宋" w:hAnsi="仿宋" w:cs="宋体" w:hint="eastAsia"/>
                <w:color w:val="333333"/>
                <w:kern w:val="0"/>
                <w:sz w:val="24"/>
                <w:szCs w:val="24"/>
                <w:bdr w:val="none" w:sz="0" w:space="0" w:color="auto" w:frame="1"/>
              </w:rPr>
              <w:t>.</w:t>
            </w:r>
            <w:r w:rsidR="00CB00DF" w:rsidRPr="00CB00DF">
              <w:rPr>
                <w:rFonts w:ascii="仿宋" w:eastAsia="仿宋" w:hAnsi="仿宋" w:cs="宋体" w:hint="eastAsia"/>
                <w:color w:val="333333"/>
                <w:kern w:val="0"/>
                <w:sz w:val="24"/>
                <w:szCs w:val="24"/>
                <w:bdr w:val="none" w:sz="0" w:space="0" w:color="auto" w:frame="1"/>
              </w:rPr>
              <w:t>在同一相关市场，所有参与集中的经营者所占市场份额之和小于15%。</w:t>
            </w:r>
          </w:p>
        </w:tc>
      </w:tr>
      <w:tr w:rsidR="00CB00DF" w:rsidRPr="00CB00DF" w:rsidTr="00CB00DF">
        <w:trPr>
          <w:trHeight w:val="330"/>
        </w:trPr>
        <w:tc>
          <w:tcPr>
            <w:tcW w:w="1809" w:type="dxa"/>
            <w:vMerge/>
            <w:shd w:val="clear" w:color="auto" w:fill="D9D9D9"/>
            <w:vAlign w:val="center"/>
          </w:tcPr>
          <w:p w:rsidR="00CB00DF" w:rsidRPr="00CB00DF" w:rsidRDefault="00CB00DF" w:rsidP="00CB00DF">
            <w:pPr>
              <w:spacing w:line="500" w:lineRule="exact"/>
              <w:jc w:val="center"/>
              <w:rPr>
                <w:rFonts w:ascii="仿宋" w:eastAsia="仿宋" w:hAnsi="仿宋" w:cs="宋体"/>
                <w:color w:val="333333"/>
                <w:kern w:val="0"/>
                <w:sz w:val="24"/>
                <w:szCs w:val="24"/>
                <w:bdr w:val="none" w:sz="0" w:space="0" w:color="auto" w:frame="1"/>
              </w:rPr>
            </w:pPr>
          </w:p>
        </w:tc>
        <w:tc>
          <w:tcPr>
            <w:tcW w:w="6949" w:type="dxa"/>
            <w:gridSpan w:val="2"/>
          </w:tcPr>
          <w:p w:rsidR="00CB00DF" w:rsidRPr="00CB00DF" w:rsidRDefault="007A15E2" w:rsidP="006908A4">
            <w:pPr>
              <w:spacing w:line="500" w:lineRule="exact"/>
              <w:rPr>
                <w:rFonts w:ascii="仿宋" w:eastAsia="仿宋" w:hAnsi="仿宋" w:cs="宋体"/>
                <w:color w:val="333333"/>
                <w:kern w:val="0"/>
                <w:sz w:val="24"/>
                <w:szCs w:val="24"/>
                <w:bdr w:val="none" w:sz="0" w:space="0" w:color="auto" w:frame="1"/>
              </w:rPr>
            </w:pPr>
            <w:r w:rsidRPr="00CB00DF">
              <w:rPr>
                <w:rFonts w:ascii="仿宋" w:eastAsia="仿宋" w:hAnsi="仿宋" w:cs="宋体" w:hint="eastAsia"/>
                <w:color w:val="333333"/>
                <w:kern w:val="0"/>
                <w:sz w:val="24"/>
                <w:szCs w:val="24"/>
                <w:bdr w:val="none" w:sz="0" w:space="0" w:color="auto" w:frame="1"/>
              </w:rPr>
              <w:t>□</w:t>
            </w:r>
            <w:r w:rsidR="00CB00DF" w:rsidRPr="00CB00DF">
              <w:rPr>
                <w:rFonts w:ascii="仿宋" w:eastAsia="仿宋" w:hAnsi="仿宋" w:cs="宋体" w:hint="eastAsia"/>
                <w:color w:val="333333"/>
                <w:kern w:val="0"/>
                <w:sz w:val="24"/>
                <w:szCs w:val="24"/>
                <w:bdr w:val="none" w:sz="0" w:space="0" w:color="auto" w:frame="1"/>
              </w:rPr>
              <w:t>2</w:t>
            </w:r>
            <w:r w:rsidR="00CB00DF">
              <w:rPr>
                <w:rFonts w:ascii="仿宋" w:eastAsia="仿宋" w:hAnsi="仿宋" w:cs="宋体" w:hint="eastAsia"/>
                <w:color w:val="333333"/>
                <w:kern w:val="0"/>
                <w:sz w:val="24"/>
                <w:szCs w:val="24"/>
                <w:bdr w:val="none" w:sz="0" w:space="0" w:color="auto" w:frame="1"/>
              </w:rPr>
              <w:t>.</w:t>
            </w:r>
            <w:r w:rsidR="00CB00DF" w:rsidRPr="00CB00DF">
              <w:rPr>
                <w:rFonts w:ascii="仿宋" w:eastAsia="仿宋" w:hAnsi="仿宋" w:cs="宋体" w:hint="eastAsia"/>
                <w:color w:val="333333"/>
                <w:kern w:val="0"/>
                <w:sz w:val="24"/>
                <w:szCs w:val="24"/>
                <w:bdr w:val="none" w:sz="0" w:space="0" w:color="auto" w:frame="1"/>
              </w:rPr>
              <w:t>存在上下游关系的参与集中的经营者，在上下游市场所占的市场份额均小于25%。</w:t>
            </w:r>
          </w:p>
        </w:tc>
      </w:tr>
      <w:tr w:rsidR="00CB00DF" w:rsidRPr="00CB00DF" w:rsidTr="00CB00DF">
        <w:trPr>
          <w:trHeight w:val="285"/>
        </w:trPr>
        <w:tc>
          <w:tcPr>
            <w:tcW w:w="1809" w:type="dxa"/>
            <w:vMerge/>
            <w:shd w:val="clear" w:color="auto" w:fill="D9D9D9"/>
            <w:vAlign w:val="center"/>
          </w:tcPr>
          <w:p w:rsidR="00CB00DF" w:rsidRPr="00CB00DF" w:rsidRDefault="00CB00DF" w:rsidP="00CB00DF">
            <w:pPr>
              <w:spacing w:line="500" w:lineRule="exact"/>
              <w:jc w:val="center"/>
              <w:rPr>
                <w:rFonts w:ascii="仿宋" w:eastAsia="仿宋" w:hAnsi="仿宋" w:cs="宋体"/>
                <w:color w:val="333333"/>
                <w:kern w:val="0"/>
                <w:sz w:val="24"/>
                <w:szCs w:val="24"/>
                <w:bdr w:val="none" w:sz="0" w:space="0" w:color="auto" w:frame="1"/>
              </w:rPr>
            </w:pPr>
          </w:p>
        </w:tc>
        <w:tc>
          <w:tcPr>
            <w:tcW w:w="6949" w:type="dxa"/>
            <w:gridSpan w:val="2"/>
          </w:tcPr>
          <w:p w:rsidR="00CB00DF" w:rsidRPr="00CB00DF" w:rsidRDefault="00CB00DF" w:rsidP="006908A4">
            <w:pPr>
              <w:spacing w:line="500" w:lineRule="exact"/>
              <w:rPr>
                <w:rFonts w:ascii="仿宋" w:eastAsia="仿宋" w:hAnsi="仿宋" w:cs="宋体"/>
                <w:color w:val="333333"/>
                <w:kern w:val="0"/>
                <w:sz w:val="24"/>
                <w:szCs w:val="24"/>
                <w:bdr w:val="none" w:sz="0" w:space="0" w:color="auto" w:frame="1"/>
              </w:rPr>
            </w:pPr>
            <w:r w:rsidRPr="00CB00DF">
              <w:rPr>
                <w:rFonts w:ascii="仿宋" w:eastAsia="仿宋" w:hAnsi="仿宋" w:cs="宋体" w:hint="eastAsia"/>
                <w:color w:val="333333"/>
                <w:kern w:val="0"/>
                <w:sz w:val="24"/>
                <w:szCs w:val="24"/>
                <w:bdr w:val="none" w:sz="0" w:space="0" w:color="auto" w:frame="1"/>
              </w:rPr>
              <w:t>□3</w:t>
            </w:r>
            <w:r>
              <w:rPr>
                <w:rFonts w:ascii="仿宋" w:eastAsia="仿宋" w:hAnsi="仿宋" w:cs="宋体" w:hint="eastAsia"/>
                <w:color w:val="333333"/>
                <w:kern w:val="0"/>
                <w:sz w:val="24"/>
                <w:szCs w:val="24"/>
                <w:bdr w:val="none" w:sz="0" w:space="0" w:color="auto" w:frame="1"/>
              </w:rPr>
              <w:t>.</w:t>
            </w:r>
            <w:r w:rsidRPr="00CB00DF">
              <w:rPr>
                <w:rFonts w:ascii="仿宋" w:eastAsia="仿宋" w:hAnsi="仿宋" w:cs="宋体" w:hint="eastAsia"/>
                <w:color w:val="333333"/>
                <w:kern w:val="0"/>
                <w:sz w:val="24"/>
                <w:szCs w:val="24"/>
                <w:bdr w:val="none" w:sz="0" w:space="0" w:color="auto" w:frame="1"/>
              </w:rPr>
              <w:t>不在同一相关市场、也不存在上下游关系的参与集中的经营者，在与交易有关的每个市场所占的份额均小于25%。</w:t>
            </w:r>
          </w:p>
        </w:tc>
      </w:tr>
      <w:tr w:rsidR="00CB00DF" w:rsidRPr="00CB00DF" w:rsidTr="00CB00DF">
        <w:trPr>
          <w:trHeight w:val="870"/>
        </w:trPr>
        <w:tc>
          <w:tcPr>
            <w:tcW w:w="1809" w:type="dxa"/>
            <w:vMerge/>
            <w:shd w:val="clear" w:color="auto" w:fill="D9D9D9"/>
            <w:vAlign w:val="center"/>
          </w:tcPr>
          <w:p w:rsidR="00CB00DF" w:rsidRPr="00CB00DF" w:rsidRDefault="00CB00DF" w:rsidP="00CB00DF">
            <w:pPr>
              <w:spacing w:line="500" w:lineRule="exact"/>
              <w:jc w:val="center"/>
              <w:rPr>
                <w:rFonts w:ascii="仿宋" w:eastAsia="仿宋" w:hAnsi="仿宋" w:cs="宋体"/>
                <w:color w:val="333333"/>
                <w:kern w:val="0"/>
                <w:sz w:val="24"/>
                <w:szCs w:val="24"/>
                <w:bdr w:val="none" w:sz="0" w:space="0" w:color="auto" w:frame="1"/>
              </w:rPr>
            </w:pPr>
          </w:p>
        </w:tc>
        <w:tc>
          <w:tcPr>
            <w:tcW w:w="6949" w:type="dxa"/>
            <w:gridSpan w:val="2"/>
          </w:tcPr>
          <w:p w:rsidR="00CB00DF" w:rsidRPr="00CB00DF" w:rsidRDefault="00CB00DF" w:rsidP="006908A4">
            <w:pPr>
              <w:spacing w:line="500" w:lineRule="exact"/>
              <w:rPr>
                <w:rFonts w:ascii="仿宋" w:eastAsia="仿宋" w:hAnsi="仿宋" w:cs="宋体"/>
                <w:color w:val="333333"/>
                <w:kern w:val="0"/>
                <w:sz w:val="24"/>
                <w:szCs w:val="24"/>
                <w:bdr w:val="none" w:sz="0" w:space="0" w:color="auto" w:frame="1"/>
              </w:rPr>
            </w:pPr>
            <w:r w:rsidRPr="00CB00DF">
              <w:rPr>
                <w:rFonts w:ascii="仿宋" w:eastAsia="仿宋" w:hAnsi="仿宋" w:cs="宋体" w:hint="eastAsia"/>
                <w:color w:val="333333"/>
                <w:kern w:val="0"/>
                <w:sz w:val="24"/>
                <w:szCs w:val="24"/>
                <w:bdr w:val="none" w:sz="0" w:space="0" w:color="auto" w:frame="1"/>
              </w:rPr>
              <w:t>□4</w:t>
            </w:r>
            <w:r>
              <w:rPr>
                <w:rFonts w:ascii="仿宋" w:eastAsia="仿宋" w:hAnsi="仿宋" w:cs="宋体" w:hint="eastAsia"/>
                <w:color w:val="333333"/>
                <w:kern w:val="0"/>
                <w:sz w:val="24"/>
                <w:szCs w:val="24"/>
                <w:bdr w:val="none" w:sz="0" w:space="0" w:color="auto" w:frame="1"/>
              </w:rPr>
              <w:t>.</w:t>
            </w:r>
            <w:r w:rsidRPr="00CB00DF">
              <w:rPr>
                <w:rFonts w:ascii="仿宋" w:eastAsia="仿宋" w:hAnsi="仿宋" w:cs="宋体" w:hint="eastAsia"/>
                <w:color w:val="333333"/>
                <w:kern w:val="0"/>
                <w:sz w:val="24"/>
                <w:szCs w:val="24"/>
                <w:bdr w:val="none" w:sz="0" w:space="0" w:color="auto" w:frame="1"/>
              </w:rPr>
              <w:t>参与集中的经营者在中国境外设立合营企业，合营企业不在中国境内从事经济活动。</w:t>
            </w:r>
          </w:p>
        </w:tc>
      </w:tr>
      <w:tr w:rsidR="00CB00DF" w:rsidRPr="00CB00DF" w:rsidTr="00CB00DF">
        <w:trPr>
          <w:trHeight w:val="264"/>
        </w:trPr>
        <w:tc>
          <w:tcPr>
            <w:tcW w:w="1809" w:type="dxa"/>
            <w:vMerge/>
            <w:shd w:val="clear" w:color="auto" w:fill="D9D9D9"/>
            <w:vAlign w:val="center"/>
          </w:tcPr>
          <w:p w:rsidR="00CB00DF" w:rsidRPr="00CB00DF" w:rsidRDefault="00CB00DF" w:rsidP="00CB00DF">
            <w:pPr>
              <w:spacing w:line="500" w:lineRule="exact"/>
              <w:jc w:val="center"/>
              <w:rPr>
                <w:rFonts w:ascii="仿宋" w:eastAsia="仿宋" w:hAnsi="仿宋" w:cs="宋体"/>
                <w:color w:val="333333"/>
                <w:kern w:val="0"/>
                <w:sz w:val="24"/>
                <w:szCs w:val="24"/>
                <w:bdr w:val="none" w:sz="0" w:space="0" w:color="auto" w:frame="1"/>
              </w:rPr>
            </w:pPr>
          </w:p>
        </w:tc>
        <w:tc>
          <w:tcPr>
            <w:tcW w:w="6949" w:type="dxa"/>
            <w:gridSpan w:val="2"/>
          </w:tcPr>
          <w:p w:rsidR="00CB00DF" w:rsidRPr="00CB00DF" w:rsidRDefault="00CB00DF" w:rsidP="006908A4">
            <w:pPr>
              <w:spacing w:line="500" w:lineRule="exact"/>
              <w:rPr>
                <w:rFonts w:ascii="仿宋" w:eastAsia="仿宋" w:hAnsi="仿宋" w:cs="宋体"/>
                <w:color w:val="333333"/>
                <w:kern w:val="0"/>
                <w:sz w:val="24"/>
                <w:szCs w:val="24"/>
                <w:bdr w:val="none" w:sz="0" w:space="0" w:color="auto" w:frame="1"/>
              </w:rPr>
            </w:pPr>
            <w:r w:rsidRPr="00CB00DF">
              <w:rPr>
                <w:rFonts w:ascii="仿宋" w:eastAsia="仿宋" w:hAnsi="仿宋" w:cs="宋体" w:hint="eastAsia"/>
                <w:color w:val="333333"/>
                <w:kern w:val="0"/>
                <w:sz w:val="24"/>
                <w:szCs w:val="24"/>
                <w:bdr w:val="none" w:sz="0" w:space="0" w:color="auto" w:frame="1"/>
              </w:rPr>
              <w:t>□5</w:t>
            </w:r>
            <w:r>
              <w:rPr>
                <w:rFonts w:ascii="仿宋" w:eastAsia="仿宋" w:hAnsi="仿宋" w:cs="宋体" w:hint="eastAsia"/>
                <w:color w:val="333333"/>
                <w:kern w:val="0"/>
                <w:sz w:val="24"/>
                <w:szCs w:val="24"/>
                <w:bdr w:val="none" w:sz="0" w:space="0" w:color="auto" w:frame="1"/>
              </w:rPr>
              <w:t>.</w:t>
            </w:r>
            <w:r w:rsidRPr="00CB00DF">
              <w:rPr>
                <w:rFonts w:ascii="仿宋" w:eastAsia="仿宋" w:hAnsi="仿宋" w:cs="宋体" w:hint="eastAsia"/>
                <w:color w:val="333333"/>
                <w:kern w:val="0"/>
                <w:sz w:val="24"/>
                <w:szCs w:val="24"/>
                <w:bdr w:val="none" w:sz="0" w:space="0" w:color="auto" w:frame="1"/>
              </w:rPr>
              <w:t>参与集中的经营者收购境外企业股权或资产的，该境外企业不在中国境内从事经济活动。</w:t>
            </w:r>
          </w:p>
        </w:tc>
      </w:tr>
      <w:tr w:rsidR="00CB00DF" w:rsidRPr="00CB00DF" w:rsidTr="00CB00DF">
        <w:trPr>
          <w:trHeight w:val="345"/>
        </w:trPr>
        <w:tc>
          <w:tcPr>
            <w:tcW w:w="1809" w:type="dxa"/>
            <w:vMerge/>
            <w:shd w:val="clear" w:color="auto" w:fill="D9D9D9"/>
            <w:vAlign w:val="center"/>
          </w:tcPr>
          <w:p w:rsidR="00CB00DF" w:rsidRPr="00CB00DF" w:rsidRDefault="00CB00DF" w:rsidP="00CB00DF">
            <w:pPr>
              <w:spacing w:line="500" w:lineRule="exact"/>
              <w:jc w:val="center"/>
              <w:rPr>
                <w:rFonts w:ascii="仿宋" w:eastAsia="仿宋" w:hAnsi="仿宋" w:cs="宋体"/>
                <w:color w:val="333333"/>
                <w:kern w:val="0"/>
                <w:sz w:val="24"/>
                <w:szCs w:val="24"/>
                <w:bdr w:val="none" w:sz="0" w:space="0" w:color="auto" w:frame="1"/>
              </w:rPr>
            </w:pPr>
          </w:p>
        </w:tc>
        <w:tc>
          <w:tcPr>
            <w:tcW w:w="6949" w:type="dxa"/>
            <w:gridSpan w:val="2"/>
          </w:tcPr>
          <w:p w:rsidR="00CB00DF" w:rsidRPr="00CB00DF" w:rsidRDefault="00CB00DF" w:rsidP="006908A4">
            <w:pPr>
              <w:spacing w:line="500" w:lineRule="exact"/>
              <w:rPr>
                <w:rFonts w:ascii="仿宋" w:eastAsia="仿宋" w:hAnsi="仿宋" w:cs="宋体"/>
                <w:color w:val="333333"/>
                <w:kern w:val="0"/>
                <w:sz w:val="24"/>
                <w:szCs w:val="24"/>
                <w:bdr w:val="none" w:sz="0" w:space="0" w:color="auto" w:frame="1"/>
              </w:rPr>
            </w:pPr>
            <w:r w:rsidRPr="00CB00DF">
              <w:rPr>
                <w:rFonts w:ascii="仿宋" w:eastAsia="仿宋" w:hAnsi="仿宋" w:cs="宋体" w:hint="eastAsia"/>
                <w:color w:val="333333"/>
                <w:kern w:val="0"/>
                <w:sz w:val="24"/>
                <w:szCs w:val="24"/>
                <w:bdr w:val="none" w:sz="0" w:space="0" w:color="auto" w:frame="1"/>
              </w:rPr>
              <w:t>□6</w:t>
            </w:r>
            <w:r>
              <w:rPr>
                <w:rFonts w:ascii="仿宋" w:eastAsia="仿宋" w:hAnsi="仿宋" w:cs="宋体" w:hint="eastAsia"/>
                <w:color w:val="333333"/>
                <w:kern w:val="0"/>
                <w:sz w:val="24"/>
                <w:szCs w:val="24"/>
                <w:bdr w:val="none" w:sz="0" w:space="0" w:color="auto" w:frame="1"/>
              </w:rPr>
              <w:t>.</w:t>
            </w:r>
            <w:r w:rsidRPr="00CB00DF">
              <w:rPr>
                <w:rFonts w:ascii="仿宋" w:eastAsia="仿宋" w:hAnsi="仿宋" w:cs="宋体" w:hint="eastAsia"/>
                <w:color w:val="333333"/>
                <w:kern w:val="0"/>
                <w:sz w:val="24"/>
                <w:szCs w:val="24"/>
                <w:bdr w:val="none" w:sz="0" w:space="0" w:color="auto" w:frame="1"/>
              </w:rPr>
              <w:t>由两个以上的经营者共同控制的合营企业，通过集中被其中一个或一个以上经营者控制。</w:t>
            </w:r>
          </w:p>
        </w:tc>
      </w:tr>
      <w:tr w:rsidR="00CB00DF" w:rsidRPr="00CB00DF" w:rsidTr="00CB00DF">
        <w:tc>
          <w:tcPr>
            <w:tcW w:w="1809" w:type="dxa"/>
            <w:shd w:val="clear" w:color="auto" w:fill="D9D9D9"/>
            <w:vAlign w:val="center"/>
          </w:tcPr>
          <w:p w:rsidR="00CB00DF" w:rsidRPr="00CB00DF" w:rsidRDefault="00CB00DF" w:rsidP="00CB00DF">
            <w:pPr>
              <w:spacing w:line="500" w:lineRule="exact"/>
              <w:jc w:val="center"/>
              <w:rPr>
                <w:rFonts w:ascii="仿宋" w:eastAsia="仿宋" w:hAnsi="仿宋" w:cs="宋体"/>
                <w:color w:val="333333"/>
                <w:kern w:val="0"/>
                <w:sz w:val="24"/>
                <w:szCs w:val="24"/>
                <w:bdr w:val="none" w:sz="0" w:space="0" w:color="auto" w:frame="1"/>
              </w:rPr>
            </w:pPr>
            <w:r w:rsidRPr="00CB00DF">
              <w:rPr>
                <w:rFonts w:ascii="仿宋" w:eastAsia="仿宋" w:hAnsi="仿宋" w:cs="宋体" w:hint="eastAsia"/>
                <w:color w:val="333333"/>
                <w:kern w:val="0"/>
                <w:sz w:val="24"/>
                <w:szCs w:val="24"/>
                <w:bdr w:val="none" w:sz="0" w:space="0" w:color="auto" w:frame="1"/>
              </w:rPr>
              <w:t>备注</w:t>
            </w:r>
          </w:p>
        </w:tc>
        <w:tc>
          <w:tcPr>
            <w:tcW w:w="6949" w:type="dxa"/>
            <w:gridSpan w:val="2"/>
          </w:tcPr>
          <w:p w:rsidR="009D10F2" w:rsidRDefault="009D10F2" w:rsidP="009D10F2">
            <w:pPr>
              <w:spacing w:line="500" w:lineRule="exact"/>
              <w:rPr>
                <w:rFonts w:ascii="仿宋" w:eastAsia="仿宋" w:hAnsi="仿宋" w:cs="宋体"/>
                <w:color w:val="333333"/>
                <w:kern w:val="0"/>
                <w:sz w:val="24"/>
                <w:szCs w:val="24"/>
                <w:bdr w:val="none" w:sz="0" w:space="0" w:color="auto" w:frame="1"/>
              </w:rPr>
            </w:pPr>
            <w:r w:rsidRPr="009D10F2">
              <w:rPr>
                <w:rFonts w:ascii="仿宋" w:eastAsia="仿宋" w:hAnsi="仿宋" w:cs="宋体"/>
                <w:color w:val="333333"/>
                <w:kern w:val="0"/>
                <w:sz w:val="24"/>
                <w:szCs w:val="24"/>
                <w:bdr w:val="none" w:sz="0" w:space="0" w:color="auto" w:frame="1"/>
              </w:rPr>
              <w:t>相关</w:t>
            </w:r>
            <w:r w:rsidR="00351985">
              <w:rPr>
                <w:rFonts w:ascii="仿宋" w:eastAsia="仿宋" w:hAnsi="仿宋" w:cs="宋体" w:hint="eastAsia"/>
                <w:color w:val="333333"/>
                <w:kern w:val="0"/>
                <w:sz w:val="24"/>
                <w:szCs w:val="24"/>
                <w:bdr w:val="none" w:sz="0" w:space="0" w:color="auto" w:frame="1"/>
              </w:rPr>
              <w:t>产品市场</w:t>
            </w:r>
            <w:r w:rsidRPr="009D10F2">
              <w:rPr>
                <w:rFonts w:ascii="仿宋" w:eastAsia="仿宋" w:hAnsi="仿宋" w:cs="宋体" w:hint="eastAsia"/>
                <w:color w:val="333333"/>
                <w:kern w:val="0"/>
                <w:sz w:val="24"/>
                <w:szCs w:val="24"/>
                <w:bdr w:val="none" w:sz="0" w:space="0" w:color="auto" w:frame="1"/>
              </w:rPr>
              <w:t>：</w:t>
            </w:r>
            <w:r>
              <w:rPr>
                <w:rFonts w:ascii="仿宋" w:eastAsia="仿宋" w:hAnsi="仿宋" w:cs="宋体" w:hint="eastAsia"/>
                <w:color w:val="333333"/>
                <w:kern w:val="0"/>
                <w:sz w:val="24"/>
                <w:szCs w:val="24"/>
                <w:bdr w:val="none" w:sz="0" w:space="0" w:color="auto" w:frame="1"/>
              </w:rPr>
              <w:t>纯碱</w:t>
            </w:r>
          </w:p>
          <w:p w:rsidR="00351985" w:rsidRDefault="00351985" w:rsidP="009D10F2">
            <w:pPr>
              <w:spacing w:line="500" w:lineRule="exact"/>
              <w:rPr>
                <w:rFonts w:ascii="仿宋" w:eastAsia="仿宋" w:hAnsi="仿宋" w:cs="宋体"/>
                <w:color w:val="333333"/>
                <w:kern w:val="0"/>
                <w:sz w:val="24"/>
                <w:szCs w:val="24"/>
                <w:bdr w:val="none" w:sz="0" w:space="0" w:color="auto" w:frame="1"/>
              </w:rPr>
            </w:pPr>
            <w:r>
              <w:rPr>
                <w:rFonts w:ascii="仿宋" w:eastAsia="仿宋" w:hAnsi="仿宋" w:cs="宋体" w:hint="eastAsia"/>
                <w:color w:val="333333"/>
                <w:kern w:val="0"/>
                <w:sz w:val="24"/>
                <w:szCs w:val="24"/>
                <w:bdr w:val="none" w:sz="0" w:space="0" w:color="auto" w:frame="1"/>
              </w:rPr>
              <w:t>相关地域市场：中国境内市场</w:t>
            </w:r>
          </w:p>
          <w:p w:rsidR="00CB00DF" w:rsidRPr="00CB00DF" w:rsidRDefault="009D10F2" w:rsidP="006908A4">
            <w:pPr>
              <w:spacing w:line="500" w:lineRule="exact"/>
              <w:rPr>
                <w:rFonts w:ascii="仿宋" w:eastAsia="仿宋" w:hAnsi="仿宋" w:cs="宋体"/>
                <w:color w:val="333333"/>
                <w:kern w:val="0"/>
                <w:sz w:val="24"/>
                <w:szCs w:val="24"/>
                <w:bdr w:val="none" w:sz="0" w:space="0" w:color="auto" w:frame="1"/>
              </w:rPr>
            </w:pPr>
            <w:r w:rsidRPr="009D10F2">
              <w:rPr>
                <w:rFonts w:ascii="仿宋" w:eastAsia="仿宋" w:hAnsi="仿宋" w:cs="宋体"/>
                <w:color w:val="333333"/>
                <w:kern w:val="0"/>
                <w:sz w:val="24"/>
                <w:szCs w:val="24"/>
                <w:bdr w:val="none" w:sz="0" w:space="0" w:color="auto" w:frame="1"/>
              </w:rPr>
              <w:t>市场份额数据</w:t>
            </w:r>
            <w:r w:rsidR="007B6DCF">
              <w:rPr>
                <w:rFonts w:ascii="仿宋" w:eastAsia="仿宋" w:hAnsi="仿宋" w:cs="宋体" w:hint="eastAsia"/>
                <w:color w:val="333333"/>
                <w:kern w:val="0"/>
                <w:sz w:val="24"/>
                <w:szCs w:val="24"/>
                <w:bdr w:val="none" w:sz="0" w:space="0" w:color="auto" w:frame="1"/>
              </w:rPr>
              <w:t>:</w:t>
            </w:r>
            <w:r w:rsidR="0066721C">
              <w:rPr>
                <w:rFonts w:ascii="仿宋" w:eastAsia="仿宋" w:hAnsi="仿宋" w:cs="宋体" w:hint="eastAsia"/>
                <w:color w:val="333333"/>
                <w:kern w:val="0"/>
                <w:sz w:val="24"/>
                <w:szCs w:val="24"/>
                <w:bdr w:val="none" w:sz="0" w:space="0" w:color="auto" w:frame="1"/>
              </w:rPr>
              <w:t>中盐化工</w:t>
            </w:r>
            <w:r>
              <w:rPr>
                <w:rFonts w:ascii="仿宋" w:eastAsia="仿宋" w:hAnsi="仿宋" w:cs="宋体" w:hint="eastAsia"/>
                <w:color w:val="333333"/>
                <w:kern w:val="0"/>
                <w:sz w:val="24"/>
                <w:szCs w:val="24"/>
                <w:bdr w:val="none" w:sz="0" w:space="0" w:color="auto" w:frame="1"/>
              </w:rPr>
              <w:t>:</w:t>
            </w:r>
            <w:r w:rsidR="00B80BFC">
              <w:rPr>
                <w:rFonts w:ascii="仿宋" w:eastAsia="仿宋" w:hAnsi="仿宋" w:cs="宋体"/>
                <w:color w:val="333333"/>
                <w:kern w:val="0"/>
                <w:sz w:val="24"/>
                <w:szCs w:val="24"/>
                <w:bdr w:val="none" w:sz="0" w:space="0" w:color="auto" w:frame="1"/>
              </w:rPr>
              <w:t>1</w:t>
            </w:r>
            <w:r w:rsidR="00EE3BBF">
              <w:rPr>
                <w:rFonts w:ascii="仿宋" w:eastAsia="仿宋" w:hAnsi="仿宋" w:cs="宋体"/>
                <w:color w:val="333333"/>
                <w:kern w:val="0"/>
                <w:sz w:val="24"/>
                <w:szCs w:val="24"/>
                <w:bdr w:val="none" w:sz="0" w:space="0" w:color="auto" w:frame="1"/>
              </w:rPr>
              <w:t>0</w:t>
            </w:r>
            <w:r w:rsidR="00EE3BBF">
              <w:rPr>
                <w:rFonts w:ascii="仿宋" w:eastAsia="仿宋" w:hAnsi="仿宋" w:cs="宋体" w:hint="eastAsia"/>
                <w:color w:val="333333"/>
                <w:kern w:val="0"/>
                <w:sz w:val="24"/>
                <w:szCs w:val="24"/>
                <w:bdr w:val="none" w:sz="0" w:space="0" w:color="auto" w:frame="1"/>
              </w:rPr>
              <w:t>%</w:t>
            </w:r>
            <w:r w:rsidR="00B80BFC">
              <w:rPr>
                <w:rFonts w:ascii="仿宋" w:eastAsia="仿宋" w:hAnsi="仿宋" w:cs="宋体" w:hint="eastAsia"/>
                <w:color w:val="333333"/>
                <w:kern w:val="0"/>
                <w:sz w:val="24"/>
                <w:szCs w:val="24"/>
                <w:bdr w:val="none" w:sz="0" w:space="0" w:color="auto" w:frame="1"/>
              </w:rPr>
              <w:t>-</w:t>
            </w:r>
            <w:r w:rsidR="007B6DCF">
              <w:rPr>
                <w:rFonts w:ascii="仿宋" w:eastAsia="仿宋" w:hAnsi="仿宋" w:cs="宋体"/>
                <w:color w:val="333333"/>
                <w:kern w:val="0"/>
                <w:sz w:val="24"/>
                <w:szCs w:val="24"/>
                <w:bdr w:val="none" w:sz="0" w:space="0" w:color="auto" w:frame="1"/>
              </w:rPr>
              <w:t>1</w:t>
            </w:r>
            <w:r w:rsidR="00B80BFC">
              <w:rPr>
                <w:rFonts w:ascii="仿宋" w:eastAsia="仿宋" w:hAnsi="仿宋" w:cs="宋体"/>
                <w:color w:val="333333"/>
                <w:kern w:val="0"/>
                <w:sz w:val="24"/>
                <w:szCs w:val="24"/>
                <w:bdr w:val="none" w:sz="0" w:space="0" w:color="auto" w:frame="1"/>
              </w:rPr>
              <w:t>5</w:t>
            </w:r>
            <w:r w:rsidR="0066721C" w:rsidRPr="00387D3E">
              <w:rPr>
                <w:rFonts w:ascii="仿宋" w:eastAsia="仿宋" w:hAnsi="仿宋" w:cs="宋体"/>
                <w:color w:val="333333"/>
                <w:kern w:val="0"/>
                <w:sz w:val="24"/>
                <w:szCs w:val="24"/>
                <w:bdr w:val="none" w:sz="0" w:space="0" w:color="auto" w:frame="1"/>
              </w:rPr>
              <w:t>%</w:t>
            </w:r>
            <w:r w:rsidR="007B6DCF">
              <w:rPr>
                <w:rFonts w:ascii="仿宋" w:eastAsia="仿宋" w:hAnsi="仿宋" w:cs="宋体" w:hint="eastAsia"/>
                <w:color w:val="333333"/>
                <w:kern w:val="0"/>
                <w:sz w:val="24"/>
                <w:szCs w:val="24"/>
                <w:bdr w:val="none" w:sz="0" w:space="0" w:color="auto" w:frame="1"/>
              </w:rPr>
              <w:t>；</w:t>
            </w:r>
            <w:r w:rsidR="00CA74A2" w:rsidRPr="00387D3E">
              <w:rPr>
                <w:rFonts w:ascii="仿宋" w:eastAsia="仿宋" w:hAnsi="仿宋" w:cs="宋体" w:hint="eastAsia"/>
                <w:color w:val="333333"/>
                <w:kern w:val="0"/>
                <w:sz w:val="24"/>
                <w:szCs w:val="24"/>
                <w:bdr w:val="none" w:sz="0" w:space="0" w:color="auto" w:frame="1"/>
              </w:rPr>
              <w:t>发投碱业</w:t>
            </w:r>
            <w:r w:rsidR="007B6DCF">
              <w:rPr>
                <w:rFonts w:ascii="仿宋" w:eastAsia="仿宋" w:hAnsi="仿宋" w:cs="宋体" w:hint="eastAsia"/>
                <w:color w:val="333333"/>
                <w:kern w:val="0"/>
                <w:sz w:val="24"/>
                <w:szCs w:val="24"/>
                <w:bdr w:val="none" w:sz="0" w:space="0" w:color="auto" w:frame="1"/>
              </w:rPr>
              <w:t>：</w:t>
            </w:r>
            <w:r w:rsidR="00B80BFC">
              <w:rPr>
                <w:rFonts w:ascii="仿宋" w:eastAsia="仿宋" w:hAnsi="仿宋" w:cs="宋体"/>
                <w:color w:val="333333"/>
                <w:kern w:val="0"/>
                <w:sz w:val="24"/>
                <w:szCs w:val="24"/>
                <w:bdr w:val="none" w:sz="0" w:space="0" w:color="auto" w:frame="1"/>
              </w:rPr>
              <w:t>0</w:t>
            </w:r>
            <w:r w:rsidR="00EE3BBF">
              <w:rPr>
                <w:rFonts w:ascii="仿宋" w:eastAsia="仿宋" w:hAnsi="仿宋" w:cs="宋体" w:hint="eastAsia"/>
                <w:color w:val="333333"/>
                <w:kern w:val="0"/>
                <w:sz w:val="24"/>
                <w:szCs w:val="24"/>
                <w:bdr w:val="none" w:sz="0" w:space="0" w:color="auto" w:frame="1"/>
              </w:rPr>
              <w:t>%</w:t>
            </w:r>
            <w:bookmarkStart w:id="0" w:name="_GoBack"/>
            <w:bookmarkEnd w:id="0"/>
            <w:r w:rsidR="00B80BFC">
              <w:rPr>
                <w:rFonts w:ascii="仿宋" w:eastAsia="仿宋" w:hAnsi="仿宋" w:cs="宋体" w:hint="eastAsia"/>
                <w:color w:val="333333"/>
                <w:kern w:val="0"/>
                <w:sz w:val="24"/>
                <w:szCs w:val="24"/>
                <w:bdr w:val="none" w:sz="0" w:space="0" w:color="auto" w:frame="1"/>
              </w:rPr>
              <w:t>-</w:t>
            </w:r>
            <w:r w:rsidR="00B80BFC">
              <w:rPr>
                <w:rFonts w:ascii="仿宋" w:eastAsia="仿宋" w:hAnsi="仿宋" w:cs="宋体"/>
                <w:color w:val="333333"/>
                <w:kern w:val="0"/>
                <w:sz w:val="24"/>
                <w:szCs w:val="24"/>
                <w:bdr w:val="none" w:sz="0" w:space="0" w:color="auto" w:frame="1"/>
              </w:rPr>
              <w:t>5</w:t>
            </w:r>
            <w:r w:rsidR="0066721C" w:rsidRPr="00387D3E">
              <w:rPr>
                <w:rFonts w:ascii="仿宋" w:eastAsia="仿宋" w:hAnsi="仿宋" w:cs="宋体"/>
                <w:color w:val="333333"/>
                <w:kern w:val="0"/>
                <w:sz w:val="24"/>
                <w:szCs w:val="24"/>
                <w:bdr w:val="none" w:sz="0" w:space="0" w:color="auto" w:frame="1"/>
              </w:rPr>
              <w:t>%</w:t>
            </w:r>
            <w:r w:rsidR="0066721C" w:rsidRPr="00387D3E">
              <w:rPr>
                <w:rFonts w:ascii="仿宋" w:eastAsia="仿宋" w:hAnsi="仿宋" w:cs="宋体" w:hint="eastAsia"/>
                <w:color w:val="333333"/>
                <w:kern w:val="0"/>
                <w:sz w:val="24"/>
                <w:szCs w:val="24"/>
                <w:bdr w:val="none" w:sz="0" w:space="0" w:color="auto" w:frame="1"/>
              </w:rPr>
              <w:t>。</w:t>
            </w:r>
          </w:p>
        </w:tc>
      </w:tr>
    </w:tbl>
    <w:p w:rsidR="00CB00DF" w:rsidRDefault="00CB00DF" w:rsidP="00CB00DF">
      <w:pPr>
        <w:snapToGrid w:val="0"/>
        <w:spacing w:line="240" w:lineRule="exact"/>
        <w:jc w:val="left"/>
        <w:rPr>
          <w:rFonts w:ascii="楷体_GB2312" w:eastAsia="楷体_GB2312" w:hAnsi="宋体"/>
          <w:sz w:val="24"/>
          <w:szCs w:val="24"/>
        </w:rPr>
      </w:pPr>
    </w:p>
    <w:p w:rsidR="00CB00DF" w:rsidRPr="00CB00DF" w:rsidRDefault="00CB00DF" w:rsidP="00CB00DF">
      <w:pPr>
        <w:snapToGrid w:val="0"/>
        <w:spacing w:line="240" w:lineRule="exact"/>
        <w:jc w:val="left"/>
        <w:rPr>
          <w:rFonts w:ascii="方正仿宋_GBK" w:eastAsia="方正仿宋_GBK" w:hAnsi="宋体"/>
          <w:sz w:val="24"/>
          <w:szCs w:val="24"/>
        </w:rPr>
      </w:pPr>
      <w:r w:rsidRPr="00CB00DF">
        <w:rPr>
          <w:rFonts w:ascii="方正仿宋_GBK" w:eastAsia="方正仿宋_GBK" w:hAnsi="宋体" w:hint="eastAsia"/>
          <w:sz w:val="24"/>
          <w:szCs w:val="24"/>
        </w:rPr>
        <w:t>注解：</w:t>
      </w:r>
    </w:p>
    <w:p w:rsidR="00CB00DF" w:rsidRPr="00CB00DF" w:rsidRDefault="00CB00DF" w:rsidP="00CB00DF">
      <w:pPr>
        <w:snapToGrid w:val="0"/>
        <w:spacing w:line="360" w:lineRule="auto"/>
        <w:ind w:firstLineChars="200" w:firstLine="480"/>
        <w:jc w:val="left"/>
        <w:rPr>
          <w:rFonts w:ascii="方正仿宋_GBK" w:eastAsia="方正仿宋_GBK" w:hAnsi="宋体"/>
          <w:sz w:val="24"/>
          <w:szCs w:val="24"/>
        </w:rPr>
      </w:pPr>
      <w:r w:rsidRPr="00CB00DF">
        <w:rPr>
          <w:rFonts w:ascii="方正仿宋_GBK" w:eastAsia="方正仿宋_GBK" w:hAnsi="宋体" w:hint="eastAsia"/>
          <w:sz w:val="24"/>
          <w:szCs w:val="24"/>
        </w:rPr>
        <w:t>1</w:t>
      </w:r>
      <w:r>
        <w:rPr>
          <w:rFonts w:ascii="方正仿宋_GBK" w:eastAsia="方正仿宋_GBK" w:hAnsi="宋体" w:hint="eastAsia"/>
          <w:sz w:val="24"/>
          <w:szCs w:val="24"/>
        </w:rPr>
        <w:t>.</w:t>
      </w:r>
      <w:r w:rsidRPr="00CB00DF">
        <w:rPr>
          <w:rFonts w:ascii="方正仿宋_GBK" w:eastAsia="方正仿宋_GBK" w:hAnsi="宋体" w:hint="eastAsia"/>
          <w:sz w:val="24"/>
          <w:szCs w:val="24"/>
        </w:rPr>
        <w:t>申报方申请简易案件的理由是基于1-3项时，须在备注中说明界定的相关商品市场和相关地域市场（无须阐述界定理由），以及相关市场份额；市场份额可以区间形式提供，区间幅度不应超过5%。1-3项可以多选，也可单选；没有勾选的，视为本集中不涉及该类型交易。</w:t>
      </w:r>
    </w:p>
    <w:p w:rsidR="00CB00DF" w:rsidRPr="00CB00DF" w:rsidRDefault="00CB00DF" w:rsidP="00CB00DF">
      <w:pPr>
        <w:spacing w:line="360" w:lineRule="auto"/>
        <w:ind w:firstLineChars="200" w:firstLine="480"/>
        <w:rPr>
          <w:rFonts w:ascii="方正仿宋_GBK" w:eastAsia="方正仿宋_GBK" w:hAnsi="Times New Roman"/>
          <w:sz w:val="28"/>
          <w:szCs w:val="28"/>
        </w:rPr>
      </w:pPr>
      <w:r w:rsidRPr="00CB00DF">
        <w:rPr>
          <w:rFonts w:ascii="方正仿宋_GBK" w:eastAsia="方正仿宋_GBK" w:hAnsi="宋体" w:hint="eastAsia"/>
          <w:sz w:val="24"/>
          <w:szCs w:val="24"/>
        </w:rPr>
        <w:t>2</w:t>
      </w:r>
      <w:r>
        <w:rPr>
          <w:rFonts w:ascii="方正仿宋_GBK" w:eastAsia="方正仿宋_GBK" w:hAnsi="宋体" w:hint="eastAsia"/>
          <w:sz w:val="24"/>
          <w:szCs w:val="24"/>
        </w:rPr>
        <w:t>.</w:t>
      </w:r>
      <w:r w:rsidRPr="00CB00DF">
        <w:rPr>
          <w:rFonts w:ascii="方正仿宋_GBK" w:eastAsia="方正仿宋_GBK" w:hAnsi="宋体" w:hint="eastAsia"/>
          <w:sz w:val="24"/>
          <w:szCs w:val="24"/>
        </w:rPr>
        <w:t>申报方申请简易案件的理由是基于第4项、第5项时，无须在备注中说明相关市场和市场份额。</w:t>
      </w:r>
      <w:r w:rsidRPr="00CB00DF">
        <w:rPr>
          <w:rFonts w:ascii="方正仿宋_GBK" w:eastAsia="方正仿宋_GBK" w:hAnsi="宋体" w:hint="eastAsia"/>
          <w:sz w:val="24"/>
          <w:szCs w:val="24"/>
        </w:rPr>
        <w:br/>
        <w:t xml:space="preserve">    3</w:t>
      </w:r>
      <w:r>
        <w:rPr>
          <w:rFonts w:ascii="方正仿宋_GBK" w:eastAsia="方正仿宋_GBK" w:hAnsi="宋体" w:hint="eastAsia"/>
          <w:sz w:val="24"/>
          <w:szCs w:val="24"/>
        </w:rPr>
        <w:t>.</w:t>
      </w:r>
      <w:r w:rsidRPr="00CB00DF">
        <w:rPr>
          <w:rFonts w:ascii="方正仿宋_GBK" w:eastAsia="方正仿宋_GBK" w:hAnsi="宋体" w:hint="eastAsia"/>
          <w:sz w:val="24"/>
          <w:szCs w:val="24"/>
        </w:rPr>
        <w:t>由两个或两个以上经营者共同控制的合营企业，通过集中被其中的一个经营者控制，如果该经营者与合营企业属于同一相关市场的竞争者，则申报方在申请简易案件时，须同时勾选第1项和第6项理由，并在备注中说明界定的相关商品市场和相关地域市场（无须阐述界定理由），以及相关市场份额。市场份额可以区间形式提供，区间幅度不应超过5%。</w:t>
      </w:r>
    </w:p>
    <w:p w:rsidR="00CB00DF" w:rsidRDefault="00CB00DF" w:rsidP="00CB00DF"/>
    <w:p w:rsidR="000F5E24" w:rsidRPr="00CB00DF" w:rsidRDefault="000744E5"/>
    <w:sectPr w:rsidR="000F5E24" w:rsidRPr="00CB00DF" w:rsidSect="00ED21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4E5" w:rsidRDefault="000744E5" w:rsidP="00387D3E">
      <w:r>
        <w:separator/>
      </w:r>
    </w:p>
  </w:endnote>
  <w:endnote w:type="continuationSeparator" w:id="0">
    <w:p w:rsidR="000744E5" w:rsidRDefault="000744E5" w:rsidP="0038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楷体_GB2312">
    <w:altName w:val="楷体"/>
    <w:charset w:val="86"/>
    <w:family w:val="modern"/>
    <w:pitch w:val="default"/>
    <w:sig w:usb0="00000000" w:usb1="00000000" w:usb2="00000010" w:usb3="00000000" w:csb0="00040000" w:csb1="00000000"/>
  </w:font>
  <w:font w:name="方正仿宋_GBK">
    <w:altName w:val="宋体"/>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4E5" w:rsidRDefault="000744E5" w:rsidP="00387D3E">
      <w:r>
        <w:separator/>
      </w:r>
    </w:p>
  </w:footnote>
  <w:footnote w:type="continuationSeparator" w:id="0">
    <w:p w:rsidR="000744E5" w:rsidRDefault="000744E5" w:rsidP="00387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fullPage"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DF"/>
    <w:rsid w:val="00037065"/>
    <w:rsid w:val="000744E5"/>
    <w:rsid w:val="000D7EBA"/>
    <w:rsid w:val="001164CD"/>
    <w:rsid w:val="00155717"/>
    <w:rsid w:val="001837A3"/>
    <w:rsid w:val="00351985"/>
    <w:rsid w:val="00387D3E"/>
    <w:rsid w:val="003C0AEB"/>
    <w:rsid w:val="004F7688"/>
    <w:rsid w:val="0063572D"/>
    <w:rsid w:val="006467D8"/>
    <w:rsid w:val="0066721C"/>
    <w:rsid w:val="006A531B"/>
    <w:rsid w:val="006F7693"/>
    <w:rsid w:val="00710140"/>
    <w:rsid w:val="007136B6"/>
    <w:rsid w:val="007A15E2"/>
    <w:rsid w:val="007B6DCF"/>
    <w:rsid w:val="007F2275"/>
    <w:rsid w:val="00915F0F"/>
    <w:rsid w:val="00942D5B"/>
    <w:rsid w:val="009532DF"/>
    <w:rsid w:val="009555EE"/>
    <w:rsid w:val="00997019"/>
    <w:rsid w:val="009A5029"/>
    <w:rsid w:val="009D10F2"/>
    <w:rsid w:val="009D38D5"/>
    <w:rsid w:val="00A53F26"/>
    <w:rsid w:val="00AA0CC5"/>
    <w:rsid w:val="00AA0EC3"/>
    <w:rsid w:val="00AC5328"/>
    <w:rsid w:val="00B16AFE"/>
    <w:rsid w:val="00B65DD5"/>
    <w:rsid w:val="00B80BFC"/>
    <w:rsid w:val="00BD10B6"/>
    <w:rsid w:val="00C07076"/>
    <w:rsid w:val="00CA74A2"/>
    <w:rsid w:val="00CB00DF"/>
    <w:rsid w:val="00D73C72"/>
    <w:rsid w:val="00E0592B"/>
    <w:rsid w:val="00E31738"/>
    <w:rsid w:val="00E86786"/>
    <w:rsid w:val="00EB7335"/>
    <w:rsid w:val="00ED2F80"/>
    <w:rsid w:val="00EE3BBF"/>
    <w:rsid w:val="00F1624E"/>
    <w:rsid w:val="00F32F8A"/>
    <w:rsid w:val="00F419F3"/>
    <w:rsid w:val="00F810AA"/>
    <w:rsid w:val="00FB43EC"/>
    <w:rsid w:val="00FB6606"/>
    <w:rsid w:val="00FB6B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3E3A0"/>
  <w15:docId w15:val="{A27F0662-A581-C149-83D3-0E18006D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00D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D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7D3E"/>
    <w:rPr>
      <w:rFonts w:ascii="Calibri" w:eastAsia="宋体" w:hAnsi="Calibri" w:cs="Times New Roman"/>
      <w:sz w:val="18"/>
      <w:szCs w:val="18"/>
    </w:rPr>
  </w:style>
  <w:style w:type="paragraph" w:styleId="a5">
    <w:name w:val="footer"/>
    <w:basedOn w:val="a"/>
    <w:link w:val="a6"/>
    <w:uiPriority w:val="99"/>
    <w:unhideWhenUsed/>
    <w:rsid w:val="00387D3E"/>
    <w:pPr>
      <w:tabs>
        <w:tab w:val="center" w:pos="4153"/>
        <w:tab w:val="right" w:pos="8306"/>
      </w:tabs>
      <w:snapToGrid w:val="0"/>
      <w:jc w:val="left"/>
    </w:pPr>
    <w:rPr>
      <w:sz w:val="18"/>
      <w:szCs w:val="18"/>
    </w:rPr>
  </w:style>
  <w:style w:type="character" w:customStyle="1" w:styleId="a6">
    <w:name w:val="页脚 字符"/>
    <w:basedOn w:val="a0"/>
    <w:link w:val="a5"/>
    <w:uiPriority w:val="99"/>
    <w:rsid w:val="00387D3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陈媚</dc:creator>
  <cp:lastModifiedBy>MyPC</cp:lastModifiedBy>
  <cp:revision>10</cp:revision>
  <dcterms:created xsi:type="dcterms:W3CDTF">2020-09-17T11:07:00Z</dcterms:created>
  <dcterms:modified xsi:type="dcterms:W3CDTF">2021-08-18T08:38:00Z</dcterms:modified>
</cp:coreProperties>
</file>