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5F" w:rsidRPr="00E26150" w:rsidRDefault="007C375F" w:rsidP="007C375F">
      <w:pPr>
        <w:spacing w:line="440" w:lineRule="exact"/>
        <w:jc w:val="center"/>
        <w:rPr>
          <w:rFonts w:ascii="Times New Roman" w:eastAsia="黑体" w:hAnsi="Times New Roman"/>
          <w:sz w:val="30"/>
          <w:szCs w:val="30"/>
        </w:rPr>
      </w:pPr>
      <w:r w:rsidRPr="007A6E43">
        <w:rPr>
          <w:rFonts w:ascii="Times New Roman" w:eastAsia="黑体" w:hAnsi="Times New Roman"/>
          <w:sz w:val="30"/>
          <w:szCs w:val="30"/>
        </w:rPr>
        <w:t>经营者集中简易案件公示表</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7C375F" w:rsidRPr="007A6E43" w:rsidTr="00A6578F">
        <w:tc>
          <w:tcPr>
            <w:tcW w:w="1809" w:type="dxa"/>
            <w:shd w:val="clear" w:color="auto" w:fill="D9D9D9"/>
          </w:tcPr>
          <w:p w:rsidR="007C375F" w:rsidRPr="007A6E43" w:rsidRDefault="007C375F" w:rsidP="00A6578F">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案件名称</w:t>
            </w:r>
          </w:p>
        </w:tc>
        <w:tc>
          <w:tcPr>
            <w:tcW w:w="6949" w:type="dxa"/>
            <w:gridSpan w:val="2"/>
          </w:tcPr>
          <w:p w:rsidR="007C375F" w:rsidRPr="007A6E43" w:rsidRDefault="009F19B0" w:rsidP="00A6578F">
            <w:pPr>
              <w:tabs>
                <w:tab w:val="left" w:pos="1215"/>
              </w:tabs>
              <w:spacing w:line="500" w:lineRule="exact"/>
              <w:rPr>
                <w:rFonts w:ascii="Times New Roman" w:eastAsia="仿宋_GB2312" w:hAnsi="Times New Roman"/>
                <w:sz w:val="28"/>
                <w:szCs w:val="28"/>
              </w:rPr>
            </w:pPr>
            <w:r w:rsidRPr="009F19B0">
              <w:rPr>
                <w:rFonts w:ascii="Times New Roman" w:eastAsia="仿宋_GB2312" w:hAnsi="Times New Roman" w:hint="eastAsia"/>
                <w:sz w:val="28"/>
                <w:szCs w:val="28"/>
              </w:rPr>
              <w:t>黑钻资本管理有限责任公司收购特种化学品国际有限责任公司股权案</w:t>
            </w:r>
          </w:p>
        </w:tc>
      </w:tr>
      <w:tr w:rsidR="007C375F" w:rsidRPr="007A6E43" w:rsidTr="00A6578F">
        <w:trPr>
          <w:trHeight w:val="993"/>
        </w:trPr>
        <w:tc>
          <w:tcPr>
            <w:tcW w:w="1809" w:type="dxa"/>
            <w:shd w:val="clear" w:color="auto" w:fill="D9D9D9"/>
          </w:tcPr>
          <w:p w:rsidR="007C375F" w:rsidRPr="007A6E43" w:rsidRDefault="007C375F" w:rsidP="00A6578F">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交易概况（限</w:t>
            </w:r>
            <w:r w:rsidRPr="007A6E43">
              <w:rPr>
                <w:rFonts w:ascii="Times New Roman" w:eastAsia="仿宋_GB2312" w:hAnsi="Times New Roman"/>
                <w:sz w:val="28"/>
                <w:szCs w:val="28"/>
              </w:rPr>
              <w:t>200</w:t>
            </w:r>
            <w:r w:rsidRPr="007A6E43">
              <w:rPr>
                <w:rFonts w:ascii="Times New Roman" w:eastAsia="仿宋_GB2312" w:hAnsi="Times New Roman"/>
                <w:sz w:val="28"/>
                <w:szCs w:val="28"/>
              </w:rPr>
              <w:t>字内）</w:t>
            </w:r>
          </w:p>
        </w:tc>
        <w:tc>
          <w:tcPr>
            <w:tcW w:w="6949" w:type="dxa"/>
            <w:gridSpan w:val="2"/>
          </w:tcPr>
          <w:p w:rsidR="009F19B0" w:rsidRPr="009F19B0" w:rsidRDefault="009F19B0" w:rsidP="009F19B0">
            <w:pPr>
              <w:spacing w:line="500" w:lineRule="exact"/>
              <w:rPr>
                <w:rFonts w:ascii="Times New Roman" w:eastAsia="仿宋_GB2312" w:hAnsi="Times New Roman"/>
                <w:sz w:val="28"/>
                <w:szCs w:val="28"/>
              </w:rPr>
            </w:pPr>
            <w:r w:rsidRPr="009F19B0">
              <w:rPr>
                <w:rFonts w:ascii="Times New Roman" w:eastAsia="仿宋_GB2312" w:hAnsi="Times New Roman" w:hint="eastAsia"/>
                <w:sz w:val="28"/>
                <w:szCs w:val="28"/>
              </w:rPr>
              <w:t>本次交易涉及由黑钻</w:t>
            </w:r>
            <w:r>
              <w:rPr>
                <w:rFonts w:ascii="Times New Roman" w:eastAsia="仿宋_GB2312" w:hAnsi="Times New Roman" w:hint="eastAsia"/>
                <w:sz w:val="28"/>
                <w:szCs w:val="28"/>
              </w:rPr>
              <w:t>资本管理有限公司（“</w:t>
            </w:r>
            <w:r w:rsidRPr="009F19B0">
              <w:rPr>
                <w:rFonts w:ascii="Times New Roman" w:eastAsia="仿宋_GB2312" w:hAnsi="Times New Roman" w:hint="eastAsia"/>
                <w:b/>
                <w:sz w:val="28"/>
                <w:szCs w:val="28"/>
              </w:rPr>
              <w:t>黑钻</w:t>
            </w:r>
            <w:r>
              <w:rPr>
                <w:rFonts w:ascii="Times New Roman" w:eastAsia="仿宋_GB2312" w:hAnsi="Times New Roman" w:hint="eastAsia"/>
                <w:sz w:val="28"/>
                <w:szCs w:val="28"/>
              </w:rPr>
              <w:t>”）通过其关联公司管理的基金</w:t>
            </w:r>
            <w:r w:rsidRPr="009F19B0">
              <w:rPr>
                <w:rFonts w:ascii="Times New Roman" w:eastAsia="仿宋_GB2312" w:hAnsi="Times New Roman" w:hint="eastAsia"/>
                <w:sz w:val="28"/>
                <w:szCs w:val="28"/>
              </w:rPr>
              <w:t>收购</w:t>
            </w:r>
            <w:r>
              <w:rPr>
                <w:rFonts w:ascii="Times New Roman" w:eastAsia="仿宋_GB2312" w:hAnsi="Times New Roman"/>
                <w:sz w:val="28"/>
                <w:szCs w:val="28"/>
              </w:rPr>
              <w:t>特种化学品国际有限责任公司</w:t>
            </w:r>
            <w:r w:rsidR="00A41AC3">
              <w:rPr>
                <w:rFonts w:ascii="Times New Roman" w:eastAsia="仿宋_GB2312" w:hAnsi="Times New Roman" w:hint="eastAsia"/>
                <w:sz w:val="28"/>
                <w:szCs w:val="28"/>
              </w:rPr>
              <w:t>（</w:t>
            </w:r>
            <w:r w:rsidR="00A41AC3">
              <w:rPr>
                <w:rFonts w:ascii="Times New Roman" w:eastAsia="仿宋_GB2312" w:hAnsi="Times New Roman" w:hint="eastAsia"/>
                <w:sz w:val="28"/>
                <w:szCs w:val="28"/>
              </w:rPr>
              <w:t>P</w:t>
            </w:r>
            <w:r w:rsidR="00A41AC3">
              <w:rPr>
                <w:rFonts w:ascii="Times New Roman" w:eastAsia="仿宋_GB2312" w:hAnsi="Times New Roman"/>
                <w:sz w:val="28"/>
                <w:szCs w:val="28"/>
              </w:rPr>
              <w:t>olynt-Reichhold</w:t>
            </w:r>
            <w:r w:rsidR="00A41AC3">
              <w:rPr>
                <w:rFonts w:ascii="Times New Roman" w:eastAsia="仿宋_GB2312" w:hAnsi="Times New Roman"/>
                <w:sz w:val="28"/>
                <w:szCs w:val="28"/>
              </w:rPr>
              <w:t>特种化学品业务的控股公司</w:t>
            </w:r>
            <w:r w:rsidR="00A41AC3">
              <w:rPr>
                <w:rFonts w:ascii="Times New Roman" w:eastAsia="仿宋_GB2312" w:hAnsi="Times New Roman" w:hint="eastAsia"/>
                <w:sz w:val="28"/>
                <w:szCs w:val="28"/>
              </w:rPr>
              <w:t>）</w:t>
            </w:r>
            <w:r w:rsidRPr="009F19B0">
              <w:rPr>
                <w:rFonts w:ascii="Times New Roman" w:eastAsia="仿宋_GB2312" w:hAnsi="Times New Roman" w:hint="eastAsia"/>
                <w:sz w:val="28"/>
                <w:szCs w:val="28"/>
              </w:rPr>
              <w:t>的全部股本</w:t>
            </w:r>
            <w:r w:rsidR="003908B0">
              <w:rPr>
                <w:rFonts w:ascii="Times New Roman" w:eastAsia="仿宋_GB2312" w:hAnsi="Times New Roman" w:hint="eastAsia"/>
                <w:sz w:val="28"/>
                <w:szCs w:val="28"/>
              </w:rPr>
              <w:t>（</w:t>
            </w:r>
            <w:r w:rsidR="00A41AC3">
              <w:rPr>
                <w:rFonts w:ascii="Times New Roman" w:eastAsia="仿宋_GB2312" w:hAnsi="Times New Roman"/>
                <w:sz w:val="28"/>
                <w:szCs w:val="28"/>
              </w:rPr>
              <w:t>特种化学品国际有限责任公司</w:t>
            </w:r>
            <w:r w:rsidR="00A41AC3">
              <w:rPr>
                <w:rFonts w:ascii="Times New Roman" w:eastAsia="仿宋_GB2312" w:hAnsi="Times New Roman" w:hint="eastAsia"/>
                <w:sz w:val="28"/>
                <w:szCs w:val="28"/>
              </w:rPr>
              <w:t>与</w:t>
            </w:r>
            <w:r w:rsidR="00A41AC3">
              <w:rPr>
                <w:rFonts w:ascii="Times New Roman" w:eastAsia="仿宋_GB2312" w:hAnsi="Times New Roman" w:hint="eastAsia"/>
                <w:sz w:val="28"/>
                <w:szCs w:val="28"/>
              </w:rPr>
              <w:t>P</w:t>
            </w:r>
            <w:r w:rsidR="00A41AC3">
              <w:rPr>
                <w:rFonts w:ascii="Times New Roman" w:eastAsia="仿宋_GB2312" w:hAnsi="Times New Roman"/>
                <w:sz w:val="28"/>
                <w:szCs w:val="28"/>
              </w:rPr>
              <w:t>olynt-Reichhold</w:t>
            </w:r>
            <w:r w:rsidR="00A41AC3">
              <w:rPr>
                <w:rFonts w:ascii="Times New Roman" w:eastAsia="仿宋_GB2312" w:hAnsi="Times New Roman"/>
                <w:sz w:val="28"/>
                <w:szCs w:val="28"/>
              </w:rPr>
              <w:t>特种化学品业务</w:t>
            </w:r>
            <w:r w:rsidR="003908B0">
              <w:rPr>
                <w:rFonts w:ascii="Times New Roman" w:eastAsia="仿宋_GB2312" w:hAnsi="Times New Roman"/>
                <w:sz w:val="28"/>
                <w:szCs w:val="28"/>
              </w:rPr>
              <w:t>合称</w:t>
            </w:r>
            <w:r w:rsidR="003908B0">
              <w:rPr>
                <w:rFonts w:ascii="Times New Roman" w:eastAsia="仿宋_GB2312" w:hAnsi="Times New Roman" w:hint="eastAsia"/>
                <w:sz w:val="28"/>
                <w:szCs w:val="28"/>
              </w:rPr>
              <w:t>“</w:t>
            </w:r>
            <w:r w:rsidR="003908B0" w:rsidRPr="002B5999">
              <w:rPr>
                <w:rFonts w:ascii="Times New Roman" w:eastAsia="仿宋_GB2312" w:hAnsi="Times New Roman" w:hint="eastAsia"/>
                <w:b/>
                <w:sz w:val="28"/>
                <w:szCs w:val="28"/>
              </w:rPr>
              <w:t>目</w:t>
            </w:r>
            <w:r w:rsidR="003908B0" w:rsidRPr="009F19B0">
              <w:rPr>
                <w:rFonts w:ascii="Times New Roman" w:eastAsia="仿宋_GB2312" w:hAnsi="Times New Roman" w:hint="eastAsia"/>
                <w:b/>
                <w:sz w:val="28"/>
                <w:szCs w:val="28"/>
              </w:rPr>
              <w:t>标公司</w:t>
            </w:r>
            <w:r w:rsidR="003908B0">
              <w:rPr>
                <w:rFonts w:ascii="Times New Roman" w:eastAsia="仿宋_GB2312" w:hAnsi="Times New Roman" w:hint="eastAsia"/>
                <w:sz w:val="28"/>
                <w:szCs w:val="28"/>
              </w:rPr>
              <w:t>”）</w:t>
            </w:r>
            <w:r w:rsidRPr="009F19B0">
              <w:rPr>
                <w:rFonts w:ascii="Times New Roman" w:eastAsia="仿宋_GB2312" w:hAnsi="Times New Roman" w:hint="eastAsia"/>
                <w:sz w:val="28"/>
                <w:szCs w:val="28"/>
              </w:rPr>
              <w:t>。</w:t>
            </w:r>
          </w:p>
          <w:p w:rsidR="009F19B0" w:rsidRPr="009F19B0" w:rsidRDefault="009F19B0" w:rsidP="009F19B0">
            <w:pPr>
              <w:spacing w:line="500" w:lineRule="exact"/>
              <w:rPr>
                <w:rFonts w:ascii="Times New Roman" w:eastAsia="仿宋_GB2312" w:hAnsi="Times New Roman"/>
                <w:sz w:val="28"/>
                <w:szCs w:val="28"/>
              </w:rPr>
            </w:pPr>
          </w:p>
          <w:p w:rsidR="007C375F" w:rsidRPr="007A6E43" w:rsidRDefault="009F19B0" w:rsidP="00BC55BD">
            <w:pPr>
              <w:spacing w:line="500" w:lineRule="exact"/>
              <w:rPr>
                <w:rFonts w:ascii="Times New Roman" w:eastAsia="仿宋_GB2312" w:hAnsi="Times New Roman"/>
                <w:sz w:val="28"/>
                <w:szCs w:val="28"/>
              </w:rPr>
            </w:pPr>
            <w:r w:rsidRPr="009F19B0">
              <w:rPr>
                <w:rFonts w:ascii="Times New Roman" w:eastAsia="仿宋_GB2312" w:hAnsi="Times New Roman" w:hint="eastAsia"/>
                <w:sz w:val="28"/>
                <w:szCs w:val="28"/>
              </w:rPr>
              <w:t>黑钻目前与</w:t>
            </w:r>
            <w:r w:rsidRPr="009F19B0">
              <w:rPr>
                <w:rFonts w:ascii="Times New Roman" w:eastAsia="仿宋_GB2312" w:hAnsi="Times New Roman" w:hint="eastAsia"/>
                <w:sz w:val="28"/>
                <w:szCs w:val="28"/>
              </w:rPr>
              <w:t>Investindustrial</w:t>
            </w:r>
            <w:r>
              <w:rPr>
                <w:rFonts w:ascii="Times New Roman" w:eastAsia="仿宋_GB2312" w:hAnsi="Times New Roman"/>
                <w:sz w:val="28"/>
                <w:szCs w:val="28"/>
              </w:rPr>
              <w:t xml:space="preserve"> S.A.</w:t>
            </w:r>
            <w:r w:rsidR="00BC55BD">
              <w:rPr>
                <w:rFonts w:ascii="Times New Roman" w:eastAsia="仿宋_GB2312" w:hAnsi="Times New Roman" w:hint="eastAsia"/>
                <w:sz w:val="28"/>
                <w:szCs w:val="28"/>
              </w:rPr>
              <w:t>（通过</w:t>
            </w:r>
            <w:r w:rsidRPr="009F19B0">
              <w:rPr>
                <w:rFonts w:ascii="Times New Roman" w:eastAsia="仿宋_GB2312" w:hAnsi="Times New Roman"/>
                <w:sz w:val="28"/>
                <w:szCs w:val="28"/>
              </w:rPr>
              <w:t>Global Chemicals</w:t>
            </w:r>
            <w:r w:rsidR="00BC55BD">
              <w:rPr>
                <w:rFonts w:ascii="Times New Roman" w:eastAsia="仿宋_GB2312" w:hAnsi="Times New Roman"/>
                <w:sz w:val="28"/>
                <w:szCs w:val="28"/>
              </w:rPr>
              <w:t xml:space="preserve"> SARL</w:t>
            </w:r>
            <w:r w:rsidR="00BC55BD">
              <w:rPr>
                <w:rFonts w:ascii="Times New Roman" w:eastAsia="仿宋_GB2312" w:hAnsi="Times New Roman" w:hint="eastAsia"/>
                <w:sz w:val="28"/>
                <w:szCs w:val="28"/>
              </w:rPr>
              <w:t>）</w:t>
            </w:r>
            <w:r w:rsidR="007B0BBE">
              <w:rPr>
                <w:rFonts w:ascii="Times New Roman" w:eastAsia="仿宋_GB2312" w:hAnsi="Times New Roman" w:hint="eastAsia"/>
                <w:sz w:val="28"/>
                <w:szCs w:val="28"/>
              </w:rPr>
              <w:t>共同控制目标公司。本次交易后，黑钻将单独</w:t>
            </w:r>
            <w:r w:rsidRPr="009F19B0">
              <w:rPr>
                <w:rFonts w:ascii="Times New Roman" w:eastAsia="仿宋_GB2312" w:hAnsi="Times New Roman" w:hint="eastAsia"/>
                <w:sz w:val="28"/>
                <w:szCs w:val="28"/>
              </w:rPr>
              <w:t>控制目标公司。</w:t>
            </w:r>
          </w:p>
        </w:tc>
      </w:tr>
      <w:tr w:rsidR="007C375F" w:rsidRPr="007A6E43" w:rsidTr="00A6578F">
        <w:trPr>
          <w:trHeight w:val="468"/>
        </w:trPr>
        <w:tc>
          <w:tcPr>
            <w:tcW w:w="1809" w:type="dxa"/>
            <w:vMerge w:val="restart"/>
            <w:shd w:val="clear" w:color="auto" w:fill="D9D9D9"/>
          </w:tcPr>
          <w:p w:rsidR="007C375F" w:rsidRPr="007A6E43" w:rsidRDefault="007C375F" w:rsidP="00A6578F">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参与集中的经营者简介</w:t>
            </w:r>
          </w:p>
        </w:tc>
        <w:tc>
          <w:tcPr>
            <w:tcW w:w="1796" w:type="dxa"/>
          </w:tcPr>
          <w:p w:rsidR="007C375F" w:rsidRPr="001B683F" w:rsidRDefault="000165E6" w:rsidP="000165E6">
            <w:pPr>
              <w:spacing w:line="500" w:lineRule="exact"/>
              <w:jc w:val="left"/>
              <w:rPr>
                <w:rFonts w:ascii="Times New Roman" w:eastAsia="仿宋_GB2312" w:hAnsi="Times New Roman"/>
                <w:sz w:val="28"/>
                <w:szCs w:val="28"/>
              </w:rPr>
            </w:pPr>
            <w:r>
              <w:rPr>
                <w:rFonts w:ascii="Times New Roman" w:eastAsia="仿宋_GB2312" w:hAnsi="Times New Roman"/>
                <w:sz w:val="28"/>
                <w:szCs w:val="28"/>
              </w:rPr>
              <w:t>1</w:t>
            </w:r>
            <w:r w:rsidRPr="000165E6">
              <w:rPr>
                <w:rFonts w:ascii="Times New Roman" w:eastAsia="仿宋_GB2312" w:hAnsi="Times New Roman" w:hint="eastAsia"/>
                <w:sz w:val="28"/>
                <w:szCs w:val="28"/>
              </w:rPr>
              <w:t>、黑钻</w:t>
            </w:r>
          </w:p>
        </w:tc>
        <w:tc>
          <w:tcPr>
            <w:tcW w:w="5153" w:type="dxa"/>
          </w:tcPr>
          <w:p w:rsidR="007C375F" w:rsidRPr="00BF0AB5" w:rsidRDefault="000165E6" w:rsidP="00D01A89">
            <w:pPr>
              <w:spacing w:line="500" w:lineRule="exact"/>
              <w:rPr>
                <w:rFonts w:ascii="Times New Roman" w:eastAsia="仿宋_GB2312" w:hAnsi="Times New Roman"/>
                <w:sz w:val="28"/>
                <w:szCs w:val="28"/>
              </w:rPr>
            </w:pPr>
            <w:r>
              <w:rPr>
                <w:rFonts w:ascii="Times New Roman" w:eastAsia="仿宋_GB2312" w:hAnsi="Times New Roman"/>
                <w:sz w:val="28"/>
                <w:szCs w:val="28"/>
              </w:rPr>
              <w:t>黑钻</w:t>
            </w:r>
            <w:r w:rsidRPr="000165E6">
              <w:rPr>
                <w:rFonts w:ascii="Times New Roman" w:eastAsia="仿宋_GB2312" w:hAnsi="Times New Roman" w:hint="eastAsia"/>
                <w:sz w:val="28"/>
                <w:szCs w:val="28"/>
              </w:rPr>
              <w:t>是一家投资顾问公司，向关联实体提供投资建议和其他服务，供这些关联公司用于建议和管理其各自客户系统的账户。</w:t>
            </w:r>
          </w:p>
        </w:tc>
      </w:tr>
      <w:tr w:rsidR="007C375F" w:rsidRPr="007A6E43" w:rsidTr="00A6578F">
        <w:trPr>
          <w:trHeight w:val="468"/>
        </w:trPr>
        <w:tc>
          <w:tcPr>
            <w:tcW w:w="1809" w:type="dxa"/>
            <w:vMerge/>
            <w:shd w:val="clear" w:color="auto" w:fill="D9D9D9"/>
          </w:tcPr>
          <w:p w:rsidR="007C375F" w:rsidRPr="007A6E43" w:rsidRDefault="007C375F" w:rsidP="00A6578F">
            <w:pPr>
              <w:spacing w:line="500" w:lineRule="exact"/>
              <w:rPr>
                <w:rFonts w:ascii="Times New Roman" w:eastAsia="仿宋_GB2312" w:hAnsi="Times New Roman"/>
                <w:sz w:val="28"/>
                <w:szCs w:val="28"/>
              </w:rPr>
            </w:pPr>
          </w:p>
        </w:tc>
        <w:tc>
          <w:tcPr>
            <w:tcW w:w="1796" w:type="dxa"/>
          </w:tcPr>
          <w:p w:rsidR="007C375F" w:rsidRPr="001B683F" w:rsidRDefault="007C375F" w:rsidP="009A1A29">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w:t>
            </w:r>
            <w:r w:rsidR="009A1A29">
              <w:rPr>
                <w:rFonts w:ascii="Times New Roman" w:eastAsia="仿宋_GB2312" w:hAnsi="Times New Roman" w:hint="eastAsia"/>
                <w:sz w:val="28"/>
                <w:szCs w:val="28"/>
              </w:rPr>
              <w:t>目标公司</w:t>
            </w:r>
          </w:p>
        </w:tc>
        <w:tc>
          <w:tcPr>
            <w:tcW w:w="5153" w:type="dxa"/>
          </w:tcPr>
          <w:p w:rsidR="007B2C47" w:rsidRPr="00BF0AB5" w:rsidRDefault="00D4430B" w:rsidP="008F23A8">
            <w:pPr>
              <w:spacing w:line="500" w:lineRule="exact"/>
              <w:rPr>
                <w:rFonts w:ascii="Times New Roman" w:eastAsia="仿宋_GB2312" w:hAnsi="Times New Roman"/>
                <w:sz w:val="28"/>
                <w:szCs w:val="28"/>
              </w:rPr>
            </w:pPr>
            <w:r w:rsidRPr="00D4430B">
              <w:rPr>
                <w:rFonts w:ascii="Times New Roman" w:eastAsia="仿宋_GB2312" w:hAnsi="Times New Roman" w:hint="eastAsia"/>
                <w:sz w:val="28"/>
                <w:szCs w:val="28"/>
              </w:rPr>
              <w:t>目标公司主要从事特种化学品和功能性化学品的开发、生产和销售，特别是不饱和聚酯树脂、化学中间体（酐类）、相关化学品（增塑剂）和特种化学品（热固性化合物）的生产。目标公司是复合材料和涂料用树脂（包括不饱和聚酯树脂）的制造商和供应商。</w:t>
            </w:r>
            <w:r w:rsidR="007B2C47" w:rsidRPr="007B2C47">
              <w:rPr>
                <w:rFonts w:ascii="Times New Roman" w:eastAsia="仿宋_GB2312" w:hAnsi="Times New Roman" w:hint="eastAsia"/>
                <w:sz w:val="28"/>
                <w:szCs w:val="28"/>
              </w:rPr>
              <w:t>在</w:t>
            </w:r>
            <w:r>
              <w:rPr>
                <w:rFonts w:ascii="Times New Roman" w:eastAsia="仿宋_GB2312" w:hAnsi="Times New Roman" w:hint="eastAsia"/>
                <w:sz w:val="28"/>
                <w:szCs w:val="28"/>
              </w:rPr>
              <w:t>中国，目标公司业务范围</w:t>
            </w:r>
            <w:r w:rsidR="007B2C47" w:rsidRPr="007B2C47">
              <w:rPr>
                <w:rFonts w:ascii="Times New Roman" w:eastAsia="仿宋_GB2312" w:hAnsi="Times New Roman" w:hint="eastAsia"/>
                <w:sz w:val="28"/>
                <w:szCs w:val="28"/>
              </w:rPr>
              <w:t>仅限于</w:t>
            </w:r>
            <w:r>
              <w:rPr>
                <w:rFonts w:ascii="Times New Roman" w:eastAsia="仿宋_GB2312" w:hAnsi="Times New Roman" w:hint="eastAsia"/>
                <w:sz w:val="28"/>
                <w:szCs w:val="28"/>
              </w:rPr>
              <w:t>不饱和聚酯树脂</w:t>
            </w:r>
            <w:r w:rsidR="007B2C47" w:rsidRPr="007B2C47">
              <w:rPr>
                <w:rFonts w:ascii="Times New Roman" w:eastAsia="仿宋_GB2312" w:hAnsi="Times New Roman" w:hint="eastAsia"/>
                <w:sz w:val="28"/>
                <w:szCs w:val="28"/>
              </w:rPr>
              <w:t>的生产和供应。</w:t>
            </w:r>
          </w:p>
        </w:tc>
      </w:tr>
      <w:tr w:rsidR="007C375F" w:rsidRPr="007A6E43" w:rsidTr="00A6578F">
        <w:trPr>
          <w:trHeight w:val="279"/>
        </w:trPr>
        <w:tc>
          <w:tcPr>
            <w:tcW w:w="1809" w:type="dxa"/>
            <w:vMerge w:val="restart"/>
            <w:shd w:val="clear" w:color="auto" w:fill="D9D9D9"/>
          </w:tcPr>
          <w:p w:rsidR="007C375F" w:rsidRPr="007A6E43" w:rsidRDefault="007C375F" w:rsidP="00A6578F">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简易案件理由（可以单选，也可以多选）</w:t>
            </w:r>
          </w:p>
        </w:tc>
        <w:tc>
          <w:tcPr>
            <w:tcW w:w="6949" w:type="dxa"/>
            <w:gridSpan w:val="2"/>
          </w:tcPr>
          <w:p w:rsidR="007C375F" w:rsidRPr="007A6E43" w:rsidRDefault="007C375F" w:rsidP="00A6578F">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Pr="007A6E43">
              <w:rPr>
                <w:rFonts w:ascii="Times New Roman" w:eastAsia="仿宋_GB2312" w:hAnsi="Times New Roman"/>
                <w:sz w:val="28"/>
                <w:szCs w:val="28"/>
              </w:rPr>
              <w:t>1</w:t>
            </w:r>
            <w:r w:rsidRPr="007A6E43">
              <w:rPr>
                <w:rFonts w:ascii="Times New Roman" w:eastAsia="仿宋_GB2312" w:hAnsi="Times New Roman"/>
                <w:sz w:val="28"/>
                <w:szCs w:val="28"/>
              </w:rPr>
              <w:t>、在同一相关市场，所有参与集中的经营者所占市场份额之和小于</w:t>
            </w:r>
            <w:r w:rsidRPr="007A6E43">
              <w:rPr>
                <w:rFonts w:ascii="Times New Roman" w:eastAsia="仿宋_GB2312" w:hAnsi="Times New Roman"/>
                <w:sz w:val="28"/>
                <w:szCs w:val="28"/>
              </w:rPr>
              <w:t>15%</w:t>
            </w:r>
            <w:r w:rsidRPr="007A6E43">
              <w:rPr>
                <w:rFonts w:ascii="Times New Roman" w:eastAsia="仿宋_GB2312" w:hAnsi="Times New Roman"/>
                <w:sz w:val="28"/>
                <w:szCs w:val="28"/>
              </w:rPr>
              <w:t>。</w:t>
            </w:r>
          </w:p>
        </w:tc>
      </w:tr>
      <w:tr w:rsidR="007C375F" w:rsidRPr="007A6E43" w:rsidTr="00A6578F">
        <w:trPr>
          <w:trHeight w:val="330"/>
        </w:trPr>
        <w:tc>
          <w:tcPr>
            <w:tcW w:w="1809" w:type="dxa"/>
            <w:vMerge/>
            <w:shd w:val="clear" w:color="auto" w:fill="D9D9D9"/>
          </w:tcPr>
          <w:p w:rsidR="007C375F" w:rsidRPr="007A6E43" w:rsidRDefault="007C375F" w:rsidP="00A6578F">
            <w:pPr>
              <w:spacing w:line="500" w:lineRule="exact"/>
              <w:rPr>
                <w:rFonts w:ascii="Times New Roman" w:eastAsia="仿宋_GB2312" w:hAnsi="Times New Roman"/>
                <w:sz w:val="28"/>
                <w:szCs w:val="28"/>
              </w:rPr>
            </w:pPr>
          </w:p>
        </w:tc>
        <w:tc>
          <w:tcPr>
            <w:tcW w:w="6949" w:type="dxa"/>
            <w:gridSpan w:val="2"/>
          </w:tcPr>
          <w:p w:rsidR="007C375F" w:rsidRPr="007A6E43" w:rsidRDefault="007C375F" w:rsidP="00A6578F">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Pr="007A6E43">
              <w:rPr>
                <w:rFonts w:ascii="Times New Roman" w:eastAsia="仿宋_GB2312" w:hAnsi="Times New Roman"/>
                <w:sz w:val="28"/>
                <w:szCs w:val="28"/>
              </w:rPr>
              <w:t>2</w:t>
            </w:r>
            <w:r w:rsidRPr="007A6E43">
              <w:rPr>
                <w:rFonts w:ascii="Times New Roman" w:eastAsia="仿宋_GB2312" w:hAnsi="Times New Roman"/>
                <w:sz w:val="28"/>
                <w:szCs w:val="28"/>
              </w:rPr>
              <w:t>、存在上下游关系的参与集中的经营者，在上下游市场所占的市场份额均小于</w:t>
            </w:r>
            <w:r w:rsidRPr="007A6E43">
              <w:rPr>
                <w:rFonts w:ascii="Times New Roman" w:eastAsia="仿宋_GB2312" w:hAnsi="Times New Roman"/>
                <w:sz w:val="28"/>
                <w:szCs w:val="28"/>
              </w:rPr>
              <w:t>25%</w:t>
            </w:r>
            <w:r w:rsidRPr="007A6E43">
              <w:rPr>
                <w:rFonts w:ascii="Times New Roman" w:eastAsia="仿宋_GB2312" w:hAnsi="Times New Roman"/>
                <w:sz w:val="28"/>
                <w:szCs w:val="28"/>
              </w:rPr>
              <w:t>。</w:t>
            </w:r>
          </w:p>
        </w:tc>
      </w:tr>
      <w:tr w:rsidR="007C375F" w:rsidRPr="007A6E43" w:rsidTr="00A6578F">
        <w:trPr>
          <w:trHeight w:val="285"/>
        </w:trPr>
        <w:tc>
          <w:tcPr>
            <w:tcW w:w="1809" w:type="dxa"/>
            <w:vMerge/>
            <w:shd w:val="clear" w:color="auto" w:fill="D9D9D9"/>
          </w:tcPr>
          <w:p w:rsidR="007C375F" w:rsidRPr="007A6E43" w:rsidRDefault="007C375F" w:rsidP="00A6578F">
            <w:pPr>
              <w:spacing w:line="500" w:lineRule="exact"/>
              <w:rPr>
                <w:rFonts w:ascii="Times New Roman" w:eastAsia="仿宋_GB2312" w:hAnsi="Times New Roman"/>
                <w:sz w:val="28"/>
                <w:szCs w:val="28"/>
              </w:rPr>
            </w:pPr>
          </w:p>
        </w:tc>
        <w:tc>
          <w:tcPr>
            <w:tcW w:w="6949" w:type="dxa"/>
            <w:gridSpan w:val="2"/>
          </w:tcPr>
          <w:p w:rsidR="007C375F" w:rsidRPr="007A6E43" w:rsidRDefault="009A1A29" w:rsidP="00A6578F">
            <w:pPr>
              <w:spacing w:line="500" w:lineRule="exact"/>
              <w:rPr>
                <w:rFonts w:ascii="Times New Roman" w:eastAsia="仿宋_GB2312" w:hAnsi="Times New Roman"/>
                <w:sz w:val="28"/>
                <w:szCs w:val="28"/>
              </w:rPr>
            </w:pPr>
            <w:r>
              <w:rPr>
                <w:rFonts w:ascii="Times New Roman" w:eastAsia="仿宋_GB2312" w:hAnsi="Times New Roman"/>
                <w:sz w:val="28"/>
                <w:szCs w:val="28"/>
              </w:rPr>
              <w:sym w:font="Wingdings 2" w:char="F052"/>
            </w:r>
            <w:r w:rsidR="007C375F" w:rsidRPr="007A6E43">
              <w:rPr>
                <w:rFonts w:ascii="Times New Roman" w:eastAsia="仿宋_GB2312" w:hAnsi="Times New Roman"/>
                <w:sz w:val="28"/>
                <w:szCs w:val="28"/>
              </w:rPr>
              <w:t>3</w:t>
            </w:r>
            <w:r w:rsidR="007C375F" w:rsidRPr="007A6E43">
              <w:rPr>
                <w:rFonts w:ascii="Times New Roman" w:eastAsia="仿宋_GB2312" w:hAnsi="Times New Roman"/>
                <w:sz w:val="28"/>
                <w:szCs w:val="28"/>
              </w:rPr>
              <w:t>、不在同一相关市场、也不存在上下游关系的参与集中的经营者，在与交易有关的每个市场所占的份额均小于</w:t>
            </w:r>
            <w:r w:rsidR="007C375F" w:rsidRPr="007A6E43">
              <w:rPr>
                <w:rFonts w:ascii="Times New Roman" w:eastAsia="仿宋_GB2312" w:hAnsi="Times New Roman"/>
                <w:sz w:val="28"/>
                <w:szCs w:val="28"/>
              </w:rPr>
              <w:t>25%</w:t>
            </w:r>
            <w:r w:rsidR="007C375F" w:rsidRPr="007A6E43">
              <w:rPr>
                <w:rFonts w:ascii="Times New Roman" w:eastAsia="仿宋_GB2312" w:hAnsi="Times New Roman"/>
                <w:sz w:val="28"/>
                <w:szCs w:val="28"/>
              </w:rPr>
              <w:t>。</w:t>
            </w:r>
          </w:p>
        </w:tc>
      </w:tr>
      <w:tr w:rsidR="007C375F" w:rsidRPr="007A6E43" w:rsidTr="00A6578F">
        <w:trPr>
          <w:trHeight w:val="870"/>
        </w:trPr>
        <w:tc>
          <w:tcPr>
            <w:tcW w:w="1809" w:type="dxa"/>
            <w:vMerge/>
            <w:shd w:val="clear" w:color="auto" w:fill="D9D9D9"/>
          </w:tcPr>
          <w:p w:rsidR="007C375F" w:rsidRPr="007A6E43" w:rsidRDefault="007C375F" w:rsidP="00A6578F">
            <w:pPr>
              <w:spacing w:line="500" w:lineRule="exact"/>
              <w:rPr>
                <w:rFonts w:ascii="Times New Roman" w:eastAsia="仿宋_GB2312" w:hAnsi="Times New Roman"/>
                <w:sz w:val="28"/>
                <w:szCs w:val="28"/>
              </w:rPr>
            </w:pPr>
          </w:p>
        </w:tc>
        <w:tc>
          <w:tcPr>
            <w:tcW w:w="6949" w:type="dxa"/>
            <w:gridSpan w:val="2"/>
          </w:tcPr>
          <w:p w:rsidR="007C375F" w:rsidRPr="007A6E43" w:rsidRDefault="007C375F" w:rsidP="00A6578F">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Pr="007A6E43">
              <w:rPr>
                <w:rFonts w:ascii="Times New Roman" w:eastAsia="仿宋_GB2312" w:hAnsi="Times New Roman"/>
                <w:sz w:val="28"/>
                <w:szCs w:val="28"/>
              </w:rPr>
              <w:t>4</w:t>
            </w:r>
            <w:r w:rsidRPr="007A6E43">
              <w:rPr>
                <w:rFonts w:ascii="Times New Roman" w:eastAsia="仿宋_GB2312" w:hAnsi="Times New Roman"/>
                <w:sz w:val="28"/>
                <w:szCs w:val="28"/>
              </w:rPr>
              <w:t>、参与集中的经营者在中国境外设立合营企业，合营企业不在中国境内从事经济活动。</w:t>
            </w:r>
          </w:p>
        </w:tc>
      </w:tr>
      <w:tr w:rsidR="007C375F" w:rsidRPr="007A6E43" w:rsidTr="00A6578F">
        <w:trPr>
          <w:trHeight w:val="264"/>
        </w:trPr>
        <w:tc>
          <w:tcPr>
            <w:tcW w:w="1809" w:type="dxa"/>
            <w:vMerge/>
            <w:shd w:val="clear" w:color="auto" w:fill="D9D9D9"/>
          </w:tcPr>
          <w:p w:rsidR="007C375F" w:rsidRPr="007A6E43" w:rsidRDefault="007C375F" w:rsidP="00A6578F">
            <w:pPr>
              <w:spacing w:line="500" w:lineRule="exact"/>
              <w:rPr>
                <w:rFonts w:ascii="Times New Roman" w:eastAsia="仿宋_GB2312" w:hAnsi="Times New Roman"/>
                <w:sz w:val="28"/>
                <w:szCs w:val="28"/>
              </w:rPr>
            </w:pPr>
          </w:p>
        </w:tc>
        <w:tc>
          <w:tcPr>
            <w:tcW w:w="6949" w:type="dxa"/>
            <w:gridSpan w:val="2"/>
          </w:tcPr>
          <w:p w:rsidR="007C375F" w:rsidRPr="007A6E43" w:rsidRDefault="009A1A29" w:rsidP="00A6578F">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007C375F" w:rsidRPr="007A6E43">
              <w:rPr>
                <w:rFonts w:ascii="Times New Roman" w:eastAsia="仿宋_GB2312" w:hAnsi="Times New Roman"/>
                <w:sz w:val="28"/>
                <w:szCs w:val="28"/>
              </w:rPr>
              <w:t>5</w:t>
            </w:r>
            <w:r w:rsidR="007C375F" w:rsidRPr="007A6E43">
              <w:rPr>
                <w:rFonts w:ascii="Times New Roman" w:eastAsia="仿宋_GB2312" w:hAnsi="Times New Roman"/>
                <w:sz w:val="28"/>
                <w:szCs w:val="28"/>
              </w:rPr>
              <w:t>、参与集中的经营者收购境外企业股权或资产的，该境外企业不在中国境内从事经济活动。</w:t>
            </w:r>
          </w:p>
        </w:tc>
      </w:tr>
      <w:tr w:rsidR="007C375F" w:rsidRPr="007A6E43" w:rsidTr="00A6578F">
        <w:trPr>
          <w:trHeight w:val="345"/>
        </w:trPr>
        <w:tc>
          <w:tcPr>
            <w:tcW w:w="1809" w:type="dxa"/>
            <w:vMerge/>
            <w:shd w:val="clear" w:color="auto" w:fill="D9D9D9"/>
          </w:tcPr>
          <w:p w:rsidR="007C375F" w:rsidRPr="007A6E43" w:rsidRDefault="007C375F" w:rsidP="00A6578F">
            <w:pPr>
              <w:spacing w:line="500" w:lineRule="exact"/>
              <w:rPr>
                <w:rFonts w:ascii="Times New Roman" w:eastAsia="仿宋_GB2312" w:hAnsi="Times New Roman"/>
                <w:sz w:val="28"/>
                <w:szCs w:val="28"/>
              </w:rPr>
            </w:pPr>
          </w:p>
        </w:tc>
        <w:tc>
          <w:tcPr>
            <w:tcW w:w="6949" w:type="dxa"/>
            <w:gridSpan w:val="2"/>
          </w:tcPr>
          <w:p w:rsidR="007C375F" w:rsidRPr="007A6E43" w:rsidRDefault="009A1A29" w:rsidP="00A6578F">
            <w:pPr>
              <w:spacing w:line="500" w:lineRule="exact"/>
              <w:rPr>
                <w:rFonts w:ascii="Times New Roman" w:eastAsia="仿宋_GB2312" w:hAnsi="Times New Roman"/>
                <w:sz w:val="28"/>
                <w:szCs w:val="28"/>
              </w:rPr>
            </w:pPr>
            <w:r>
              <w:rPr>
                <w:rFonts w:ascii="Times New Roman" w:eastAsia="仿宋_GB2312" w:hAnsi="Times New Roman"/>
                <w:sz w:val="28"/>
                <w:szCs w:val="28"/>
              </w:rPr>
              <w:sym w:font="Wingdings 2" w:char="F052"/>
            </w:r>
            <w:r w:rsidR="007C375F" w:rsidRPr="007A6E43">
              <w:rPr>
                <w:rFonts w:ascii="Times New Roman" w:eastAsia="仿宋_GB2312" w:hAnsi="Times New Roman"/>
                <w:sz w:val="28"/>
                <w:szCs w:val="28"/>
              </w:rPr>
              <w:t>6</w:t>
            </w:r>
            <w:r w:rsidR="007C375F" w:rsidRPr="007A6E43">
              <w:rPr>
                <w:rFonts w:ascii="Times New Roman" w:eastAsia="仿宋_GB2312" w:hAnsi="Times New Roman"/>
                <w:sz w:val="28"/>
                <w:szCs w:val="28"/>
              </w:rPr>
              <w:t>、由两个以上的经营者共同控制的合营企业，通过集中被其中一个或一个以上经营者控制。</w:t>
            </w:r>
          </w:p>
        </w:tc>
      </w:tr>
      <w:tr w:rsidR="007C375F" w:rsidRPr="00217041" w:rsidTr="00A6578F">
        <w:tc>
          <w:tcPr>
            <w:tcW w:w="1809" w:type="dxa"/>
            <w:shd w:val="clear" w:color="auto" w:fill="D9D9D9"/>
          </w:tcPr>
          <w:p w:rsidR="007C375F" w:rsidRPr="007A6E43" w:rsidRDefault="007C375F" w:rsidP="00A6578F">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备注</w:t>
            </w:r>
          </w:p>
        </w:tc>
        <w:tc>
          <w:tcPr>
            <w:tcW w:w="6949" w:type="dxa"/>
            <w:gridSpan w:val="2"/>
          </w:tcPr>
          <w:p w:rsidR="007C375F" w:rsidRDefault="009A1A29" w:rsidP="00A6578F">
            <w:pPr>
              <w:spacing w:line="500" w:lineRule="exact"/>
              <w:rPr>
                <w:rFonts w:ascii="Times New Roman" w:eastAsia="仿宋_GB2312" w:hAnsi="Times New Roman"/>
                <w:sz w:val="28"/>
                <w:szCs w:val="28"/>
              </w:rPr>
            </w:pPr>
            <w:r>
              <w:rPr>
                <w:rFonts w:ascii="Times New Roman" w:eastAsia="仿宋_GB2312" w:hAnsi="Times New Roman"/>
                <w:sz w:val="28"/>
                <w:szCs w:val="28"/>
              </w:rPr>
              <w:t>相关市场</w:t>
            </w:r>
            <w:r w:rsidR="00F73138">
              <w:rPr>
                <w:rFonts w:ascii="Times New Roman" w:eastAsia="仿宋_GB2312" w:hAnsi="Times New Roman"/>
                <w:sz w:val="28"/>
                <w:szCs w:val="28"/>
              </w:rPr>
              <w:t>界定</w:t>
            </w:r>
            <w:r>
              <w:rPr>
                <w:rFonts w:ascii="Times New Roman" w:eastAsia="仿宋_GB2312" w:hAnsi="Times New Roman"/>
                <w:sz w:val="28"/>
                <w:szCs w:val="28"/>
              </w:rPr>
              <w:t>和</w:t>
            </w:r>
            <w:r w:rsidR="00F73138">
              <w:rPr>
                <w:rFonts w:ascii="Times New Roman" w:eastAsia="仿宋_GB2312" w:hAnsi="Times New Roman"/>
                <w:sz w:val="28"/>
                <w:szCs w:val="28"/>
              </w:rPr>
              <w:t>市场份额数据</w:t>
            </w:r>
            <w:r w:rsidR="00AD11AE">
              <w:rPr>
                <w:rFonts w:ascii="Times New Roman" w:eastAsia="仿宋_GB2312" w:hAnsi="Times New Roman" w:hint="eastAsia"/>
                <w:sz w:val="28"/>
                <w:szCs w:val="28"/>
              </w:rPr>
              <w:t>：</w:t>
            </w:r>
          </w:p>
          <w:p w:rsidR="00531C23" w:rsidRPr="00531C23" w:rsidRDefault="00A41AC3" w:rsidP="00531C23">
            <w:pPr>
              <w:pStyle w:val="a5"/>
              <w:numPr>
                <w:ilvl w:val="0"/>
                <w:numId w:val="1"/>
              </w:numPr>
              <w:spacing w:line="500" w:lineRule="exact"/>
              <w:ind w:firstLineChars="0"/>
              <w:rPr>
                <w:rFonts w:ascii="Times New Roman" w:eastAsia="仿宋_GB2312" w:hAnsi="Times New Roman"/>
                <w:sz w:val="28"/>
                <w:szCs w:val="28"/>
              </w:rPr>
            </w:pPr>
            <w:r w:rsidRPr="00531C23">
              <w:rPr>
                <w:rFonts w:ascii="Times New Roman" w:eastAsia="仿宋_GB2312" w:hAnsi="Times New Roman" w:hint="eastAsia"/>
                <w:sz w:val="28"/>
                <w:szCs w:val="28"/>
              </w:rPr>
              <w:t>中国</w:t>
            </w:r>
            <w:r w:rsidR="009B23B2">
              <w:rPr>
                <w:rFonts w:ascii="Times New Roman" w:eastAsia="仿宋_GB2312" w:hAnsi="Times New Roman"/>
                <w:sz w:val="28"/>
                <w:szCs w:val="28"/>
              </w:rPr>
              <w:t>境内</w:t>
            </w:r>
            <w:bookmarkStart w:id="0" w:name="_GoBack"/>
            <w:bookmarkEnd w:id="0"/>
            <w:r w:rsidR="00F73138" w:rsidRPr="00531C23">
              <w:rPr>
                <w:rFonts w:ascii="Times New Roman" w:eastAsia="仿宋_GB2312" w:hAnsi="Times New Roman" w:hint="eastAsia"/>
                <w:sz w:val="28"/>
                <w:szCs w:val="28"/>
              </w:rPr>
              <w:t>不饱和聚酯树脂</w:t>
            </w:r>
            <w:r w:rsidR="00531C23">
              <w:rPr>
                <w:rFonts w:ascii="Times New Roman" w:eastAsia="仿宋_GB2312" w:hAnsi="Times New Roman" w:hint="eastAsia"/>
                <w:sz w:val="28"/>
                <w:szCs w:val="28"/>
              </w:rPr>
              <w:t>市场</w:t>
            </w:r>
          </w:p>
          <w:p w:rsidR="00AD11AE" w:rsidRPr="00531C23" w:rsidRDefault="00AD11AE" w:rsidP="00531C23">
            <w:pPr>
              <w:spacing w:line="500" w:lineRule="exact"/>
              <w:rPr>
                <w:rFonts w:ascii="Times New Roman" w:eastAsia="仿宋_GB2312" w:hAnsi="Times New Roman"/>
                <w:sz w:val="28"/>
                <w:szCs w:val="28"/>
              </w:rPr>
            </w:pPr>
            <w:r w:rsidRPr="00531C23">
              <w:rPr>
                <w:rFonts w:ascii="Times New Roman" w:eastAsia="仿宋_GB2312" w:hAnsi="Times New Roman" w:hint="eastAsia"/>
                <w:sz w:val="28"/>
                <w:szCs w:val="28"/>
              </w:rPr>
              <w:t>目标公司的市场份额：</w:t>
            </w:r>
            <w:r w:rsidRPr="00531C23">
              <w:rPr>
                <w:rFonts w:ascii="Times New Roman" w:eastAsia="仿宋_GB2312" w:hAnsi="Times New Roman"/>
                <w:sz w:val="28"/>
                <w:szCs w:val="28"/>
              </w:rPr>
              <w:t>[0-5]%</w:t>
            </w:r>
          </w:p>
        </w:tc>
      </w:tr>
    </w:tbl>
    <w:p w:rsidR="006757EA" w:rsidRPr="007C375F" w:rsidRDefault="006757EA"/>
    <w:sectPr w:rsidR="006757EA" w:rsidRPr="007C37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D0" w:rsidRDefault="00E524D0" w:rsidP="00BC55BD">
      <w:r>
        <w:separator/>
      </w:r>
    </w:p>
  </w:endnote>
  <w:endnote w:type="continuationSeparator" w:id="0">
    <w:p w:rsidR="00E524D0" w:rsidRDefault="00E524D0" w:rsidP="00BC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D0" w:rsidRDefault="00E524D0" w:rsidP="00BC55BD">
      <w:r>
        <w:separator/>
      </w:r>
    </w:p>
  </w:footnote>
  <w:footnote w:type="continuationSeparator" w:id="0">
    <w:p w:rsidR="00E524D0" w:rsidRDefault="00E524D0" w:rsidP="00BC5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3090"/>
    <w:multiLevelType w:val="hybridMultilevel"/>
    <w:tmpl w:val="0048395C"/>
    <w:lvl w:ilvl="0" w:tplc="F3E65C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F"/>
    <w:rsid w:val="000165E6"/>
    <w:rsid w:val="000F0A7E"/>
    <w:rsid w:val="002B5999"/>
    <w:rsid w:val="003908B0"/>
    <w:rsid w:val="00531C23"/>
    <w:rsid w:val="006757EA"/>
    <w:rsid w:val="007B0BBE"/>
    <w:rsid w:val="007B2C47"/>
    <w:rsid w:val="007C375F"/>
    <w:rsid w:val="008F23A8"/>
    <w:rsid w:val="009A1A29"/>
    <w:rsid w:val="009B23B2"/>
    <w:rsid w:val="009F19B0"/>
    <w:rsid w:val="00A41AC3"/>
    <w:rsid w:val="00AD11AE"/>
    <w:rsid w:val="00BC55BD"/>
    <w:rsid w:val="00D01A89"/>
    <w:rsid w:val="00D4430B"/>
    <w:rsid w:val="00DA23E2"/>
    <w:rsid w:val="00E524D0"/>
    <w:rsid w:val="00F73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3FE3D78-0335-44E7-808B-4C019220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7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5BD"/>
    <w:rPr>
      <w:rFonts w:ascii="Calibri" w:eastAsia="宋体" w:hAnsi="Calibri" w:cs="Times New Roman"/>
      <w:sz w:val="18"/>
      <w:szCs w:val="18"/>
    </w:rPr>
  </w:style>
  <w:style w:type="paragraph" w:styleId="a4">
    <w:name w:val="footer"/>
    <w:basedOn w:val="a"/>
    <w:link w:val="Char0"/>
    <w:uiPriority w:val="99"/>
    <w:unhideWhenUsed/>
    <w:rsid w:val="00BC55BD"/>
    <w:pPr>
      <w:tabs>
        <w:tab w:val="center" w:pos="4153"/>
        <w:tab w:val="right" w:pos="8306"/>
      </w:tabs>
      <w:snapToGrid w:val="0"/>
      <w:jc w:val="left"/>
    </w:pPr>
    <w:rPr>
      <w:sz w:val="18"/>
      <w:szCs w:val="18"/>
    </w:rPr>
  </w:style>
  <w:style w:type="character" w:customStyle="1" w:styleId="Char0">
    <w:name w:val="页脚 Char"/>
    <w:basedOn w:val="a0"/>
    <w:link w:val="a4"/>
    <w:uiPriority w:val="99"/>
    <w:rsid w:val="00BC55BD"/>
    <w:rPr>
      <w:rFonts w:ascii="Calibri" w:eastAsia="宋体" w:hAnsi="Calibri" w:cs="Times New Roman"/>
      <w:sz w:val="18"/>
      <w:szCs w:val="18"/>
    </w:rPr>
  </w:style>
  <w:style w:type="paragraph" w:styleId="a5">
    <w:name w:val="List Paragraph"/>
    <w:basedOn w:val="a"/>
    <w:uiPriority w:val="34"/>
    <w:qFormat/>
    <w:rsid w:val="00531C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Xinyu</dc:creator>
  <cp:keywords/>
  <dc:description/>
  <cp:lastModifiedBy>Fangda</cp:lastModifiedBy>
  <cp:revision>19</cp:revision>
  <dcterms:created xsi:type="dcterms:W3CDTF">2021-07-16T02:55:00Z</dcterms:created>
  <dcterms:modified xsi:type="dcterms:W3CDTF">2021-08-02T07:03:00Z</dcterms:modified>
</cp:coreProperties>
</file>