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经营者集中简易案件公示表</w:t>
      </w:r>
    </w:p>
    <w:p>
      <w:pPr>
        <w:spacing w:line="4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9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4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案件名称</w:t>
            </w:r>
          </w:p>
        </w:tc>
        <w:tc>
          <w:tcPr>
            <w:tcW w:w="6550" w:type="dxa"/>
            <w:gridSpan w:val="2"/>
            <w:shd w:val="clear" w:color="auto" w:fill="auto"/>
            <w:vAlign w:val="center"/>
          </w:tcPr>
          <w:p>
            <w:pPr>
              <w:spacing w:after="156" w:afterLines="50" w:line="360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北京德晖投资管理有限公司收购大信商用信托管理有限公司股权案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交易概况（限200字内）</w:t>
            </w:r>
          </w:p>
        </w:tc>
        <w:tc>
          <w:tcPr>
            <w:tcW w:w="6550" w:type="dxa"/>
            <w:gridSpan w:val="2"/>
          </w:tcPr>
          <w:p>
            <w:pPr>
              <w:spacing w:before="156" w:beforeLines="50" w:after="156" w:afterLines="50" w:line="360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2021年7月19日，北京德晖投资管理有限公司</w:t>
            </w:r>
            <w:r>
              <w:rPr>
                <w:rFonts w:hint="eastAsia" w:ascii="Times New Roman" w:hAnsi="Times New Roman" w:eastAsiaTheme="minorEastAsia"/>
                <w:szCs w:val="21"/>
              </w:rPr>
              <w:t>（“</w:t>
            </w:r>
            <w:r>
              <w:rPr>
                <w:rFonts w:hint="eastAsia" w:ascii="Times New Roman" w:hAnsi="Times New Roman" w:eastAsiaTheme="minorEastAsia"/>
                <w:b/>
                <w:szCs w:val="21"/>
              </w:rPr>
              <w:t>德晖投资</w:t>
            </w:r>
            <w:r>
              <w:rPr>
                <w:rFonts w:hint="eastAsia" w:ascii="Times New Roman" w:hAnsi="Times New Roman" w:eastAsiaTheme="minorEastAsia"/>
                <w:szCs w:val="21"/>
              </w:rPr>
              <w:t>”）通过</w:t>
            </w:r>
            <w:r>
              <w:rPr>
                <w:rFonts w:ascii="Times New Roman" w:hAnsi="Times New Roman" w:eastAsiaTheme="minorEastAsia"/>
                <w:szCs w:val="21"/>
              </w:rPr>
              <w:t>子公司新沃投资有限公司与张镇成签订</w:t>
            </w:r>
            <w:r>
              <w:rPr>
                <w:rFonts w:hint="eastAsia" w:ascii="Times New Roman" w:hAnsi="Times New Roman" w:eastAsiaTheme="minorEastAsia"/>
                <w:szCs w:val="21"/>
              </w:rPr>
              <w:t>买卖</w:t>
            </w:r>
            <w:r>
              <w:rPr>
                <w:rFonts w:ascii="Times New Roman" w:hAnsi="Times New Roman" w:eastAsiaTheme="minorEastAsia"/>
                <w:szCs w:val="21"/>
              </w:rPr>
              <w:t>协议。根据该协议，德晖投资将收购张镇成持有的大信商用信托管理有限公司</w:t>
            </w:r>
            <w:r>
              <w:rPr>
                <w:rFonts w:hint="eastAsia" w:ascii="Times New Roman" w:hAnsi="Times New Roman" w:eastAsiaTheme="minorEastAsia"/>
                <w:szCs w:val="21"/>
              </w:rPr>
              <w:t>（“</w:t>
            </w:r>
            <w:r>
              <w:rPr>
                <w:rFonts w:hint="eastAsia" w:ascii="Times New Roman" w:hAnsi="Times New Roman" w:eastAsiaTheme="minorEastAsia"/>
                <w:b/>
                <w:color w:val="000000"/>
                <w:szCs w:val="21"/>
              </w:rPr>
              <w:t>目标公司</w:t>
            </w:r>
            <w:r>
              <w:rPr>
                <w:rFonts w:hint="eastAsia" w:ascii="Times New Roman" w:hAnsi="Times New Roman" w:eastAsiaTheme="minorEastAsia"/>
                <w:szCs w:val="21"/>
              </w:rPr>
              <w:t>”）</w:t>
            </w:r>
            <w:r>
              <w:rPr>
                <w:rFonts w:ascii="Times New Roman" w:hAnsi="Times New Roman" w:eastAsiaTheme="minorEastAsia"/>
                <w:szCs w:val="21"/>
              </w:rPr>
              <w:t>70%的股权。（“</w:t>
            </w:r>
            <w:r>
              <w:rPr>
                <w:rFonts w:ascii="Times New Roman" w:hAnsi="Times New Roman" w:eastAsiaTheme="minorEastAsia"/>
                <w:b/>
                <w:szCs w:val="21"/>
              </w:rPr>
              <w:t>拟议交易</w:t>
            </w:r>
            <w:r>
              <w:rPr>
                <w:rFonts w:ascii="Times New Roman" w:hAnsi="Times New Roman" w:eastAsiaTheme="minorEastAsia"/>
                <w:szCs w:val="21"/>
              </w:rPr>
              <w:t>”）</w:t>
            </w:r>
          </w:p>
          <w:p>
            <w:pPr>
              <w:spacing w:before="156" w:beforeLines="50" w:after="156" w:afterLines="50" w:line="360" w:lineRule="auto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拟议交易完成后</w:t>
            </w:r>
            <w:r>
              <w:rPr>
                <w:rFonts w:hint="eastAsia" w:ascii="Times New Roman" w:hAnsi="Times New Roman" w:eastAsiaTheme="minorEastAsia"/>
                <w:szCs w:val="21"/>
              </w:rPr>
              <w:t>，在过渡期内（交割完成一年内），</w:t>
            </w:r>
            <w:r>
              <w:rPr>
                <w:rFonts w:ascii="Times New Roman" w:hAnsi="Times New Roman" w:eastAsiaTheme="minorEastAsia"/>
                <w:szCs w:val="21"/>
              </w:rPr>
              <w:t>德晖投资</w:t>
            </w:r>
            <w:r>
              <w:rPr>
                <w:rFonts w:hint="eastAsia" w:ascii="Times New Roman" w:hAnsi="Times New Roman" w:eastAsiaTheme="minorEastAsia"/>
                <w:szCs w:val="21"/>
              </w:rPr>
              <w:t>与张镇成将共同控制目标公司；在过渡期之后（交割完成一年后），</w:t>
            </w:r>
            <w:r>
              <w:rPr>
                <w:rFonts w:ascii="Times New Roman" w:hAnsi="Times New Roman" w:eastAsiaTheme="minorEastAsia"/>
                <w:szCs w:val="21"/>
              </w:rPr>
              <w:t>德晖投资</w:t>
            </w:r>
            <w:r>
              <w:rPr>
                <w:rFonts w:hint="eastAsia" w:ascii="Times New Roman" w:hAnsi="Times New Roman" w:eastAsiaTheme="minorEastAsia"/>
                <w:szCs w:val="21"/>
              </w:rPr>
              <w:t>将单独控制目标公司。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参与集中的经营者简介</w:t>
            </w:r>
          </w:p>
        </w:tc>
        <w:tc>
          <w:tcPr>
            <w:tcW w:w="1796" w:type="dxa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德晖投资</w:t>
            </w:r>
          </w:p>
        </w:tc>
        <w:tc>
          <w:tcPr>
            <w:tcW w:w="4754" w:type="dxa"/>
          </w:tcPr>
          <w:p>
            <w:pPr>
              <w:snapToGrid w:val="0"/>
              <w:spacing w:after="156" w:afterLines="50"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德晖投资成立于2</w:t>
            </w:r>
            <w:r>
              <w:rPr>
                <w:rFonts w:ascii="Times New Roman" w:hAnsi="Times New Roman"/>
              </w:rPr>
              <w:t>015年</w:t>
            </w: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2月</w:t>
            </w: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6日</w:t>
            </w:r>
            <w:r>
              <w:rPr>
                <w:rFonts w:hint="eastAsia" w:ascii="Times New Roman" w:hAnsi="Times New Roman"/>
              </w:rPr>
              <w:t>，注册地为北京市，</w:t>
            </w:r>
            <w:r>
              <w:rPr>
                <w:rFonts w:ascii="Times New Roman" w:hAnsi="Times New Roman"/>
              </w:rPr>
              <w:t>主要业务为</w:t>
            </w:r>
            <w:r>
              <w:rPr>
                <w:rFonts w:hint="eastAsia" w:ascii="Times New Roman" w:hAnsi="Times New Roman"/>
              </w:rPr>
              <w:t>投资管理、投资咨询、企业管理与资产管理。</w:t>
            </w:r>
            <w:r>
              <w:rPr>
                <w:szCs w:val="21"/>
              </w:rPr>
              <w:t>德晖投资的最终控制人是</w:t>
            </w:r>
            <w:r>
              <w:rPr>
                <w:rFonts w:hint="eastAsia"/>
                <w:szCs w:val="21"/>
              </w:rPr>
              <w:t>远洋集团控股有限公司（“</w:t>
            </w:r>
            <w:r>
              <w:rPr>
                <w:rFonts w:hint="eastAsia"/>
                <w:b/>
                <w:szCs w:val="21"/>
              </w:rPr>
              <w:t>远洋集团</w:t>
            </w:r>
            <w:r>
              <w:rPr>
                <w:rFonts w:hint="eastAsia"/>
                <w:szCs w:val="21"/>
              </w:rPr>
              <w:t>”）。</w:t>
            </w:r>
            <w:r>
              <w:rPr>
                <w:rFonts w:hint="eastAsia" w:ascii="Times New Roman" w:hAnsi="Times New Roman"/>
              </w:rPr>
              <w:t>远洋集团成立于2</w:t>
            </w:r>
            <w:r>
              <w:rPr>
                <w:rFonts w:ascii="Times New Roman" w:hAnsi="Times New Roman"/>
              </w:rPr>
              <w:t>007年</w:t>
            </w:r>
            <w:r>
              <w:rPr>
                <w:rFonts w:hint="eastAsia" w:ascii="Times New Roman" w:hAnsi="Times New Roman"/>
              </w:rPr>
              <w:t>3月1</w:t>
            </w:r>
            <w:r>
              <w:rPr>
                <w:rFonts w:ascii="Times New Roman" w:hAnsi="Times New Roman"/>
              </w:rPr>
              <w:t>2日</w:t>
            </w:r>
            <w:r>
              <w:rPr>
                <w:rFonts w:hint="eastAsia" w:ascii="Times New Roman" w:hAnsi="Times New Roman"/>
              </w:rPr>
              <w:t>，是一家以投资开发为主业，发展开发相关新业务的综合型实业公司，主营业务包括住宅开发、不动产开发运营、物业服务及建筑建造全产业链服务，其他协同业务涵盖房地产金融、养老服务、物流地产、数据地产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796" w:type="dxa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</w:rPr>
              <w:t>目标公司</w:t>
            </w:r>
          </w:p>
        </w:tc>
        <w:tc>
          <w:tcPr>
            <w:tcW w:w="4754" w:type="dxa"/>
          </w:tcPr>
          <w:p>
            <w:pPr>
              <w:spacing w:before="156" w:beforeLines="50" w:after="156" w:afterLines="50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</w:rPr>
              <w:t>目标公司成立于2015年8月14日，注册地为</w:t>
            </w:r>
            <w:bookmarkStart w:id="0" w:name="_GoBack"/>
            <w:bookmarkEnd w:id="0"/>
            <w:r>
              <w:rPr>
                <w:rFonts w:hint="eastAsia" w:ascii="Times New Roman" w:hAnsi="Times New Roman" w:eastAsiaTheme="minorEastAsia"/>
                <w:color w:val="000000"/>
                <w:szCs w:val="21"/>
              </w:rPr>
              <w:t>新加坡，其主要业务为管理大信商用信托位于珠海市、佛山市与中山市的7个大型零售商业地产项目。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简易案件理由（可以单选，也可以多选）</w:t>
            </w: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  <w:lang w:val="en-GB"/>
              </w:rPr>
              <w:sym w:font="Wingdings" w:char="F0A8"/>
            </w:r>
            <w:r>
              <w:rPr>
                <w:rFonts w:ascii="Times New Roman" w:hAnsi="Times New Roman" w:eastAsiaTheme="minorEastAsia"/>
                <w:szCs w:val="21"/>
              </w:rPr>
              <w:t>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  <w:lang w:val="en-GB"/>
              </w:rPr>
              <w:sym w:font="Wingdings" w:char="F0A8"/>
            </w:r>
            <w:r>
              <w:rPr>
                <w:rFonts w:ascii="Times New Roman" w:hAnsi="Times New Roman" w:eastAsiaTheme="minorEastAsia"/>
                <w:szCs w:val="21"/>
              </w:rPr>
              <w:t>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  <w:lang w:val="en-GB"/>
              </w:rPr>
              <w:sym w:font="Wingdings" w:char="F0FE"/>
            </w:r>
            <w:r>
              <w:rPr>
                <w:rFonts w:ascii="Times New Roman" w:hAnsi="Times New Roman" w:eastAsiaTheme="minorEastAsia"/>
                <w:szCs w:val="21"/>
              </w:rPr>
              <w:t>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  <w:lang w:val="en-GB"/>
              </w:rPr>
              <w:sym w:font="Wingdings" w:char="F0A8"/>
            </w:r>
            <w:r>
              <w:rPr>
                <w:rFonts w:ascii="Times New Roman" w:hAnsi="Times New Roman" w:eastAsiaTheme="minorEastAsia"/>
                <w:szCs w:val="21"/>
              </w:rPr>
              <w:t>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  <w:lang w:val="en-GB"/>
              </w:rPr>
              <w:sym w:font="Wingdings" w:char="F0A8"/>
            </w:r>
            <w:r>
              <w:rPr>
                <w:rFonts w:ascii="Times New Roman" w:hAnsi="Times New Roman" w:eastAsiaTheme="minorEastAsia"/>
                <w:szCs w:val="21"/>
              </w:rPr>
              <w:t>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  <w:lang w:val="en-GB"/>
              </w:rPr>
              <w:sym w:font="Wingdings" w:char="F0A8"/>
            </w:r>
            <w:r>
              <w:rPr>
                <w:rFonts w:ascii="Times New Roman" w:hAnsi="Times New Roman" w:eastAsiaTheme="minorEastAsia"/>
                <w:szCs w:val="21"/>
              </w:rPr>
              <w:t>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</w:trPr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Theme="minorEastAsia"/>
                <w:b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szCs w:val="21"/>
              </w:rPr>
              <w:t>备注</w:t>
            </w:r>
          </w:p>
        </w:tc>
        <w:tc>
          <w:tcPr>
            <w:tcW w:w="6550" w:type="dxa"/>
            <w:gridSpan w:val="2"/>
          </w:tcPr>
          <w:p>
            <w:pPr>
              <w:widowControl/>
              <w:snapToGrid w:val="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相关市场及市场份额</w:t>
            </w:r>
          </w:p>
          <w:p>
            <w:pPr>
              <w:widowControl/>
              <w:snapToGrid w:val="0"/>
              <w:rPr>
                <w:rFonts w:ascii="Times New Roman" w:hAnsi="Times New Roman" w:eastAsiaTheme="minorEastAsia"/>
                <w:szCs w:val="21"/>
              </w:rPr>
            </w:pPr>
          </w:p>
          <w:tbl>
            <w:tblPr>
              <w:tblStyle w:val="10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43"/>
              <w:gridCol w:w="1559"/>
              <w:gridCol w:w="27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43" w:type="dxa"/>
                  <w:shd w:val="clear" w:color="auto" w:fill="D8D8D8" w:themeFill="background1" w:themeFillShade="D9"/>
                </w:tcPr>
                <w:p>
                  <w:pPr>
                    <w:snapToGrid w:val="0"/>
                    <w:spacing w:after="156" w:afterLines="50"/>
                    <w:rPr>
                      <w:rFonts w:ascii="Times New Roman" w:hAnsi="Times New Roman" w:eastAsiaTheme="minorEastAsia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Theme="minorEastAsia"/>
                      <w:b/>
                      <w:bCs/>
                      <w:szCs w:val="21"/>
                    </w:rPr>
                    <w:t>相关商品市场</w:t>
                  </w:r>
                </w:p>
              </w:tc>
              <w:tc>
                <w:tcPr>
                  <w:tcW w:w="1559" w:type="dxa"/>
                  <w:shd w:val="clear" w:color="auto" w:fill="D8D8D8" w:themeFill="background1" w:themeFillShade="D9"/>
                </w:tcPr>
                <w:p>
                  <w:pPr>
                    <w:snapToGrid w:val="0"/>
                    <w:spacing w:after="156" w:afterLines="50"/>
                    <w:rPr>
                      <w:rFonts w:ascii="Times New Roman" w:hAnsi="Times New Roman" w:eastAsiaTheme="minorEastAsia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Theme="minorEastAsia"/>
                      <w:b/>
                      <w:bCs/>
                      <w:szCs w:val="21"/>
                    </w:rPr>
                    <w:t>相关地域市场</w:t>
                  </w:r>
                </w:p>
              </w:tc>
              <w:tc>
                <w:tcPr>
                  <w:tcW w:w="2722" w:type="dxa"/>
                  <w:shd w:val="clear" w:color="auto" w:fill="D8D8D8" w:themeFill="background1" w:themeFillShade="D9"/>
                </w:tcPr>
                <w:p>
                  <w:pPr>
                    <w:snapToGrid w:val="0"/>
                    <w:spacing w:after="156" w:afterLines="50"/>
                    <w:rPr>
                      <w:rFonts w:ascii="Times New Roman" w:hAnsi="Times New Roman" w:eastAsiaTheme="minorEastAsia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Theme="minorEastAsia"/>
                      <w:b/>
                      <w:bCs/>
                      <w:szCs w:val="21"/>
                    </w:rPr>
                    <w:t>市场份额数据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43" w:type="dxa"/>
                  <w:vMerge w:val="restart"/>
                </w:tcPr>
                <w:p>
                  <w:pPr>
                    <w:snapToGrid w:val="0"/>
                    <w:spacing w:after="156" w:afterLines="50"/>
                    <w:rPr>
                      <w:rFonts w:ascii="Times New Roman" w:hAnsi="Times New Roman" w:eastAsiaTheme="minorEastAsia"/>
                      <w:szCs w:val="21"/>
                    </w:rPr>
                  </w:pPr>
                  <w:r>
                    <w:rPr>
                      <w:rFonts w:hint="eastAsia" w:ascii="Times New Roman" w:hAnsi="Times New Roman" w:eastAsiaTheme="minorEastAsia"/>
                      <w:szCs w:val="21"/>
                    </w:rPr>
                    <w:t>大型商业零售地产的开发与运营</w:t>
                  </w:r>
                </w:p>
              </w:tc>
              <w:tc>
                <w:tcPr>
                  <w:tcW w:w="1559" w:type="dxa"/>
                </w:tcPr>
                <w:p>
                  <w:pPr>
                    <w:snapToGrid w:val="0"/>
                    <w:spacing w:after="156" w:afterLines="50"/>
                    <w:rPr>
                      <w:rFonts w:ascii="Times New Roman" w:hAnsi="Times New Roman" w:eastAsiaTheme="minorEastAsia"/>
                      <w:szCs w:val="21"/>
                    </w:rPr>
                  </w:pPr>
                  <w:r>
                    <w:rPr>
                      <w:rFonts w:hint="eastAsia" w:ascii="Times New Roman" w:hAnsi="Times New Roman" w:eastAsiaTheme="minorEastAsia"/>
                      <w:szCs w:val="21"/>
                    </w:rPr>
                    <w:t>珠海市</w:t>
                  </w:r>
                </w:p>
              </w:tc>
              <w:tc>
                <w:tcPr>
                  <w:tcW w:w="2722" w:type="dxa"/>
                </w:tcPr>
                <w:p>
                  <w:pPr>
                    <w:snapToGrid w:val="0"/>
                    <w:spacing w:after="156" w:afterLines="50"/>
                    <w:rPr>
                      <w:rFonts w:ascii="Times New Roman" w:hAnsi="Times New Roman" w:eastAsiaTheme="minorEastAsia"/>
                      <w:szCs w:val="21"/>
                    </w:rPr>
                  </w:pPr>
                  <w:r>
                    <w:rPr>
                      <w:rFonts w:hint="eastAsia" w:ascii="Times New Roman" w:hAnsi="Times New Roman" w:eastAsiaTheme="minorEastAsia"/>
                      <w:szCs w:val="21"/>
                    </w:rPr>
                    <w:t>目标公司：[</w:t>
                  </w:r>
                  <w:r>
                    <w:rPr>
                      <w:rFonts w:ascii="Times New Roman" w:hAnsi="Times New Roman" w:eastAsiaTheme="minorEastAsia"/>
                      <w:szCs w:val="21"/>
                    </w:rPr>
                    <w:t>0</w:t>
                  </w:r>
                  <w:r>
                    <w:rPr>
                      <w:rFonts w:hint="eastAsia" w:ascii="Times New Roman" w:hAnsi="Times New Roman" w:eastAsiaTheme="minorEastAsia"/>
                      <w:szCs w:val="21"/>
                    </w:rPr>
                    <w:t>-</w:t>
                  </w:r>
                  <w:r>
                    <w:rPr>
                      <w:rFonts w:ascii="Times New Roman" w:hAnsi="Times New Roman" w:eastAsiaTheme="minorEastAsia"/>
                      <w:szCs w:val="21"/>
                    </w:rPr>
                    <w:t>5</w:t>
                  </w:r>
                  <w:r>
                    <w:rPr>
                      <w:rFonts w:hint="eastAsia" w:ascii="Times New Roman" w:hAnsi="Times New Roman" w:eastAsiaTheme="minorEastAsia"/>
                      <w:szCs w:val="21"/>
                    </w:rPr>
                    <w:t>%</w:t>
                  </w:r>
                  <w:r>
                    <w:rPr>
                      <w:rFonts w:ascii="Times New Roman" w:hAnsi="Times New Roman" w:eastAsiaTheme="minorEastAsia"/>
                      <w:szCs w:val="21"/>
                    </w:rPr>
                    <w:t>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43" w:type="dxa"/>
                  <w:vMerge w:val="continue"/>
                </w:tcPr>
                <w:p>
                  <w:pPr>
                    <w:snapToGrid w:val="0"/>
                    <w:spacing w:after="156" w:afterLines="50"/>
                    <w:rPr>
                      <w:rFonts w:ascii="Times New Roman" w:hAnsi="Times New Roman" w:eastAsiaTheme="minorEastAsia"/>
                      <w:bCs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napToGrid w:val="0"/>
                    <w:spacing w:after="156" w:afterLines="50"/>
                    <w:rPr>
                      <w:rFonts w:ascii="Times New Roman" w:hAnsi="Times New Roman" w:eastAsiaTheme="minorEastAsia"/>
                      <w:bCs/>
                      <w:szCs w:val="21"/>
                    </w:rPr>
                  </w:pPr>
                  <w:r>
                    <w:rPr>
                      <w:rFonts w:ascii="Times New Roman" w:hAnsi="Times New Roman" w:eastAsiaTheme="minorEastAsia"/>
                      <w:bCs/>
                      <w:szCs w:val="21"/>
                    </w:rPr>
                    <w:t>佛山市</w:t>
                  </w:r>
                </w:p>
              </w:tc>
              <w:tc>
                <w:tcPr>
                  <w:tcW w:w="2722" w:type="dxa"/>
                </w:tcPr>
                <w:p>
                  <w:pPr>
                    <w:snapToGrid w:val="0"/>
                    <w:spacing w:after="156" w:afterLines="50"/>
                    <w:rPr>
                      <w:rFonts w:ascii="Times New Roman" w:hAnsi="Times New Roman" w:eastAsiaTheme="minorEastAsia"/>
                      <w:szCs w:val="21"/>
                    </w:rPr>
                  </w:pPr>
                  <w:r>
                    <w:rPr>
                      <w:rFonts w:hint="eastAsia" w:ascii="Times New Roman" w:hAnsi="Times New Roman" w:eastAsiaTheme="minorEastAsia"/>
                      <w:szCs w:val="21"/>
                    </w:rPr>
                    <w:t>目标公司：[</w:t>
                  </w:r>
                  <w:r>
                    <w:rPr>
                      <w:rFonts w:ascii="Times New Roman" w:hAnsi="Times New Roman" w:eastAsiaTheme="minorEastAsia"/>
                      <w:szCs w:val="21"/>
                    </w:rPr>
                    <w:t>0</w:t>
                  </w:r>
                  <w:r>
                    <w:rPr>
                      <w:rFonts w:hint="eastAsia" w:ascii="Times New Roman" w:hAnsi="Times New Roman" w:eastAsiaTheme="minorEastAsia"/>
                      <w:szCs w:val="21"/>
                    </w:rPr>
                    <w:t>-</w:t>
                  </w:r>
                  <w:r>
                    <w:rPr>
                      <w:rFonts w:ascii="Times New Roman" w:hAnsi="Times New Roman" w:eastAsiaTheme="minorEastAsia"/>
                      <w:szCs w:val="21"/>
                    </w:rPr>
                    <w:t>5</w:t>
                  </w:r>
                  <w:r>
                    <w:rPr>
                      <w:rFonts w:hint="eastAsia" w:ascii="Times New Roman" w:hAnsi="Times New Roman" w:eastAsiaTheme="minorEastAsia"/>
                      <w:szCs w:val="21"/>
                    </w:rPr>
                    <w:t>%</w:t>
                  </w:r>
                  <w:r>
                    <w:rPr>
                      <w:rFonts w:ascii="Times New Roman" w:hAnsi="Times New Roman" w:eastAsiaTheme="minorEastAsia"/>
                      <w:szCs w:val="21"/>
                    </w:rPr>
                    <w:t>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43" w:type="dxa"/>
                  <w:vMerge w:val="continue"/>
                </w:tcPr>
                <w:p>
                  <w:pPr>
                    <w:snapToGrid w:val="0"/>
                    <w:spacing w:after="156" w:afterLines="50"/>
                    <w:rPr>
                      <w:rFonts w:ascii="Times New Roman" w:hAnsi="Times New Roman" w:eastAsiaTheme="minorEastAsia"/>
                      <w:bCs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napToGrid w:val="0"/>
                    <w:spacing w:after="156" w:afterLines="50"/>
                    <w:rPr>
                      <w:rFonts w:ascii="Times New Roman" w:hAnsi="Times New Roman" w:eastAsiaTheme="minorEastAsia"/>
                      <w:bCs/>
                      <w:szCs w:val="21"/>
                    </w:rPr>
                  </w:pPr>
                  <w:r>
                    <w:rPr>
                      <w:rFonts w:ascii="Times New Roman" w:hAnsi="Times New Roman" w:eastAsiaTheme="minorEastAsia"/>
                      <w:bCs/>
                      <w:szCs w:val="21"/>
                    </w:rPr>
                    <w:t>中山市</w:t>
                  </w:r>
                </w:p>
              </w:tc>
              <w:tc>
                <w:tcPr>
                  <w:tcW w:w="2722" w:type="dxa"/>
                </w:tcPr>
                <w:p>
                  <w:pPr>
                    <w:snapToGrid w:val="0"/>
                    <w:spacing w:after="156" w:afterLines="50"/>
                    <w:rPr>
                      <w:rFonts w:ascii="Times New Roman" w:hAnsi="Times New Roman" w:eastAsiaTheme="minorEastAsia"/>
                      <w:szCs w:val="21"/>
                    </w:rPr>
                  </w:pPr>
                  <w:r>
                    <w:rPr>
                      <w:rFonts w:hint="eastAsia" w:ascii="Times New Roman" w:hAnsi="Times New Roman" w:eastAsiaTheme="minorEastAsia"/>
                      <w:szCs w:val="21"/>
                    </w:rPr>
                    <w:t>目标公司：[</w:t>
                  </w:r>
                  <w:r>
                    <w:rPr>
                      <w:rFonts w:ascii="Times New Roman" w:hAnsi="Times New Roman" w:eastAsiaTheme="minorEastAsia"/>
                      <w:szCs w:val="21"/>
                    </w:rPr>
                    <w:t>10</w:t>
                  </w:r>
                  <w:r>
                    <w:rPr>
                      <w:rFonts w:hint="eastAsia" w:ascii="Times New Roman" w:hAnsi="Times New Roman" w:eastAsiaTheme="minorEastAsia"/>
                      <w:szCs w:val="21"/>
                    </w:rPr>
                    <w:t>-</w:t>
                  </w:r>
                  <w:r>
                    <w:rPr>
                      <w:rFonts w:ascii="Times New Roman" w:hAnsi="Times New Roman" w:eastAsiaTheme="minorEastAsia"/>
                      <w:szCs w:val="21"/>
                    </w:rPr>
                    <w:t>15</w:t>
                  </w:r>
                  <w:r>
                    <w:rPr>
                      <w:rFonts w:hint="eastAsia" w:ascii="Times New Roman" w:hAnsi="Times New Roman" w:eastAsiaTheme="minorEastAsia"/>
                      <w:szCs w:val="21"/>
                    </w:rPr>
                    <w:t>%</w:t>
                  </w:r>
                  <w:r>
                    <w:rPr>
                      <w:rFonts w:ascii="Times New Roman" w:hAnsi="Times New Roman" w:eastAsiaTheme="minorEastAsia"/>
                      <w:szCs w:val="21"/>
                    </w:rPr>
                    <w:t>]</w:t>
                  </w:r>
                </w:p>
              </w:tc>
            </w:tr>
          </w:tbl>
          <w:p>
            <w:pPr>
              <w:widowControl/>
              <w:snapToGrid w:val="0"/>
              <w:ind w:left="420"/>
              <w:rPr>
                <w:rFonts w:ascii="Times New Roman" w:hAnsi="Times New Roman" w:eastAsiaTheme="minorEastAsia"/>
                <w:szCs w:val="21"/>
              </w:rPr>
            </w:pPr>
          </w:p>
        </w:tc>
      </w:tr>
    </w:tbl>
    <w:p>
      <w:pPr>
        <w:snapToGrid w:val="0"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9376438"/>
      <w:docPartObj>
        <w:docPartGallery w:val="AutoText"/>
      </w:docPartObj>
    </w:sdtPr>
    <w:sdtEndPr>
      <w:rPr>
        <w:rFonts w:ascii="Times New Roman" w:hAnsi="Times New Roman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Times New Roman" w:hAnsi="Times New Roman"/>
          </w:rPr>
        </w:sdtEndPr>
        <w:sdtContent>
          <w:p>
            <w:pPr>
              <w:pStyle w:val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 xml:space="preserve">PAGE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lang w:val="zh-CN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 xml:space="preserve">NUMPAGES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6A4903"/>
    <w:multiLevelType w:val="multilevel"/>
    <w:tmpl w:val="1C6A49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5"/>
    <w:rsid w:val="00005B69"/>
    <w:rsid w:val="00006080"/>
    <w:rsid w:val="0002587C"/>
    <w:rsid w:val="00045507"/>
    <w:rsid w:val="0005594E"/>
    <w:rsid w:val="00082738"/>
    <w:rsid w:val="00087D30"/>
    <w:rsid w:val="000917F0"/>
    <w:rsid w:val="00094095"/>
    <w:rsid w:val="000A3CA7"/>
    <w:rsid w:val="000B0EC8"/>
    <w:rsid w:val="000C5BC7"/>
    <w:rsid w:val="000E7FC9"/>
    <w:rsid w:val="00100B60"/>
    <w:rsid w:val="001020EA"/>
    <w:rsid w:val="00113543"/>
    <w:rsid w:val="00117B9E"/>
    <w:rsid w:val="00137BCF"/>
    <w:rsid w:val="001417D8"/>
    <w:rsid w:val="00165964"/>
    <w:rsid w:val="001913F9"/>
    <w:rsid w:val="00192C2C"/>
    <w:rsid w:val="00193065"/>
    <w:rsid w:val="001C1B23"/>
    <w:rsid w:val="001E393B"/>
    <w:rsid w:val="001E4BF3"/>
    <w:rsid w:val="0020313A"/>
    <w:rsid w:val="002128F6"/>
    <w:rsid w:val="002158DC"/>
    <w:rsid w:val="00233AB0"/>
    <w:rsid w:val="00245776"/>
    <w:rsid w:val="00262658"/>
    <w:rsid w:val="00266A6B"/>
    <w:rsid w:val="0029252D"/>
    <w:rsid w:val="002E2C9F"/>
    <w:rsid w:val="002E720A"/>
    <w:rsid w:val="002F2D60"/>
    <w:rsid w:val="00302FE1"/>
    <w:rsid w:val="003048E8"/>
    <w:rsid w:val="003061D7"/>
    <w:rsid w:val="00307976"/>
    <w:rsid w:val="0031093F"/>
    <w:rsid w:val="003145BC"/>
    <w:rsid w:val="00316B15"/>
    <w:rsid w:val="0032355A"/>
    <w:rsid w:val="003537F4"/>
    <w:rsid w:val="003C306B"/>
    <w:rsid w:val="003C75D7"/>
    <w:rsid w:val="003D3128"/>
    <w:rsid w:val="003D60DB"/>
    <w:rsid w:val="003E0923"/>
    <w:rsid w:val="003F170C"/>
    <w:rsid w:val="004030E1"/>
    <w:rsid w:val="0042029C"/>
    <w:rsid w:val="00427074"/>
    <w:rsid w:val="00445F6B"/>
    <w:rsid w:val="00462174"/>
    <w:rsid w:val="004B00C8"/>
    <w:rsid w:val="004B3A56"/>
    <w:rsid w:val="004C2586"/>
    <w:rsid w:val="00507D9C"/>
    <w:rsid w:val="00557102"/>
    <w:rsid w:val="00563A4C"/>
    <w:rsid w:val="00566CC7"/>
    <w:rsid w:val="00574F2D"/>
    <w:rsid w:val="005B533D"/>
    <w:rsid w:val="005C3D32"/>
    <w:rsid w:val="005D1309"/>
    <w:rsid w:val="005D1B7F"/>
    <w:rsid w:val="005F167B"/>
    <w:rsid w:val="005F5FFA"/>
    <w:rsid w:val="006113D3"/>
    <w:rsid w:val="00616F24"/>
    <w:rsid w:val="006266C3"/>
    <w:rsid w:val="006300C0"/>
    <w:rsid w:val="006447F2"/>
    <w:rsid w:val="00644C5B"/>
    <w:rsid w:val="0067330C"/>
    <w:rsid w:val="00675286"/>
    <w:rsid w:val="00692DA5"/>
    <w:rsid w:val="006A4D58"/>
    <w:rsid w:val="006A4F76"/>
    <w:rsid w:val="006A5728"/>
    <w:rsid w:val="006B49BF"/>
    <w:rsid w:val="006D0734"/>
    <w:rsid w:val="006E4C68"/>
    <w:rsid w:val="007077F9"/>
    <w:rsid w:val="00720227"/>
    <w:rsid w:val="00720679"/>
    <w:rsid w:val="007364E2"/>
    <w:rsid w:val="0074694B"/>
    <w:rsid w:val="00785C5F"/>
    <w:rsid w:val="007A0249"/>
    <w:rsid w:val="007C000E"/>
    <w:rsid w:val="007C7803"/>
    <w:rsid w:val="007D4501"/>
    <w:rsid w:val="008010AD"/>
    <w:rsid w:val="0080386C"/>
    <w:rsid w:val="008354FF"/>
    <w:rsid w:val="0084303C"/>
    <w:rsid w:val="008736FC"/>
    <w:rsid w:val="008750C5"/>
    <w:rsid w:val="008764AD"/>
    <w:rsid w:val="00877D76"/>
    <w:rsid w:val="00885D99"/>
    <w:rsid w:val="008926BD"/>
    <w:rsid w:val="0089745C"/>
    <w:rsid w:val="008A7ED7"/>
    <w:rsid w:val="008C10CC"/>
    <w:rsid w:val="008F634B"/>
    <w:rsid w:val="00900557"/>
    <w:rsid w:val="009134D0"/>
    <w:rsid w:val="0093344B"/>
    <w:rsid w:val="0095347A"/>
    <w:rsid w:val="00962F3C"/>
    <w:rsid w:val="009733B4"/>
    <w:rsid w:val="0097529A"/>
    <w:rsid w:val="00997099"/>
    <w:rsid w:val="009A7BF2"/>
    <w:rsid w:val="009B22D1"/>
    <w:rsid w:val="009B5555"/>
    <w:rsid w:val="009C1D9D"/>
    <w:rsid w:val="009C5ACB"/>
    <w:rsid w:val="009E544B"/>
    <w:rsid w:val="009F7FE9"/>
    <w:rsid w:val="00A43A3E"/>
    <w:rsid w:val="00A45CE8"/>
    <w:rsid w:val="00A67610"/>
    <w:rsid w:val="00A73519"/>
    <w:rsid w:val="00A73EC0"/>
    <w:rsid w:val="00A77BD3"/>
    <w:rsid w:val="00AA1A78"/>
    <w:rsid w:val="00AB1BC4"/>
    <w:rsid w:val="00AD646B"/>
    <w:rsid w:val="00AE4C10"/>
    <w:rsid w:val="00B01090"/>
    <w:rsid w:val="00B34D88"/>
    <w:rsid w:val="00B357DC"/>
    <w:rsid w:val="00B60E5E"/>
    <w:rsid w:val="00BA0750"/>
    <w:rsid w:val="00BA16D2"/>
    <w:rsid w:val="00BA4F7F"/>
    <w:rsid w:val="00BA6F07"/>
    <w:rsid w:val="00BA7437"/>
    <w:rsid w:val="00BB2377"/>
    <w:rsid w:val="00BB3798"/>
    <w:rsid w:val="00BB4C43"/>
    <w:rsid w:val="00BC44C2"/>
    <w:rsid w:val="00BC6BEF"/>
    <w:rsid w:val="00BD3D34"/>
    <w:rsid w:val="00BD6EBE"/>
    <w:rsid w:val="00BF0D84"/>
    <w:rsid w:val="00BF6C60"/>
    <w:rsid w:val="00BF7F17"/>
    <w:rsid w:val="00C068D5"/>
    <w:rsid w:val="00C20325"/>
    <w:rsid w:val="00C318CE"/>
    <w:rsid w:val="00C52346"/>
    <w:rsid w:val="00C76979"/>
    <w:rsid w:val="00C8184D"/>
    <w:rsid w:val="00C9068E"/>
    <w:rsid w:val="00CD148B"/>
    <w:rsid w:val="00CD25EE"/>
    <w:rsid w:val="00CD2BEC"/>
    <w:rsid w:val="00D001A9"/>
    <w:rsid w:val="00D21777"/>
    <w:rsid w:val="00D2453A"/>
    <w:rsid w:val="00D370A7"/>
    <w:rsid w:val="00D451A4"/>
    <w:rsid w:val="00D515E7"/>
    <w:rsid w:val="00D73A38"/>
    <w:rsid w:val="00DA3B19"/>
    <w:rsid w:val="00DC70AB"/>
    <w:rsid w:val="00DE39D7"/>
    <w:rsid w:val="00DE7DBD"/>
    <w:rsid w:val="00DF4BCE"/>
    <w:rsid w:val="00E04C89"/>
    <w:rsid w:val="00E11C0D"/>
    <w:rsid w:val="00E25016"/>
    <w:rsid w:val="00E32A0C"/>
    <w:rsid w:val="00E34BA1"/>
    <w:rsid w:val="00E54B29"/>
    <w:rsid w:val="00EA6330"/>
    <w:rsid w:val="00EB0EE6"/>
    <w:rsid w:val="00EC669A"/>
    <w:rsid w:val="00ED21B1"/>
    <w:rsid w:val="00ED4254"/>
    <w:rsid w:val="00EE2784"/>
    <w:rsid w:val="00EE4AF0"/>
    <w:rsid w:val="00EF3C92"/>
    <w:rsid w:val="00F16269"/>
    <w:rsid w:val="00F234B2"/>
    <w:rsid w:val="00F26A0F"/>
    <w:rsid w:val="00F418F4"/>
    <w:rsid w:val="00F41E5F"/>
    <w:rsid w:val="00F42BAC"/>
    <w:rsid w:val="00F5086B"/>
    <w:rsid w:val="00F87C1F"/>
    <w:rsid w:val="00FB13AA"/>
    <w:rsid w:val="00FD4A2C"/>
    <w:rsid w:val="00FE3C66"/>
    <w:rsid w:val="00FE4CAC"/>
    <w:rsid w:val="00FF2D6D"/>
    <w:rsid w:val="2CDD61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uiPriority w:val="99"/>
    <w:pPr>
      <w:jc w:val="left"/>
    </w:pPr>
  </w:style>
  <w:style w:type="paragraph" w:styleId="3">
    <w:name w:val="endnote text"/>
    <w:basedOn w:val="1"/>
    <w:link w:val="15"/>
    <w:semiHidden/>
    <w:unhideWhenUsed/>
    <w:uiPriority w:val="99"/>
    <w:pPr>
      <w:snapToGrid w:val="0"/>
      <w:jc w:val="left"/>
    </w:p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1"/>
    <w:semiHidden/>
    <w:uiPriority w:val="99"/>
    <w:pPr>
      <w:snapToGrid w:val="0"/>
      <w:jc w:val="left"/>
    </w:pPr>
    <w:rPr>
      <w:rFonts w:ascii="Times New Roman" w:hAnsi="Times New Roman" w:eastAsia="PMingLiU"/>
      <w:sz w:val="20"/>
      <w:szCs w:val="20"/>
      <w:lang w:eastAsia="zh-TW"/>
    </w:rPr>
  </w:style>
  <w:style w:type="paragraph" w:styleId="8">
    <w:name w:val="annotation subject"/>
    <w:basedOn w:val="2"/>
    <w:next w:val="2"/>
    <w:link w:val="23"/>
    <w:semiHidden/>
    <w:unhideWhenUsed/>
    <w:uiPriority w:val="99"/>
    <w:rPr>
      <w:b/>
      <w:bCs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ndnote reference"/>
    <w:semiHidden/>
    <w:unhideWhenUsed/>
    <w:uiPriority w:val="99"/>
    <w:rPr>
      <w:vertAlign w:val="superscript"/>
    </w:rPr>
  </w:style>
  <w:style w:type="character" w:styleId="13">
    <w:name w:val="annotation reference"/>
    <w:basedOn w:val="11"/>
    <w:unhideWhenUsed/>
    <w:uiPriority w:val="0"/>
    <w:rPr>
      <w:sz w:val="21"/>
      <w:szCs w:val="21"/>
    </w:rPr>
  </w:style>
  <w:style w:type="character" w:styleId="14">
    <w:name w:val="footnote reference"/>
    <w:semiHidden/>
    <w:unhideWhenUsed/>
    <w:uiPriority w:val="99"/>
    <w:rPr>
      <w:vertAlign w:val="superscript"/>
    </w:rPr>
  </w:style>
  <w:style w:type="character" w:customStyle="1" w:styleId="15">
    <w:name w:val="尾注文本 Char"/>
    <w:basedOn w:val="11"/>
    <w:link w:val="3"/>
    <w:semiHidden/>
    <w:uiPriority w:val="99"/>
  </w:style>
  <w:style w:type="character" w:customStyle="1" w:styleId="16">
    <w:name w:val="页眉 Char"/>
    <w:link w:val="6"/>
    <w:uiPriority w:val="99"/>
    <w:rPr>
      <w:sz w:val="18"/>
      <w:szCs w:val="18"/>
    </w:rPr>
  </w:style>
  <w:style w:type="character" w:customStyle="1" w:styleId="17">
    <w:name w:val="页脚 Char"/>
    <w:link w:val="5"/>
    <w:uiPriority w:val="99"/>
    <w:rPr>
      <w:sz w:val="18"/>
      <w:szCs w:val="18"/>
    </w:rPr>
  </w:style>
  <w:style w:type="character" w:customStyle="1" w:styleId="18">
    <w:name w:val="批注框文本 Char"/>
    <w:link w:val="4"/>
    <w:semiHidden/>
    <w:uiPriority w:val="99"/>
    <w:rPr>
      <w:kern w:val="2"/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脚注文本 Char"/>
    <w:link w:val="7"/>
    <w:semiHidden/>
    <w:uiPriority w:val="99"/>
    <w:rPr>
      <w:rFonts w:ascii="Times New Roman" w:hAnsi="Times New Roman" w:eastAsia="PMingLiU"/>
      <w:kern w:val="2"/>
      <w:lang w:eastAsia="zh-TW"/>
    </w:rPr>
  </w:style>
  <w:style w:type="character" w:customStyle="1" w:styleId="22">
    <w:name w:val="批注文字 Char"/>
    <w:basedOn w:val="11"/>
    <w:link w:val="2"/>
    <w:semiHidden/>
    <w:uiPriority w:val="99"/>
    <w:rPr>
      <w:kern w:val="2"/>
      <w:sz w:val="21"/>
      <w:szCs w:val="22"/>
    </w:rPr>
  </w:style>
  <w:style w:type="character" w:customStyle="1" w:styleId="23">
    <w:name w:val="批注主题 Char"/>
    <w:basedOn w:val="22"/>
    <w:link w:val="8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75828B-A5B1-460E-BED1-8360E39AC8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新日鐵住金株式会社</Company>
  <Pages>2</Pages>
  <Words>139</Words>
  <Characters>794</Characters>
  <Lines>6</Lines>
  <Paragraphs>1</Paragraphs>
  <TotalTime>6</TotalTime>
  <ScaleCrop>false</ScaleCrop>
  <LinksUpToDate>false</LinksUpToDate>
  <CharactersWithSpaces>932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2021-08-02T06:18:00Z</dcterms:created>
  <dc:creator>dell</dc:creator>
  <cp:lastModifiedBy>Lenovo</cp:lastModifiedBy>
  <cp:lastPrinted>2017-01-18T07:04:00Z</cp:lastPrinted>
  <dcterms:modified xsi:type="dcterms:W3CDTF">2021-08-02T08:34:06Z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