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1A720" w14:textId="77777777" w:rsidR="00CB00DF" w:rsidRPr="00FB52B1" w:rsidRDefault="00CB00DF" w:rsidP="002C0EA0">
      <w:pPr>
        <w:spacing w:line="440" w:lineRule="exact"/>
        <w:jc w:val="center"/>
        <w:rPr>
          <w:rFonts w:ascii="Times New Roman" w:eastAsia="FangSong" w:hAnsi="Times New Roman"/>
          <w:b/>
          <w:bCs/>
          <w:sz w:val="30"/>
          <w:szCs w:val="30"/>
        </w:rPr>
      </w:pPr>
      <w:r w:rsidRPr="00FB52B1">
        <w:rPr>
          <w:rFonts w:ascii="Times New Roman" w:eastAsia="FangSong" w:hAnsi="Times New Roman"/>
          <w:b/>
          <w:bCs/>
          <w:sz w:val="30"/>
          <w:szCs w:val="30"/>
        </w:rPr>
        <w:t>经营者集中简易案件公示表</w:t>
      </w:r>
    </w:p>
    <w:p w14:paraId="2731A721" w14:textId="77777777" w:rsidR="00CB00DF" w:rsidRPr="00FB52B1" w:rsidRDefault="00CB00DF" w:rsidP="002C0EA0">
      <w:pPr>
        <w:spacing w:line="440" w:lineRule="exact"/>
        <w:rPr>
          <w:rFonts w:ascii="Times New Roman" w:eastAsia="FangSong"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4397"/>
      </w:tblGrid>
      <w:tr w:rsidR="00CB00DF" w:rsidRPr="00FB52B1" w14:paraId="2731A724" w14:textId="77777777" w:rsidTr="002C0EA0">
        <w:trPr>
          <w:trHeight w:val="528"/>
        </w:trPr>
        <w:tc>
          <w:tcPr>
            <w:tcW w:w="1809" w:type="dxa"/>
            <w:shd w:val="clear" w:color="auto" w:fill="D9D9D9"/>
            <w:vAlign w:val="center"/>
          </w:tcPr>
          <w:p w14:paraId="2731A722" w14:textId="77777777" w:rsidR="00CB00DF" w:rsidRPr="00FB52B1" w:rsidRDefault="00CB00DF" w:rsidP="002C0EA0">
            <w:pPr>
              <w:jc w:val="center"/>
              <w:rPr>
                <w:rFonts w:ascii="Times New Roman" w:eastAsia="FangSong" w:hAnsi="Times New Roman"/>
                <w:sz w:val="24"/>
                <w:szCs w:val="24"/>
              </w:rPr>
            </w:pPr>
            <w:r w:rsidRPr="00FB52B1">
              <w:rPr>
                <w:rFonts w:ascii="Times New Roman" w:eastAsia="FangSong" w:hAnsi="Times New Roman"/>
                <w:sz w:val="24"/>
                <w:szCs w:val="24"/>
              </w:rPr>
              <w:t>案件名称</w:t>
            </w:r>
          </w:p>
        </w:tc>
        <w:tc>
          <w:tcPr>
            <w:tcW w:w="6949" w:type="dxa"/>
            <w:gridSpan w:val="2"/>
            <w:vAlign w:val="center"/>
          </w:tcPr>
          <w:p w14:paraId="2731A723" w14:textId="44BB9A52" w:rsidR="00CB00DF" w:rsidRPr="00FB52B1" w:rsidRDefault="00DC42E8" w:rsidP="004E1E49">
            <w:pPr>
              <w:spacing w:line="500" w:lineRule="exact"/>
              <w:rPr>
                <w:rFonts w:ascii="Times New Roman" w:eastAsia="FangSong" w:hAnsi="Times New Roman"/>
                <w:sz w:val="24"/>
                <w:szCs w:val="24"/>
              </w:rPr>
            </w:pPr>
            <w:r w:rsidRPr="00DC42E8">
              <w:rPr>
                <w:rFonts w:ascii="Times New Roman" w:eastAsia="FangSong" w:hAnsi="Times New Roman" w:hint="eastAsia"/>
                <w:color w:val="333333"/>
                <w:kern w:val="0"/>
                <w:sz w:val="24"/>
                <w:szCs w:val="24"/>
                <w:bdr w:val="none" w:sz="0" w:space="0" w:color="auto" w:frame="1"/>
              </w:rPr>
              <w:t>Black Crystal</w:t>
            </w:r>
            <w:r w:rsidRPr="00DC42E8">
              <w:rPr>
                <w:rFonts w:ascii="Times New Roman" w:eastAsia="FangSong" w:hAnsi="Times New Roman" w:hint="eastAsia"/>
                <w:color w:val="333333"/>
                <w:kern w:val="0"/>
                <w:sz w:val="24"/>
                <w:szCs w:val="24"/>
                <w:bdr w:val="none" w:sz="0" w:space="0" w:color="auto" w:frame="1"/>
              </w:rPr>
              <w:t>有限公司与传纮投资有限公司等经营者收购</w:t>
            </w:r>
            <w:r w:rsidR="009C2CB8">
              <w:rPr>
                <w:rFonts w:ascii="Times New Roman" w:eastAsia="FangSong" w:hAnsi="Times New Roman" w:hint="eastAsia"/>
                <w:color w:val="333333"/>
                <w:kern w:val="0"/>
                <w:sz w:val="24"/>
                <w:szCs w:val="24"/>
                <w:bdr w:val="none" w:sz="0" w:space="0" w:color="auto" w:frame="1"/>
              </w:rPr>
              <w:t>I</w:t>
            </w:r>
            <w:r w:rsidR="009C2CB8">
              <w:rPr>
                <w:rFonts w:ascii="Times New Roman" w:eastAsia="FangSong" w:hAnsi="Times New Roman"/>
                <w:color w:val="333333"/>
                <w:kern w:val="0"/>
                <w:sz w:val="24"/>
                <w:szCs w:val="24"/>
                <w:bdr w:val="none" w:sz="0" w:space="0" w:color="auto" w:frame="1"/>
              </w:rPr>
              <w:t>TH</w:t>
            </w:r>
            <w:r w:rsidRPr="00DC42E8">
              <w:rPr>
                <w:rFonts w:ascii="Times New Roman" w:eastAsia="FangSong" w:hAnsi="Times New Roman" w:hint="eastAsia"/>
                <w:color w:val="333333"/>
                <w:kern w:val="0"/>
                <w:sz w:val="24"/>
                <w:szCs w:val="24"/>
                <w:bdr w:val="none" w:sz="0" w:space="0" w:color="auto" w:frame="1"/>
              </w:rPr>
              <w:t>股份有限公司股权案</w:t>
            </w:r>
            <w:r w:rsidR="0003150F">
              <w:rPr>
                <w:rFonts w:ascii="Times New Roman" w:eastAsia="FangSong" w:hAnsi="Times New Roman" w:hint="eastAsia"/>
                <w:color w:val="333333"/>
                <w:kern w:val="0"/>
                <w:sz w:val="24"/>
                <w:szCs w:val="24"/>
                <w:bdr w:val="none" w:sz="0" w:space="0" w:color="auto" w:frame="1"/>
              </w:rPr>
              <w:t xml:space="preserve"> </w:t>
            </w:r>
          </w:p>
        </w:tc>
      </w:tr>
      <w:tr w:rsidR="00CB00DF" w:rsidRPr="00FB52B1" w14:paraId="2731A728" w14:textId="77777777" w:rsidTr="00CB00DF">
        <w:trPr>
          <w:trHeight w:val="993"/>
        </w:trPr>
        <w:tc>
          <w:tcPr>
            <w:tcW w:w="1809" w:type="dxa"/>
            <w:shd w:val="clear" w:color="auto" w:fill="D9D9D9"/>
            <w:vAlign w:val="center"/>
          </w:tcPr>
          <w:p w14:paraId="2731A725" w14:textId="77777777" w:rsidR="00F1624E" w:rsidRPr="00FB52B1" w:rsidRDefault="00CB00DF" w:rsidP="00CB00DF">
            <w:pPr>
              <w:spacing w:line="500" w:lineRule="exact"/>
              <w:jc w:val="center"/>
              <w:rPr>
                <w:rFonts w:ascii="Times New Roman" w:eastAsia="FangSong" w:hAnsi="Times New Roman"/>
                <w:color w:val="333333"/>
                <w:kern w:val="0"/>
                <w:sz w:val="24"/>
                <w:szCs w:val="24"/>
                <w:bdr w:val="none" w:sz="0" w:space="0" w:color="auto" w:frame="1"/>
              </w:rPr>
            </w:pPr>
            <w:r w:rsidRPr="00FB52B1">
              <w:rPr>
                <w:rFonts w:ascii="Times New Roman" w:eastAsia="FangSong" w:hAnsi="Times New Roman"/>
                <w:color w:val="333333"/>
                <w:kern w:val="0"/>
                <w:sz w:val="24"/>
                <w:szCs w:val="24"/>
                <w:bdr w:val="none" w:sz="0" w:space="0" w:color="auto" w:frame="1"/>
              </w:rPr>
              <w:t>交易概况</w:t>
            </w:r>
          </w:p>
          <w:p w14:paraId="2731A726" w14:textId="77777777" w:rsidR="00CB00DF" w:rsidRPr="00FB52B1" w:rsidRDefault="00CB00DF" w:rsidP="00CB00DF">
            <w:pPr>
              <w:spacing w:line="500" w:lineRule="exact"/>
              <w:jc w:val="center"/>
              <w:rPr>
                <w:rFonts w:ascii="Times New Roman" w:eastAsia="FangSong" w:hAnsi="Times New Roman"/>
                <w:color w:val="333333"/>
                <w:kern w:val="0"/>
                <w:sz w:val="24"/>
                <w:szCs w:val="24"/>
                <w:bdr w:val="none" w:sz="0" w:space="0" w:color="auto" w:frame="1"/>
              </w:rPr>
            </w:pPr>
            <w:r w:rsidRPr="00FB52B1">
              <w:rPr>
                <w:rFonts w:ascii="Times New Roman" w:eastAsia="FangSong" w:hAnsi="Times New Roman"/>
                <w:color w:val="333333"/>
                <w:kern w:val="0"/>
                <w:sz w:val="24"/>
                <w:szCs w:val="24"/>
                <w:bdr w:val="none" w:sz="0" w:space="0" w:color="auto" w:frame="1"/>
              </w:rPr>
              <w:t>（限</w:t>
            </w:r>
            <w:r w:rsidRPr="00FB52B1">
              <w:rPr>
                <w:rFonts w:ascii="Times New Roman" w:eastAsia="FangSong" w:hAnsi="Times New Roman"/>
                <w:color w:val="333333"/>
                <w:kern w:val="0"/>
                <w:sz w:val="24"/>
                <w:szCs w:val="24"/>
                <w:bdr w:val="none" w:sz="0" w:space="0" w:color="auto" w:frame="1"/>
              </w:rPr>
              <w:t>200</w:t>
            </w:r>
            <w:r w:rsidRPr="00FB52B1">
              <w:rPr>
                <w:rFonts w:ascii="Times New Roman" w:eastAsia="FangSong" w:hAnsi="Times New Roman"/>
                <w:color w:val="333333"/>
                <w:kern w:val="0"/>
                <w:sz w:val="24"/>
                <w:szCs w:val="24"/>
                <w:bdr w:val="none" w:sz="0" w:space="0" w:color="auto" w:frame="1"/>
              </w:rPr>
              <w:t>字内）</w:t>
            </w:r>
          </w:p>
        </w:tc>
        <w:tc>
          <w:tcPr>
            <w:tcW w:w="6949" w:type="dxa"/>
            <w:gridSpan w:val="2"/>
          </w:tcPr>
          <w:p w14:paraId="1C950891" w14:textId="50259020" w:rsidR="00711D99" w:rsidRDefault="00711D99" w:rsidP="00711D99">
            <w:pPr>
              <w:spacing w:line="500" w:lineRule="exact"/>
              <w:rPr>
                <w:rFonts w:ascii="Times New Roman" w:eastAsia="FangSong" w:hAnsi="Times New Roman"/>
                <w:color w:val="333333"/>
                <w:kern w:val="0"/>
                <w:sz w:val="24"/>
                <w:szCs w:val="24"/>
                <w:bdr w:val="none" w:sz="0" w:space="0" w:color="auto" w:frame="1"/>
              </w:rPr>
            </w:pPr>
            <w:r w:rsidRPr="00711D99">
              <w:rPr>
                <w:rFonts w:ascii="Times New Roman" w:eastAsia="FangSong" w:hAnsi="Times New Roman" w:hint="eastAsia"/>
                <w:color w:val="333333"/>
                <w:kern w:val="0"/>
                <w:sz w:val="24"/>
                <w:szCs w:val="24"/>
                <w:bdr w:val="none" w:sz="0" w:space="0" w:color="auto" w:frame="1"/>
              </w:rPr>
              <w:t>本次交易是对</w:t>
            </w:r>
            <w:r w:rsidR="009C2CB8">
              <w:rPr>
                <w:rFonts w:ascii="Times New Roman" w:eastAsia="FangSong" w:hAnsi="Times New Roman" w:hint="eastAsia"/>
                <w:color w:val="333333"/>
                <w:kern w:val="0"/>
                <w:sz w:val="24"/>
                <w:szCs w:val="24"/>
                <w:bdr w:val="none" w:sz="0" w:space="0" w:color="auto" w:frame="1"/>
              </w:rPr>
              <w:t>I</w:t>
            </w:r>
            <w:r w:rsidR="009C2CB8">
              <w:rPr>
                <w:rFonts w:ascii="Times New Roman" w:eastAsia="FangSong" w:hAnsi="Times New Roman"/>
                <w:color w:val="333333"/>
                <w:kern w:val="0"/>
                <w:sz w:val="24"/>
                <w:szCs w:val="24"/>
                <w:bdr w:val="none" w:sz="0" w:space="0" w:color="auto" w:frame="1"/>
              </w:rPr>
              <w:t>TH</w:t>
            </w:r>
            <w:r w:rsidRPr="00711D99">
              <w:rPr>
                <w:rFonts w:ascii="Times New Roman" w:eastAsia="FangSong" w:hAnsi="Times New Roman" w:hint="eastAsia"/>
                <w:color w:val="333333"/>
                <w:kern w:val="0"/>
                <w:sz w:val="24"/>
                <w:szCs w:val="24"/>
                <w:bdr w:val="none" w:sz="0" w:space="0" w:color="auto" w:frame="1"/>
              </w:rPr>
              <w:t>股份有限公司（以下简称“</w:t>
            </w:r>
            <w:r w:rsidR="009C2CB8">
              <w:rPr>
                <w:rFonts w:ascii="Times New Roman" w:eastAsia="FangSong" w:hAnsi="Times New Roman" w:hint="eastAsia"/>
                <w:color w:val="333333"/>
                <w:kern w:val="0"/>
                <w:sz w:val="24"/>
                <w:szCs w:val="24"/>
                <w:bdr w:val="none" w:sz="0" w:space="0" w:color="auto" w:frame="1"/>
              </w:rPr>
              <w:t>I</w:t>
            </w:r>
            <w:r w:rsidR="009C2CB8">
              <w:rPr>
                <w:rFonts w:ascii="Times New Roman" w:eastAsia="FangSong" w:hAnsi="Times New Roman"/>
                <w:color w:val="333333"/>
                <w:kern w:val="0"/>
                <w:sz w:val="24"/>
                <w:szCs w:val="24"/>
                <w:bdr w:val="none" w:sz="0" w:space="0" w:color="auto" w:frame="1"/>
              </w:rPr>
              <w:t>TH</w:t>
            </w:r>
            <w:r w:rsidRPr="00711D99">
              <w:rPr>
                <w:rFonts w:ascii="Times New Roman" w:eastAsia="FangSong" w:hAnsi="Times New Roman" w:hint="eastAsia"/>
                <w:color w:val="333333"/>
                <w:kern w:val="0"/>
                <w:sz w:val="24"/>
                <w:szCs w:val="24"/>
                <w:bdr w:val="none" w:sz="0" w:space="0" w:color="auto" w:frame="1"/>
              </w:rPr>
              <w:t>”或“目标公司”）的增资交易。本次交易前，目标公司由东博资本基金第二期有限合伙（以下简称“东博资本”）</w:t>
            </w:r>
            <w:r w:rsidRPr="00711D99">
              <w:rPr>
                <w:rFonts w:ascii="Times New Roman" w:eastAsia="FangSong" w:hAnsi="Times New Roman" w:hint="eastAsia"/>
                <w:color w:val="333333"/>
                <w:kern w:val="0"/>
                <w:sz w:val="24"/>
                <w:szCs w:val="24"/>
                <w:bdr w:val="none" w:sz="0" w:space="0" w:color="auto" w:frame="1"/>
              </w:rPr>
              <w:t xml:space="preserve"> </w:t>
            </w:r>
            <w:r w:rsidRPr="00711D99">
              <w:rPr>
                <w:rFonts w:ascii="Times New Roman" w:eastAsia="FangSong" w:hAnsi="Times New Roman" w:hint="eastAsia"/>
                <w:color w:val="333333"/>
                <w:kern w:val="0"/>
                <w:sz w:val="24"/>
                <w:szCs w:val="24"/>
                <w:bdr w:val="none" w:sz="0" w:space="0" w:color="auto" w:frame="1"/>
              </w:rPr>
              <w:t>间接全资持有。</w:t>
            </w:r>
          </w:p>
          <w:p w14:paraId="2731A727" w14:textId="1D97A899" w:rsidR="00711D99" w:rsidRPr="00646522" w:rsidRDefault="00711D99" w:rsidP="00711D99">
            <w:pPr>
              <w:spacing w:line="500" w:lineRule="exact"/>
              <w:rPr>
                <w:rFonts w:ascii="Times New Roman" w:eastAsia="FangSong" w:hAnsi="Times New Roman"/>
                <w:sz w:val="24"/>
                <w:szCs w:val="24"/>
              </w:rPr>
            </w:pPr>
            <w:r w:rsidRPr="00711D99">
              <w:rPr>
                <w:rFonts w:ascii="Times New Roman" w:eastAsia="FangSong" w:hAnsi="Times New Roman" w:hint="eastAsia"/>
                <w:color w:val="333333"/>
                <w:kern w:val="0"/>
                <w:sz w:val="24"/>
                <w:szCs w:val="24"/>
                <w:bdr w:val="none" w:sz="0" w:space="0" w:color="auto" w:frame="1"/>
              </w:rPr>
              <w:t>本次交易后，东博资本通过直接或间接全资持有的子公司继续持有目标公司的控制权，</w:t>
            </w:r>
            <w:r w:rsidRPr="00DC42E8">
              <w:rPr>
                <w:rFonts w:ascii="Times New Roman" w:eastAsia="FangSong" w:hAnsi="Times New Roman" w:hint="eastAsia"/>
                <w:color w:val="333333"/>
                <w:kern w:val="0"/>
                <w:sz w:val="24"/>
                <w:szCs w:val="24"/>
                <w:bdr w:val="none" w:sz="0" w:space="0" w:color="auto" w:frame="1"/>
              </w:rPr>
              <w:t>Black Crystal</w:t>
            </w:r>
            <w:r w:rsidRPr="00DC42E8">
              <w:rPr>
                <w:rFonts w:ascii="Times New Roman" w:eastAsia="FangSong" w:hAnsi="Times New Roman" w:hint="eastAsia"/>
                <w:color w:val="333333"/>
                <w:kern w:val="0"/>
                <w:sz w:val="24"/>
                <w:szCs w:val="24"/>
                <w:bdr w:val="none" w:sz="0" w:space="0" w:color="auto" w:frame="1"/>
              </w:rPr>
              <w:t>有限公司</w:t>
            </w:r>
            <w:r w:rsidRPr="004E1E49">
              <w:rPr>
                <w:rFonts w:ascii="Times New Roman" w:eastAsia="FangSong" w:hAnsi="Times New Roman" w:hint="eastAsia"/>
                <w:color w:val="333333"/>
                <w:kern w:val="0"/>
                <w:sz w:val="24"/>
                <w:szCs w:val="24"/>
                <w:bdr w:val="none" w:sz="0" w:space="0" w:color="auto" w:frame="1"/>
              </w:rPr>
              <w:t>（以下简称“</w:t>
            </w:r>
            <w:r w:rsidRPr="00DC42E8">
              <w:rPr>
                <w:rFonts w:ascii="Times New Roman" w:eastAsia="FangSong" w:hAnsi="Times New Roman"/>
                <w:color w:val="333333"/>
                <w:kern w:val="0"/>
                <w:sz w:val="24"/>
                <w:szCs w:val="24"/>
                <w:bdr w:val="none" w:sz="0" w:space="0" w:color="auto" w:frame="1"/>
              </w:rPr>
              <w:t>Black Crystal</w:t>
            </w:r>
            <w:r w:rsidRPr="004E1E49">
              <w:rPr>
                <w:rFonts w:ascii="Times New Roman" w:eastAsia="FangSong" w:hAnsi="Times New Roman" w:hint="eastAsia"/>
                <w:color w:val="333333"/>
                <w:kern w:val="0"/>
                <w:sz w:val="24"/>
                <w:szCs w:val="24"/>
                <w:bdr w:val="none" w:sz="0" w:space="0" w:color="auto" w:frame="1"/>
              </w:rPr>
              <w:t>”）</w:t>
            </w:r>
            <w:r w:rsidRPr="00711D99">
              <w:rPr>
                <w:rFonts w:ascii="Times New Roman" w:eastAsia="FangSong" w:hAnsi="Times New Roman" w:hint="eastAsia"/>
                <w:color w:val="333333"/>
                <w:kern w:val="0"/>
                <w:sz w:val="24"/>
                <w:szCs w:val="24"/>
                <w:bdr w:val="none" w:sz="0" w:space="0" w:color="auto" w:frame="1"/>
              </w:rPr>
              <w:t>、</w:t>
            </w:r>
            <w:r w:rsidRPr="00DC42E8">
              <w:rPr>
                <w:rFonts w:ascii="Times New Roman" w:eastAsia="FangSong" w:hAnsi="Times New Roman" w:hint="eastAsia"/>
                <w:color w:val="333333"/>
                <w:kern w:val="0"/>
                <w:sz w:val="24"/>
                <w:szCs w:val="24"/>
                <w:bdr w:val="none" w:sz="0" w:space="0" w:color="auto" w:frame="1"/>
              </w:rPr>
              <w:t>传纮投资有限公司</w:t>
            </w:r>
            <w:r w:rsidRPr="004E1E49">
              <w:rPr>
                <w:rFonts w:ascii="Times New Roman" w:eastAsia="FangSong" w:hAnsi="Times New Roman" w:hint="eastAsia"/>
                <w:color w:val="333333"/>
                <w:kern w:val="0"/>
                <w:sz w:val="24"/>
                <w:szCs w:val="24"/>
                <w:bdr w:val="none" w:sz="0" w:space="0" w:color="auto" w:frame="1"/>
              </w:rPr>
              <w:t>（以下简称“</w:t>
            </w:r>
            <w:r w:rsidRPr="00DC42E8">
              <w:rPr>
                <w:rFonts w:ascii="Times New Roman" w:eastAsia="FangSong" w:hAnsi="Times New Roman" w:hint="eastAsia"/>
                <w:color w:val="333333"/>
                <w:kern w:val="0"/>
                <w:sz w:val="24"/>
                <w:szCs w:val="24"/>
                <w:bdr w:val="none" w:sz="0" w:space="0" w:color="auto" w:frame="1"/>
              </w:rPr>
              <w:t>传纮投资</w:t>
            </w:r>
            <w:r w:rsidRPr="004E1E49">
              <w:rPr>
                <w:rFonts w:ascii="Times New Roman" w:eastAsia="FangSong" w:hAnsi="Times New Roman" w:hint="eastAsia"/>
                <w:color w:val="333333"/>
                <w:kern w:val="0"/>
                <w:sz w:val="24"/>
                <w:szCs w:val="24"/>
                <w:bdr w:val="none" w:sz="0" w:space="0" w:color="auto" w:frame="1"/>
              </w:rPr>
              <w:t>”）</w:t>
            </w:r>
            <w:r w:rsidRPr="00711D99">
              <w:rPr>
                <w:rFonts w:ascii="Times New Roman" w:eastAsia="FangSong" w:hAnsi="Times New Roman" w:hint="eastAsia"/>
                <w:color w:val="333333"/>
                <w:kern w:val="0"/>
                <w:sz w:val="24"/>
                <w:szCs w:val="24"/>
                <w:bdr w:val="none" w:sz="0" w:space="0" w:color="auto" w:frame="1"/>
              </w:rPr>
              <w:t>和</w:t>
            </w:r>
            <w:r w:rsidRPr="00711D99">
              <w:rPr>
                <w:rFonts w:ascii="Times New Roman" w:eastAsia="FangSong" w:hAnsi="Times New Roman" w:hint="eastAsia"/>
                <w:color w:val="333333"/>
                <w:kern w:val="0"/>
                <w:sz w:val="24"/>
                <w:szCs w:val="24"/>
                <w:bdr w:val="none" w:sz="0" w:space="0" w:color="auto" w:frame="1"/>
              </w:rPr>
              <w:t xml:space="preserve"> Champion Crest</w:t>
            </w:r>
            <w:r w:rsidRPr="00711D99">
              <w:rPr>
                <w:rFonts w:ascii="Times New Roman" w:eastAsia="FangSong" w:hAnsi="Times New Roman" w:hint="eastAsia"/>
                <w:color w:val="333333"/>
                <w:kern w:val="0"/>
                <w:sz w:val="24"/>
                <w:szCs w:val="24"/>
                <w:bdr w:val="none" w:sz="0" w:space="0" w:color="auto" w:frame="1"/>
              </w:rPr>
              <w:t>有限公司（以下简称“</w:t>
            </w:r>
            <w:r w:rsidRPr="00711D99">
              <w:rPr>
                <w:rFonts w:ascii="Times New Roman" w:eastAsia="FangSong" w:hAnsi="Times New Roman" w:hint="eastAsia"/>
                <w:color w:val="333333"/>
                <w:kern w:val="0"/>
                <w:sz w:val="24"/>
                <w:szCs w:val="24"/>
                <w:bdr w:val="none" w:sz="0" w:space="0" w:color="auto" w:frame="1"/>
              </w:rPr>
              <w:tab/>
              <w:t>Champion Crest</w:t>
            </w:r>
            <w:r w:rsidRPr="00711D99">
              <w:rPr>
                <w:rFonts w:ascii="Times New Roman" w:eastAsia="FangSong" w:hAnsi="Times New Roman" w:hint="eastAsia"/>
                <w:color w:val="333333"/>
                <w:kern w:val="0"/>
                <w:sz w:val="24"/>
                <w:szCs w:val="24"/>
                <w:bdr w:val="none" w:sz="0" w:space="0" w:color="auto" w:frame="1"/>
              </w:rPr>
              <w:t>”）对目标公司具有共同控制权。</w:t>
            </w:r>
          </w:p>
        </w:tc>
      </w:tr>
      <w:tr w:rsidR="00AF1C46" w:rsidRPr="00FB52B1" w14:paraId="2EE3EF78" w14:textId="77777777" w:rsidTr="00A9380C">
        <w:trPr>
          <w:trHeight w:val="1243"/>
        </w:trPr>
        <w:tc>
          <w:tcPr>
            <w:tcW w:w="1809" w:type="dxa"/>
            <w:vMerge w:val="restart"/>
            <w:shd w:val="clear" w:color="auto" w:fill="D9D9D9"/>
            <w:vAlign w:val="center"/>
          </w:tcPr>
          <w:p w14:paraId="3D366BE2" w14:textId="77777777" w:rsidR="00AF1C46" w:rsidRPr="00FB52B1" w:rsidRDefault="00AF1C46" w:rsidP="00CB00DF">
            <w:pPr>
              <w:spacing w:line="500" w:lineRule="exact"/>
              <w:jc w:val="center"/>
              <w:rPr>
                <w:rFonts w:ascii="Times New Roman" w:eastAsia="FangSong" w:hAnsi="Times New Roman"/>
                <w:color w:val="333333"/>
                <w:kern w:val="0"/>
                <w:sz w:val="24"/>
                <w:szCs w:val="24"/>
                <w:bdr w:val="none" w:sz="0" w:space="0" w:color="auto" w:frame="1"/>
              </w:rPr>
            </w:pPr>
            <w:r w:rsidRPr="00FB52B1">
              <w:rPr>
                <w:rFonts w:ascii="Times New Roman" w:eastAsia="FangSong" w:hAnsi="Times New Roman"/>
                <w:color w:val="333333"/>
                <w:kern w:val="0"/>
                <w:sz w:val="24"/>
                <w:szCs w:val="24"/>
                <w:bdr w:val="none" w:sz="0" w:space="0" w:color="auto" w:frame="1"/>
              </w:rPr>
              <w:t>参与集中的</w:t>
            </w:r>
          </w:p>
          <w:p w14:paraId="5A287EEE" w14:textId="6BD58508" w:rsidR="00AF1C46" w:rsidRPr="00FB52B1" w:rsidRDefault="00AF1C46" w:rsidP="00CB00DF">
            <w:pPr>
              <w:spacing w:line="500" w:lineRule="exact"/>
              <w:jc w:val="center"/>
              <w:rPr>
                <w:rFonts w:ascii="Times New Roman" w:eastAsia="FangSong" w:hAnsi="Times New Roman"/>
                <w:color w:val="333333"/>
                <w:kern w:val="0"/>
                <w:sz w:val="24"/>
                <w:szCs w:val="24"/>
                <w:bdr w:val="none" w:sz="0" w:space="0" w:color="auto" w:frame="1"/>
              </w:rPr>
            </w:pPr>
            <w:r w:rsidRPr="00FB52B1">
              <w:rPr>
                <w:rFonts w:ascii="Times New Roman" w:eastAsia="FangSong" w:hAnsi="Times New Roman"/>
                <w:color w:val="333333"/>
                <w:kern w:val="0"/>
                <w:sz w:val="24"/>
                <w:szCs w:val="24"/>
                <w:bdr w:val="none" w:sz="0" w:space="0" w:color="auto" w:frame="1"/>
              </w:rPr>
              <w:t>经营者简介</w:t>
            </w:r>
          </w:p>
        </w:tc>
        <w:tc>
          <w:tcPr>
            <w:tcW w:w="2552" w:type="dxa"/>
            <w:vAlign w:val="center"/>
          </w:tcPr>
          <w:p w14:paraId="5E9A5E14" w14:textId="1C41C6E1" w:rsidR="00AF1C46" w:rsidRPr="00DC42E8" w:rsidRDefault="0037723B" w:rsidP="00DC42E8">
            <w:pPr>
              <w:pStyle w:val="aa"/>
              <w:numPr>
                <w:ilvl w:val="0"/>
                <w:numId w:val="2"/>
              </w:numPr>
              <w:spacing w:line="500" w:lineRule="exact"/>
              <w:ind w:firstLineChars="0"/>
              <w:rPr>
                <w:rFonts w:ascii="Times New Roman" w:eastAsia="FangSong" w:hAnsi="Times New Roman"/>
                <w:color w:val="333333"/>
                <w:kern w:val="0"/>
                <w:sz w:val="24"/>
                <w:szCs w:val="24"/>
                <w:bdr w:val="none" w:sz="0" w:space="0" w:color="auto" w:frame="1"/>
              </w:rPr>
            </w:pPr>
            <w:r w:rsidRPr="00DC42E8">
              <w:rPr>
                <w:rFonts w:ascii="Times New Roman" w:eastAsia="FangSong" w:hAnsi="Times New Roman" w:hint="eastAsia"/>
                <w:color w:val="333333"/>
                <w:kern w:val="0"/>
                <w:sz w:val="24"/>
                <w:szCs w:val="24"/>
                <w:bdr w:val="none" w:sz="0" w:space="0" w:color="auto" w:frame="1"/>
              </w:rPr>
              <w:t>东博资本</w:t>
            </w:r>
          </w:p>
        </w:tc>
        <w:tc>
          <w:tcPr>
            <w:tcW w:w="4397" w:type="dxa"/>
            <w:vAlign w:val="center"/>
          </w:tcPr>
          <w:p w14:paraId="63181B80" w14:textId="1D3A5A36" w:rsidR="00AF1C46" w:rsidRPr="00DC42E8" w:rsidRDefault="00AF1C46" w:rsidP="00FC0687">
            <w:pPr>
              <w:spacing w:line="500" w:lineRule="exact"/>
              <w:rPr>
                <w:rFonts w:ascii="Times New Roman" w:eastAsia="FangSong" w:hAnsi="Times New Roman"/>
                <w:color w:val="333333"/>
                <w:kern w:val="0"/>
                <w:sz w:val="24"/>
                <w:szCs w:val="24"/>
                <w:bdr w:val="none" w:sz="0" w:space="0" w:color="auto" w:frame="1"/>
              </w:rPr>
            </w:pPr>
            <w:r w:rsidRPr="00DC42E8">
              <w:rPr>
                <w:rFonts w:ascii="Times New Roman" w:eastAsia="FangSong" w:hAnsi="Times New Roman" w:hint="eastAsia"/>
                <w:color w:val="333333"/>
                <w:kern w:val="0"/>
                <w:sz w:val="24"/>
                <w:szCs w:val="24"/>
                <w:bdr w:val="none" w:sz="0" w:space="0" w:color="auto" w:frame="1"/>
              </w:rPr>
              <w:t>东博资本</w:t>
            </w:r>
            <w:r w:rsidR="00EC04B9" w:rsidRPr="00EC04B9">
              <w:rPr>
                <w:rFonts w:ascii="Times New Roman" w:eastAsia="FangSong" w:hAnsi="Times New Roman" w:hint="eastAsia"/>
                <w:color w:val="333333"/>
                <w:kern w:val="0"/>
                <w:sz w:val="24"/>
                <w:szCs w:val="24"/>
                <w:bdr w:val="none" w:sz="0" w:space="0" w:color="auto" w:frame="1"/>
              </w:rPr>
              <w:t>是一家主要从事股权投资业务的美元基金</w:t>
            </w:r>
            <w:r w:rsidR="00EC04B9">
              <w:rPr>
                <w:rFonts w:ascii="Times New Roman" w:eastAsia="FangSong" w:hAnsi="Times New Roman" w:hint="eastAsia"/>
                <w:color w:val="333333"/>
                <w:kern w:val="0"/>
                <w:sz w:val="24"/>
                <w:szCs w:val="24"/>
                <w:bdr w:val="none" w:sz="0" w:space="0" w:color="auto" w:frame="1"/>
              </w:rPr>
              <w:t>。</w:t>
            </w:r>
          </w:p>
        </w:tc>
      </w:tr>
      <w:tr w:rsidR="00AF1C46" w:rsidRPr="00FB52B1" w14:paraId="2731A72D" w14:textId="77777777" w:rsidTr="00A9380C">
        <w:trPr>
          <w:trHeight w:val="1259"/>
        </w:trPr>
        <w:tc>
          <w:tcPr>
            <w:tcW w:w="1809" w:type="dxa"/>
            <w:vMerge/>
            <w:shd w:val="clear" w:color="auto" w:fill="D9D9D9"/>
            <w:vAlign w:val="center"/>
          </w:tcPr>
          <w:p w14:paraId="2731A72A" w14:textId="263AEA2C" w:rsidR="00AF1C46" w:rsidRPr="00FB52B1" w:rsidRDefault="00AF1C46" w:rsidP="00CB00DF">
            <w:pPr>
              <w:spacing w:line="500" w:lineRule="exact"/>
              <w:jc w:val="center"/>
              <w:rPr>
                <w:rFonts w:ascii="Times New Roman" w:eastAsia="FangSong" w:hAnsi="Times New Roman"/>
                <w:color w:val="333333"/>
                <w:kern w:val="0"/>
                <w:sz w:val="24"/>
                <w:szCs w:val="24"/>
                <w:bdr w:val="none" w:sz="0" w:space="0" w:color="auto" w:frame="1"/>
              </w:rPr>
            </w:pPr>
          </w:p>
        </w:tc>
        <w:tc>
          <w:tcPr>
            <w:tcW w:w="2552" w:type="dxa"/>
            <w:vAlign w:val="center"/>
          </w:tcPr>
          <w:p w14:paraId="2731A72B" w14:textId="7D62CEA8" w:rsidR="00AF1C46" w:rsidRPr="00FB52B1" w:rsidRDefault="00AF1C46" w:rsidP="0037723B">
            <w:pPr>
              <w:pStyle w:val="aa"/>
              <w:numPr>
                <w:ilvl w:val="0"/>
                <w:numId w:val="2"/>
              </w:numPr>
              <w:spacing w:line="500" w:lineRule="exact"/>
              <w:ind w:firstLineChars="0"/>
              <w:rPr>
                <w:rFonts w:ascii="Times New Roman" w:eastAsia="FangSong" w:hAnsi="Times New Roman"/>
                <w:color w:val="333333"/>
                <w:kern w:val="0"/>
                <w:sz w:val="24"/>
                <w:szCs w:val="24"/>
                <w:bdr w:val="none" w:sz="0" w:space="0" w:color="auto" w:frame="1"/>
              </w:rPr>
            </w:pPr>
            <w:r w:rsidRPr="00DC42E8">
              <w:rPr>
                <w:rFonts w:ascii="Times New Roman" w:eastAsia="FangSong" w:hAnsi="Times New Roman"/>
                <w:color w:val="333333"/>
                <w:kern w:val="0"/>
                <w:sz w:val="24"/>
                <w:szCs w:val="24"/>
                <w:bdr w:val="none" w:sz="0" w:space="0" w:color="auto" w:frame="1"/>
              </w:rPr>
              <w:t>Black Crystal</w:t>
            </w:r>
          </w:p>
        </w:tc>
        <w:tc>
          <w:tcPr>
            <w:tcW w:w="4397" w:type="dxa"/>
            <w:vAlign w:val="center"/>
          </w:tcPr>
          <w:p w14:paraId="2731A72C" w14:textId="44C093E1" w:rsidR="00AF1C46" w:rsidRPr="00FB52B1" w:rsidRDefault="00AF1C46" w:rsidP="00FC0687">
            <w:pPr>
              <w:spacing w:line="500" w:lineRule="exact"/>
              <w:rPr>
                <w:rFonts w:ascii="Times New Roman" w:eastAsia="FangSong" w:hAnsi="Times New Roman"/>
                <w:color w:val="333333"/>
                <w:kern w:val="0"/>
                <w:sz w:val="24"/>
                <w:szCs w:val="24"/>
                <w:bdr w:val="none" w:sz="0" w:space="0" w:color="auto" w:frame="1"/>
              </w:rPr>
            </w:pPr>
            <w:r w:rsidRPr="00DC42E8">
              <w:rPr>
                <w:rFonts w:ascii="Times New Roman" w:eastAsia="FangSong" w:hAnsi="Times New Roman"/>
                <w:color w:val="333333"/>
                <w:kern w:val="0"/>
                <w:sz w:val="24"/>
                <w:szCs w:val="24"/>
                <w:bdr w:val="none" w:sz="0" w:space="0" w:color="auto" w:frame="1"/>
              </w:rPr>
              <w:t>Black Crystal</w:t>
            </w:r>
            <w:r w:rsidRPr="00646522">
              <w:rPr>
                <w:rFonts w:ascii="Times New Roman" w:eastAsia="FangSong" w:hAnsi="Times New Roman" w:hint="eastAsia"/>
                <w:color w:val="333333"/>
                <w:kern w:val="0"/>
                <w:sz w:val="24"/>
                <w:szCs w:val="24"/>
                <w:bdr w:val="none" w:sz="0" w:space="0" w:color="auto" w:frame="1"/>
              </w:rPr>
              <w:t>及其关联企业主要在</w:t>
            </w:r>
            <w:r w:rsidRPr="00DC42E8">
              <w:rPr>
                <w:rFonts w:ascii="Times New Roman" w:eastAsia="FangSong" w:hAnsi="Times New Roman" w:hint="eastAsia"/>
                <w:color w:val="333333"/>
                <w:kern w:val="0"/>
                <w:sz w:val="24"/>
                <w:szCs w:val="24"/>
                <w:bdr w:val="none" w:sz="0" w:space="0" w:color="auto" w:frame="1"/>
              </w:rPr>
              <w:t>全球范围从事</w:t>
            </w:r>
            <w:r>
              <w:rPr>
                <w:rFonts w:ascii="Times New Roman" w:eastAsia="FangSong" w:hAnsi="Times New Roman" w:hint="eastAsia"/>
                <w:color w:val="333333"/>
                <w:kern w:val="0"/>
                <w:sz w:val="24"/>
                <w:szCs w:val="24"/>
                <w:bdr w:val="none" w:sz="0" w:space="0" w:color="auto" w:frame="1"/>
              </w:rPr>
              <w:t>股权</w:t>
            </w:r>
            <w:r w:rsidRPr="00DC42E8">
              <w:rPr>
                <w:rFonts w:ascii="Times New Roman" w:eastAsia="FangSong" w:hAnsi="Times New Roman" w:hint="eastAsia"/>
                <w:color w:val="333333"/>
                <w:kern w:val="0"/>
                <w:sz w:val="24"/>
                <w:szCs w:val="24"/>
                <w:bdr w:val="none" w:sz="0" w:space="0" w:color="auto" w:frame="1"/>
              </w:rPr>
              <w:t>投资业务。</w:t>
            </w:r>
          </w:p>
        </w:tc>
      </w:tr>
      <w:tr w:rsidR="00AF1C46" w:rsidRPr="00FB52B1" w14:paraId="2731A731" w14:textId="77777777" w:rsidTr="00A9380C">
        <w:trPr>
          <w:trHeight w:val="1546"/>
        </w:trPr>
        <w:tc>
          <w:tcPr>
            <w:tcW w:w="1809" w:type="dxa"/>
            <w:vMerge/>
            <w:shd w:val="clear" w:color="auto" w:fill="D9D9D9"/>
            <w:vAlign w:val="center"/>
          </w:tcPr>
          <w:p w14:paraId="2731A72E" w14:textId="77777777" w:rsidR="00AF1C46" w:rsidRPr="00FB52B1" w:rsidRDefault="00AF1C46" w:rsidP="00CB00DF">
            <w:pPr>
              <w:spacing w:line="500" w:lineRule="exact"/>
              <w:jc w:val="center"/>
              <w:rPr>
                <w:rFonts w:ascii="Times New Roman" w:eastAsia="FangSong" w:hAnsi="Times New Roman"/>
                <w:color w:val="333333"/>
                <w:kern w:val="0"/>
                <w:sz w:val="24"/>
                <w:szCs w:val="24"/>
                <w:bdr w:val="none" w:sz="0" w:space="0" w:color="auto" w:frame="1"/>
              </w:rPr>
            </w:pPr>
          </w:p>
        </w:tc>
        <w:tc>
          <w:tcPr>
            <w:tcW w:w="2552" w:type="dxa"/>
            <w:vAlign w:val="center"/>
          </w:tcPr>
          <w:p w14:paraId="2731A72F" w14:textId="0C10773E" w:rsidR="00AF1C46" w:rsidRPr="00FB52B1" w:rsidRDefault="00AF1C46" w:rsidP="0037723B">
            <w:pPr>
              <w:pStyle w:val="aa"/>
              <w:numPr>
                <w:ilvl w:val="0"/>
                <w:numId w:val="2"/>
              </w:numPr>
              <w:spacing w:line="500" w:lineRule="exact"/>
              <w:ind w:firstLineChars="0"/>
              <w:rPr>
                <w:rFonts w:ascii="Times New Roman" w:eastAsia="FangSong" w:hAnsi="Times New Roman"/>
                <w:color w:val="333333"/>
                <w:kern w:val="0"/>
                <w:sz w:val="24"/>
                <w:szCs w:val="24"/>
                <w:bdr w:val="none" w:sz="0" w:space="0" w:color="auto" w:frame="1"/>
              </w:rPr>
            </w:pPr>
            <w:r w:rsidRPr="00DC42E8">
              <w:rPr>
                <w:rFonts w:ascii="Times New Roman" w:eastAsia="FangSong" w:hAnsi="Times New Roman" w:hint="eastAsia"/>
                <w:color w:val="333333"/>
                <w:kern w:val="0"/>
                <w:sz w:val="24"/>
                <w:szCs w:val="24"/>
                <w:bdr w:val="none" w:sz="0" w:space="0" w:color="auto" w:frame="1"/>
              </w:rPr>
              <w:t>传纮投资</w:t>
            </w:r>
          </w:p>
        </w:tc>
        <w:tc>
          <w:tcPr>
            <w:tcW w:w="4397" w:type="dxa"/>
            <w:vAlign w:val="center"/>
          </w:tcPr>
          <w:p w14:paraId="2731A730" w14:textId="07D8275C" w:rsidR="00AF1C46" w:rsidRPr="00FB52B1" w:rsidRDefault="0037723B" w:rsidP="005B2E49">
            <w:pPr>
              <w:spacing w:line="500" w:lineRule="exact"/>
              <w:rPr>
                <w:rFonts w:ascii="Times New Roman" w:eastAsia="FangSong" w:hAnsi="Times New Roman"/>
                <w:color w:val="333333"/>
                <w:kern w:val="0"/>
                <w:sz w:val="24"/>
                <w:szCs w:val="24"/>
                <w:bdr w:val="none" w:sz="0" w:space="0" w:color="auto" w:frame="1"/>
              </w:rPr>
            </w:pPr>
            <w:r w:rsidRPr="0037723B">
              <w:rPr>
                <w:rFonts w:ascii="Times New Roman" w:eastAsia="FangSong" w:hAnsi="Times New Roman" w:hint="eastAsia"/>
                <w:color w:val="333333"/>
                <w:kern w:val="0"/>
                <w:sz w:val="24"/>
                <w:szCs w:val="24"/>
                <w:bdr w:val="none" w:sz="0" w:space="0" w:color="auto" w:frame="1"/>
              </w:rPr>
              <w:t>传紘投资及其关联企业在全球范围（除中国境内外）主要从事一般投资业务</w:t>
            </w:r>
            <w:r>
              <w:rPr>
                <w:rFonts w:ascii="Times New Roman" w:eastAsia="FangSong" w:hAnsi="Times New Roman" w:hint="eastAsia"/>
                <w:color w:val="333333"/>
                <w:kern w:val="0"/>
                <w:sz w:val="24"/>
                <w:szCs w:val="24"/>
                <w:bdr w:val="none" w:sz="0" w:space="0" w:color="auto" w:frame="1"/>
              </w:rPr>
              <w:t>，在中国境内未从事任何业务。</w:t>
            </w:r>
          </w:p>
        </w:tc>
      </w:tr>
      <w:tr w:rsidR="00AF1C46" w:rsidRPr="00FB52B1" w14:paraId="2731A735" w14:textId="77777777" w:rsidTr="00A9380C">
        <w:trPr>
          <w:trHeight w:val="1285"/>
        </w:trPr>
        <w:tc>
          <w:tcPr>
            <w:tcW w:w="1809" w:type="dxa"/>
            <w:vMerge/>
            <w:shd w:val="clear" w:color="auto" w:fill="D9D9D9"/>
            <w:vAlign w:val="center"/>
          </w:tcPr>
          <w:p w14:paraId="2731A732" w14:textId="77777777" w:rsidR="00AF1C46" w:rsidRPr="00FB52B1" w:rsidRDefault="00AF1C46" w:rsidP="00CB00DF">
            <w:pPr>
              <w:spacing w:line="500" w:lineRule="exact"/>
              <w:jc w:val="center"/>
              <w:rPr>
                <w:rFonts w:ascii="Times New Roman" w:eastAsia="FangSong" w:hAnsi="Times New Roman"/>
                <w:color w:val="333333"/>
                <w:kern w:val="0"/>
                <w:sz w:val="24"/>
                <w:szCs w:val="24"/>
                <w:bdr w:val="none" w:sz="0" w:space="0" w:color="auto" w:frame="1"/>
              </w:rPr>
            </w:pPr>
          </w:p>
        </w:tc>
        <w:tc>
          <w:tcPr>
            <w:tcW w:w="2552" w:type="dxa"/>
            <w:vAlign w:val="center"/>
          </w:tcPr>
          <w:p w14:paraId="2731A733" w14:textId="5B7D786C" w:rsidR="00AF1C46" w:rsidRPr="00FB52B1" w:rsidRDefault="0037723B" w:rsidP="0037723B">
            <w:pPr>
              <w:pStyle w:val="aa"/>
              <w:numPr>
                <w:ilvl w:val="0"/>
                <w:numId w:val="2"/>
              </w:numPr>
              <w:spacing w:line="500" w:lineRule="exact"/>
              <w:ind w:firstLineChars="0"/>
              <w:rPr>
                <w:rFonts w:ascii="Times New Roman" w:eastAsia="FangSong" w:hAnsi="Times New Roman"/>
                <w:color w:val="333333"/>
                <w:kern w:val="0"/>
                <w:sz w:val="24"/>
                <w:szCs w:val="24"/>
                <w:bdr w:val="none" w:sz="0" w:space="0" w:color="auto" w:frame="1"/>
              </w:rPr>
            </w:pPr>
            <w:r w:rsidRPr="0037723B">
              <w:rPr>
                <w:rFonts w:ascii="Times New Roman" w:eastAsia="FangSong" w:hAnsi="Times New Roman"/>
                <w:color w:val="333333"/>
                <w:kern w:val="0"/>
                <w:sz w:val="24"/>
                <w:szCs w:val="24"/>
                <w:bdr w:val="none" w:sz="0" w:space="0" w:color="auto" w:frame="1"/>
              </w:rPr>
              <w:tab/>
              <w:t>Champion Crest</w:t>
            </w:r>
          </w:p>
        </w:tc>
        <w:tc>
          <w:tcPr>
            <w:tcW w:w="4397" w:type="dxa"/>
            <w:vAlign w:val="center"/>
          </w:tcPr>
          <w:p w14:paraId="2731A734" w14:textId="56875012" w:rsidR="00AF1C46" w:rsidRPr="004C4BB0" w:rsidRDefault="0037723B" w:rsidP="00B35918">
            <w:pPr>
              <w:spacing w:line="500" w:lineRule="exact"/>
              <w:rPr>
                <w:rFonts w:ascii="Times New Roman" w:eastAsia="FangSong" w:hAnsi="Times New Roman"/>
                <w:color w:val="333333"/>
                <w:kern w:val="0"/>
                <w:sz w:val="24"/>
                <w:szCs w:val="24"/>
                <w:bdr w:val="none" w:sz="0" w:space="0" w:color="auto" w:frame="1"/>
              </w:rPr>
            </w:pPr>
            <w:r w:rsidRPr="0037723B">
              <w:rPr>
                <w:rFonts w:ascii="Times New Roman" w:eastAsia="FangSong" w:hAnsi="Times New Roman" w:hint="eastAsia"/>
                <w:color w:val="333333"/>
                <w:kern w:val="0"/>
                <w:sz w:val="24"/>
                <w:szCs w:val="24"/>
                <w:bdr w:val="none" w:sz="0" w:space="0" w:color="auto" w:frame="1"/>
              </w:rPr>
              <w:t>Champion Crest</w:t>
            </w:r>
            <w:r w:rsidRPr="0037723B">
              <w:rPr>
                <w:rFonts w:ascii="Times New Roman" w:eastAsia="FangSong" w:hAnsi="Times New Roman" w:hint="eastAsia"/>
                <w:color w:val="333333"/>
                <w:kern w:val="0"/>
                <w:sz w:val="24"/>
                <w:szCs w:val="24"/>
                <w:bdr w:val="none" w:sz="0" w:space="0" w:color="auto" w:frame="1"/>
              </w:rPr>
              <w:t>及其关联企业在全球范围内从事各项投资业务</w:t>
            </w:r>
            <w:r w:rsidR="00AF1C46" w:rsidRPr="00AD631E">
              <w:rPr>
                <w:rFonts w:ascii="Times New Roman" w:eastAsia="FangSong" w:hAnsi="Times New Roman" w:hint="eastAsia"/>
                <w:color w:val="333333"/>
                <w:kern w:val="0"/>
                <w:sz w:val="24"/>
                <w:szCs w:val="24"/>
                <w:bdr w:val="none" w:sz="0" w:space="0" w:color="auto" w:frame="1"/>
              </w:rPr>
              <w:t>。</w:t>
            </w:r>
          </w:p>
        </w:tc>
      </w:tr>
      <w:tr w:rsidR="00CB00DF" w:rsidRPr="00FB52B1" w14:paraId="2731A748" w14:textId="77777777" w:rsidTr="00CB00DF">
        <w:trPr>
          <w:trHeight w:val="279"/>
        </w:trPr>
        <w:tc>
          <w:tcPr>
            <w:tcW w:w="1809" w:type="dxa"/>
            <w:vMerge w:val="restart"/>
            <w:shd w:val="clear" w:color="auto" w:fill="D9D9D9"/>
            <w:vAlign w:val="center"/>
          </w:tcPr>
          <w:p w14:paraId="2731A746" w14:textId="77777777" w:rsidR="00CB00DF" w:rsidRPr="00FB52B1" w:rsidRDefault="00CB00DF" w:rsidP="00CB00DF">
            <w:pPr>
              <w:spacing w:line="500" w:lineRule="exact"/>
              <w:jc w:val="center"/>
              <w:rPr>
                <w:rFonts w:ascii="Times New Roman" w:eastAsia="FangSong" w:hAnsi="Times New Roman"/>
                <w:color w:val="333333"/>
                <w:kern w:val="0"/>
                <w:sz w:val="24"/>
                <w:szCs w:val="24"/>
                <w:bdr w:val="none" w:sz="0" w:space="0" w:color="auto" w:frame="1"/>
              </w:rPr>
            </w:pPr>
            <w:r w:rsidRPr="00FB52B1">
              <w:rPr>
                <w:rFonts w:ascii="Times New Roman" w:eastAsia="FangSong" w:hAnsi="Times New Roman"/>
                <w:color w:val="333333"/>
                <w:kern w:val="0"/>
                <w:sz w:val="24"/>
                <w:szCs w:val="24"/>
                <w:bdr w:val="none" w:sz="0" w:space="0" w:color="auto" w:frame="1"/>
              </w:rPr>
              <w:t>简易案件理由（可以单选，也可以多选）</w:t>
            </w:r>
          </w:p>
        </w:tc>
        <w:tc>
          <w:tcPr>
            <w:tcW w:w="6949" w:type="dxa"/>
            <w:gridSpan w:val="2"/>
          </w:tcPr>
          <w:p w14:paraId="2731A747" w14:textId="77777777" w:rsidR="00CB00DF" w:rsidRPr="00FB52B1" w:rsidRDefault="00CB00DF" w:rsidP="00FC0687">
            <w:pPr>
              <w:spacing w:line="500" w:lineRule="exact"/>
              <w:rPr>
                <w:rFonts w:ascii="Times New Roman" w:eastAsia="FangSong" w:hAnsi="Times New Roman"/>
                <w:color w:val="333333"/>
                <w:kern w:val="0"/>
                <w:sz w:val="24"/>
                <w:szCs w:val="24"/>
                <w:bdr w:val="none" w:sz="0" w:space="0" w:color="auto" w:frame="1"/>
              </w:rPr>
            </w:pPr>
            <w:r w:rsidRPr="00FB52B1">
              <w:rPr>
                <w:rFonts w:ascii="Times New Roman" w:eastAsia="FangSong" w:hAnsi="Times New Roman"/>
                <w:color w:val="333333"/>
                <w:kern w:val="0"/>
                <w:sz w:val="24"/>
                <w:szCs w:val="24"/>
                <w:bdr w:val="none" w:sz="0" w:space="0" w:color="auto" w:frame="1"/>
              </w:rPr>
              <w:t>□1.</w:t>
            </w:r>
            <w:r w:rsidRPr="00FB52B1">
              <w:rPr>
                <w:rFonts w:ascii="Times New Roman" w:eastAsia="FangSong" w:hAnsi="Times New Roman"/>
                <w:color w:val="333333"/>
                <w:kern w:val="0"/>
                <w:sz w:val="24"/>
                <w:szCs w:val="24"/>
                <w:bdr w:val="none" w:sz="0" w:space="0" w:color="auto" w:frame="1"/>
              </w:rPr>
              <w:t>在同一相关市场，所有参与集中的经营者所占市场份额之和小于</w:t>
            </w:r>
            <w:r w:rsidRPr="00FB52B1">
              <w:rPr>
                <w:rFonts w:ascii="Times New Roman" w:eastAsia="FangSong" w:hAnsi="Times New Roman"/>
                <w:color w:val="333333"/>
                <w:kern w:val="0"/>
                <w:sz w:val="24"/>
                <w:szCs w:val="24"/>
                <w:bdr w:val="none" w:sz="0" w:space="0" w:color="auto" w:frame="1"/>
              </w:rPr>
              <w:t>15%</w:t>
            </w:r>
            <w:r w:rsidRPr="00FB52B1">
              <w:rPr>
                <w:rFonts w:ascii="Times New Roman" w:eastAsia="FangSong" w:hAnsi="Times New Roman"/>
                <w:color w:val="333333"/>
                <w:kern w:val="0"/>
                <w:sz w:val="24"/>
                <w:szCs w:val="24"/>
                <w:bdr w:val="none" w:sz="0" w:space="0" w:color="auto" w:frame="1"/>
              </w:rPr>
              <w:t>。</w:t>
            </w:r>
          </w:p>
        </w:tc>
      </w:tr>
      <w:tr w:rsidR="00CB00DF" w:rsidRPr="00FB52B1" w14:paraId="2731A74B" w14:textId="77777777" w:rsidTr="00CB00DF">
        <w:trPr>
          <w:trHeight w:val="330"/>
        </w:trPr>
        <w:tc>
          <w:tcPr>
            <w:tcW w:w="1809" w:type="dxa"/>
            <w:vMerge/>
            <w:shd w:val="clear" w:color="auto" w:fill="D9D9D9"/>
            <w:vAlign w:val="center"/>
          </w:tcPr>
          <w:p w14:paraId="2731A749" w14:textId="77777777" w:rsidR="00CB00DF" w:rsidRPr="00FB52B1" w:rsidRDefault="00CB00DF" w:rsidP="00CB00DF">
            <w:pPr>
              <w:spacing w:line="500" w:lineRule="exact"/>
              <w:jc w:val="center"/>
              <w:rPr>
                <w:rFonts w:ascii="Times New Roman" w:eastAsia="FangSong" w:hAnsi="Times New Roman"/>
                <w:color w:val="333333"/>
                <w:kern w:val="0"/>
                <w:sz w:val="24"/>
                <w:szCs w:val="24"/>
                <w:bdr w:val="none" w:sz="0" w:space="0" w:color="auto" w:frame="1"/>
              </w:rPr>
            </w:pPr>
          </w:p>
        </w:tc>
        <w:tc>
          <w:tcPr>
            <w:tcW w:w="6949" w:type="dxa"/>
            <w:gridSpan w:val="2"/>
          </w:tcPr>
          <w:p w14:paraId="2731A74A" w14:textId="77777777" w:rsidR="00CB00DF" w:rsidRPr="00FB52B1" w:rsidRDefault="00CB00DF" w:rsidP="00FC0687">
            <w:pPr>
              <w:spacing w:line="500" w:lineRule="exact"/>
              <w:rPr>
                <w:rFonts w:ascii="Times New Roman" w:eastAsia="FangSong" w:hAnsi="Times New Roman"/>
                <w:color w:val="333333"/>
                <w:kern w:val="0"/>
                <w:sz w:val="24"/>
                <w:szCs w:val="24"/>
                <w:bdr w:val="none" w:sz="0" w:space="0" w:color="auto" w:frame="1"/>
              </w:rPr>
            </w:pPr>
            <w:r w:rsidRPr="00FB52B1">
              <w:rPr>
                <w:rFonts w:ascii="Times New Roman" w:eastAsia="FangSong" w:hAnsi="Times New Roman"/>
                <w:color w:val="333333"/>
                <w:kern w:val="0"/>
                <w:sz w:val="24"/>
                <w:szCs w:val="24"/>
                <w:bdr w:val="none" w:sz="0" w:space="0" w:color="auto" w:frame="1"/>
              </w:rPr>
              <w:t>□2.</w:t>
            </w:r>
            <w:r w:rsidRPr="00FB52B1">
              <w:rPr>
                <w:rFonts w:ascii="Times New Roman" w:eastAsia="FangSong" w:hAnsi="Times New Roman"/>
                <w:color w:val="333333"/>
                <w:kern w:val="0"/>
                <w:sz w:val="24"/>
                <w:szCs w:val="24"/>
                <w:bdr w:val="none" w:sz="0" w:space="0" w:color="auto" w:frame="1"/>
              </w:rPr>
              <w:t>存在上下游关系的参与集中的经营者，在上下游市场所占的市场份额均小于</w:t>
            </w:r>
            <w:r w:rsidRPr="00FB52B1">
              <w:rPr>
                <w:rFonts w:ascii="Times New Roman" w:eastAsia="FangSong" w:hAnsi="Times New Roman"/>
                <w:color w:val="333333"/>
                <w:kern w:val="0"/>
                <w:sz w:val="24"/>
                <w:szCs w:val="24"/>
                <w:bdr w:val="none" w:sz="0" w:space="0" w:color="auto" w:frame="1"/>
              </w:rPr>
              <w:t>25%</w:t>
            </w:r>
            <w:r w:rsidRPr="00FB52B1">
              <w:rPr>
                <w:rFonts w:ascii="Times New Roman" w:eastAsia="FangSong" w:hAnsi="Times New Roman"/>
                <w:color w:val="333333"/>
                <w:kern w:val="0"/>
                <w:sz w:val="24"/>
                <w:szCs w:val="24"/>
                <w:bdr w:val="none" w:sz="0" w:space="0" w:color="auto" w:frame="1"/>
              </w:rPr>
              <w:t>。</w:t>
            </w:r>
          </w:p>
        </w:tc>
      </w:tr>
      <w:tr w:rsidR="00CB00DF" w:rsidRPr="00FB52B1" w14:paraId="2731A74E" w14:textId="77777777" w:rsidTr="00CB00DF">
        <w:trPr>
          <w:trHeight w:val="285"/>
        </w:trPr>
        <w:tc>
          <w:tcPr>
            <w:tcW w:w="1809" w:type="dxa"/>
            <w:vMerge/>
            <w:shd w:val="clear" w:color="auto" w:fill="D9D9D9"/>
            <w:vAlign w:val="center"/>
          </w:tcPr>
          <w:p w14:paraId="2731A74C" w14:textId="77777777" w:rsidR="00CB00DF" w:rsidRPr="00FB52B1" w:rsidRDefault="00CB00DF" w:rsidP="00CB00DF">
            <w:pPr>
              <w:spacing w:line="500" w:lineRule="exact"/>
              <w:jc w:val="center"/>
              <w:rPr>
                <w:rFonts w:ascii="Times New Roman" w:eastAsia="FangSong" w:hAnsi="Times New Roman"/>
                <w:color w:val="333333"/>
                <w:kern w:val="0"/>
                <w:sz w:val="24"/>
                <w:szCs w:val="24"/>
                <w:bdr w:val="none" w:sz="0" w:space="0" w:color="auto" w:frame="1"/>
              </w:rPr>
            </w:pPr>
          </w:p>
        </w:tc>
        <w:tc>
          <w:tcPr>
            <w:tcW w:w="6949" w:type="dxa"/>
            <w:gridSpan w:val="2"/>
          </w:tcPr>
          <w:p w14:paraId="2731A74D" w14:textId="77777777" w:rsidR="00CB00DF" w:rsidRPr="00FB52B1" w:rsidRDefault="005E4196" w:rsidP="00FC0687">
            <w:pPr>
              <w:spacing w:line="500" w:lineRule="exact"/>
              <w:rPr>
                <w:rFonts w:ascii="Times New Roman" w:eastAsia="FangSong" w:hAnsi="Times New Roman"/>
                <w:color w:val="333333"/>
                <w:kern w:val="0"/>
                <w:sz w:val="24"/>
                <w:szCs w:val="24"/>
                <w:bdr w:val="none" w:sz="0" w:space="0" w:color="auto" w:frame="1"/>
              </w:rPr>
            </w:pPr>
            <w:r w:rsidRPr="00FB52B1">
              <w:rPr>
                <w:rFonts w:ascii="Times New Roman" w:hAnsi="Times New Roman"/>
                <w:sz w:val="24"/>
                <w:szCs w:val="24"/>
              </w:rPr>
              <w:sym w:font="Wingdings" w:char="F0FE"/>
            </w:r>
            <w:r w:rsidR="00CB00DF" w:rsidRPr="00FB52B1">
              <w:rPr>
                <w:rFonts w:ascii="Times New Roman" w:eastAsia="FangSong" w:hAnsi="Times New Roman"/>
                <w:color w:val="333333"/>
                <w:kern w:val="0"/>
                <w:sz w:val="24"/>
                <w:szCs w:val="24"/>
                <w:bdr w:val="none" w:sz="0" w:space="0" w:color="auto" w:frame="1"/>
              </w:rPr>
              <w:t>3.</w:t>
            </w:r>
            <w:r w:rsidR="00CB00DF" w:rsidRPr="00FB52B1">
              <w:rPr>
                <w:rFonts w:ascii="Times New Roman" w:eastAsia="FangSong" w:hAnsi="Times New Roman"/>
                <w:color w:val="333333"/>
                <w:kern w:val="0"/>
                <w:sz w:val="24"/>
                <w:szCs w:val="24"/>
                <w:bdr w:val="none" w:sz="0" w:space="0" w:color="auto" w:frame="1"/>
              </w:rPr>
              <w:t>不在同一相关市场、也不存在上下游关系的参与集中的经营</w:t>
            </w:r>
            <w:r w:rsidR="00CB00DF" w:rsidRPr="00FB52B1">
              <w:rPr>
                <w:rFonts w:ascii="Times New Roman" w:eastAsia="FangSong" w:hAnsi="Times New Roman"/>
                <w:color w:val="333333"/>
                <w:kern w:val="0"/>
                <w:sz w:val="24"/>
                <w:szCs w:val="24"/>
                <w:bdr w:val="none" w:sz="0" w:space="0" w:color="auto" w:frame="1"/>
              </w:rPr>
              <w:lastRenderedPageBreak/>
              <w:t>者，在与交易有关的每个市场所占的份额均小于</w:t>
            </w:r>
            <w:r w:rsidR="00CB00DF" w:rsidRPr="00FB52B1">
              <w:rPr>
                <w:rFonts w:ascii="Times New Roman" w:eastAsia="FangSong" w:hAnsi="Times New Roman"/>
                <w:color w:val="333333"/>
                <w:kern w:val="0"/>
                <w:sz w:val="24"/>
                <w:szCs w:val="24"/>
                <w:bdr w:val="none" w:sz="0" w:space="0" w:color="auto" w:frame="1"/>
              </w:rPr>
              <w:t>25%</w:t>
            </w:r>
            <w:r w:rsidR="00CB00DF" w:rsidRPr="00FB52B1">
              <w:rPr>
                <w:rFonts w:ascii="Times New Roman" w:eastAsia="FangSong" w:hAnsi="Times New Roman"/>
                <w:color w:val="333333"/>
                <w:kern w:val="0"/>
                <w:sz w:val="24"/>
                <w:szCs w:val="24"/>
                <w:bdr w:val="none" w:sz="0" w:space="0" w:color="auto" w:frame="1"/>
              </w:rPr>
              <w:t>。</w:t>
            </w:r>
          </w:p>
        </w:tc>
      </w:tr>
      <w:tr w:rsidR="00CB00DF" w:rsidRPr="00FB52B1" w14:paraId="2731A751" w14:textId="77777777" w:rsidTr="00CB00DF">
        <w:trPr>
          <w:trHeight w:val="870"/>
        </w:trPr>
        <w:tc>
          <w:tcPr>
            <w:tcW w:w="1809" w:type="dxa"/>
            <w:vMerge/>
            <w:shd w:val="clear" w:color="auto" w:fill="D9D9D9"/>
            <w:vAlign w:val="center"/>
          </w:tcPr>
          <w:p w14:paraId="2731A74F" w14:textId="77777777" w:rsidR="00CB00DF" w:rsidRPr="00FB52B1" w:rsidRDefault="00CB00DF" w:rsidP="00CB00DF">
            <w:pPr>
              <w:spacing w:line="500" w:lineRule="exact"/>
              <w:jc w:val="center"/>
              <w:rPr>
                <w:rFonts w:ascii="Times New Roman" w:eastAsia="FangSong" w:hAnsi="Times New Roman"/>
                <w:color w:val="333333"/>
                <w:kern w:val="0"/>
                <w:sz w:val="24"/>
                <w:szCs w:val="24"/>
                <w:bdr w:val="none" w:sz="0" w:space="0" w:color="auto" w:frame="1"/>
              </w:rPr>
            </w:pPr>
          </w:p>
        </w:tc>
        <w:tc>
          <w:tcPr>
            <w:tcW w:w="6949" w:type="dxa"/>
            <w:gridSpan w:val="2"/>
          </w:tcPr>
          <w:p w14:paraId="2731A750" w14:textId="77777777" w:rsidR="00CB00DF" w:rsidRPr="00FB52B1" w:rsidRDefault="00CB00DF" w:rsidP="00FC0687">
            <w:pPr>
              <w:spacing w:line="500" w:lineRule="exact"/>
              <w:rPr>
                <w:rFonts w:ascii="Times New Roman" w:eastAsia="FangSong" w:hAnsi="Times New Roman"/>
                <w:color w:val="333333"/>
                <w:kern w:val="0"/>
                <w:sz w:val="24"/>
                <w:szCs w:val="24"/>
                <w:bdr w:val="none" w:sz="0" w:space="0" w:color="auto" w:frame="1"/>
              </w:rPr>
            </w:pPr>
            <w:r w:rsidRPr="00FB52B1">
              <w:rPr>
                <w:rFonts w:ascii="Times New Roman" w:eastAsia="FangSong" w:hAnsi="Times New Roman"/>
                <w:color w:val="333333"/>
                <w:kern w:val="0"/>
                <w:sz w:val="24"/>
                <w:szCs w:val="24"/>
                <w:bdr w:val="none" w:sz="0" w:space="0" w:color="auto" w:frame="1"/>
              </w:rPr>
              <w:t>□4.</w:t>
            </w:r>
            <w:r w:rsidRPr="00FB52B1">
              <w:rPr>
                <w:rFonts w:ascii="Times New Roman" w:eastAsia="FangSong" w:hAnsi="Times New Roman"/>
                <w:color w:val="333333"/>
                <w:kern w:val="0"/>
                <w:sz w:val="24"/>
                <w:szCs w:val="24"/>
                <w:bdr w:val="none" w:sz="0" w:space="0" w:color="auto" w:frame="1"/>
              </w:rPr>
              <w:t>参与集中的经营者在中国境外设立合营企业，合营企业不在中国境内从事经济活动。</w:t>
            </w:r>
          </w:p>
        </w:tc>
      </w:tr>
      <w:tr w:rsidR="00CB00DF" w:rsidRPr="00FB52B1" w14:paraId="2731A754" w14:textId="77777777" w:rsidTr="00CB00DF">
        <w:trPr>
          <w:trHeight w:val="264"/>
        </w:trPr>
        <w:tc>
          <w:tcPr>
            <w:tcW w:w="1809" w:type="dxa"/>
            <w:vMerge/>
            <w:shd w:val="clear" w:color="auto" w:fill="D9D9D9"/>
            <w:vAlign w:val="center"/>
          </w:tcPr>
          <w:p w14:paraId="2731A752" w14:textId="77777777" w:rsidR="00CB00DF" w:rsidRPr="00FB52B1" w:rsidRDefault="00CB00DF" w:rsidP="00CB00DF">
            <w:pPr>
              <w:spacing w:line="500" w:lineRule="exact"/>
              <w:jc w:val="center"/>
              <w:rPr>
                <w:rFonts w:ascii="Times New Roman" w:eastAsia="FangSong" w:hAnsi="Times New Roman"/>
                <w:color w:val="333333"/>
                <w:kern w:val="0"/>
                <w:sz w:val="24"/>
                <w:szCs w:val="24"/>
                <w:bdr w:val="none" w:sz="0" w:space="0" w:color="auto" w:frame="1"/>
              </w:rPr>
            </w:pPr>
          </w:p>
        </w:tc>
        <w:tc>
          <w:tcPr>
            <w:tcW w:w="6949" w:type="dxa"/>
            <w:gridSpan w:val="2"/>
          </w:tcPr>
          <w:p w14:paraId="2731A753" w14:textId="77777777" w:rsidR="00CB00DF" w:rsidRPr="00FB52B1" w:rsidRDefault="00CB00DF" w:rsidP="00FC0687">
            <w:pPr>
              <w:spacing w:line="500" w:lineRule="exact"/>
              <w:rPr>
                <w:rFonts w:ascii="Times New Roman" w:eastAsia="FangSong" w:hAnsi="Times New Roman"/>
                <w:color w:val="333333"/>
                <w:kern w:val="0"/>
                <w:sz w:val="24"/>
                <w:szCs w:val="24"/>
                <w:bdr w:val="none" w:sz="0" w:space="0" w:color="auto" w:frame="1"/>
              </w:rPr>
            </w:pPr>
            <w:r w:rsidRPr="00FB52B1">
              <w:rPr>
                <w:rFonts w:ascii="Times New Roman" w:eastAsia="FangSong" w:hAnsi="Times New Roman"/>
                <w:color w:val="333333"/>
                <w:kern w:val="0"/>
                <w:sz w:val="24"/>
                <w:szCs w:val="24"/>
                <w:bdr w:val="none" w:sz="0" w:space="0" w:color="auto" w:frame="1"/>
              </w:rPr>
              <w:t>□5.</w:t>
            </w:r>
            <w:r w:rsidRPr="00FB52B1">
              <w:rPr>
                <w:rFonts w:ascii="Times New Roman" w:eastAsia="FangSong" w:hAnsi="Times New Roman"/>
                <w:color w:val="333333"/>
                <w:kern w:val="0"/>
                <w:sz w:val="24"/>
                <w:szCs w:val="24"/>
                <w:bdr w:val="none" w:sz="0" w:space="0" w:color="auto" w:frame="1"/>
              </w:rPr>
              <w:t>参与集中的经营者收购境外企业股权或资产的，该境外企业不在中国境内从事经济活动。</w:t>
            </w:r>
          </w:p>
        </w:tc>
      </w:tr>
      <w:tr w:rsidR="00CB00DF" w:rsidRPr="00FB52B1" w14:paraId="2731A757" w14:textId="77777777" w:rsidTr="00CB00DF">
        <w:trPr>
          <w:trHeight w:val="345"/>
        </w:trPr>
        <w:tc>
          <w:tcPr>
            <w:tcW w:w="1809" w:type="dxa"/>
            <w:vMerge/>
            <w:shd w:val="clear" w:color="auto" w:fill="D9D9D9"/>
            <w:vAlign w:val="center"/>
          </w:tcPr>
          <w:p w14:paraId="2731A755" w14:textId="77777777" w:rsidR="00CB00DF" w:rsidRPr="00FB52B1" w:rsidRDefault="00CB00DF" w:rsidP="00CB00DF">
            <w:pPr>
              <w:spacing w:line="500" w:lineRule="exact"/>
              <w:jc w:val="center"/>
              <w:rPr>
                <w:rFonts w:ascii="Times New Roman" w:eastAsia="FangSong" w:hAnsi="Times New Roman"/>
                <w:color w:val="333333"/>
                <w:kern w:val="0"/>
                <w:sz w:val="24"/>
                <w:szCs w:val="24"/>
                <w:bdr w:val="none" w:sz="0" w:space="0" w:color="auto" w:frame="1"/>
              </w:rPr>
            </w:pPr>
          </w:p>
        </w:tc>
        <w:tc>
          <w:tcPr>
            <w:tcW w:w="6949" w:type="dxa"/>
            <w:gridSpan w:val="2"/>
          </w:tcPr>
          <w:p w14:paraId="2731A756" w14:textId="77777777" w:rsidR="00CB00DF" w:rsidRPr="00FB52B1" w:rsidRDefault="00CB00DF" w:rsidP="00FC0687">
            <w:pPr>
              <w:spacing w:line="500" w:lineRule="exact"/>
              <w:rPr>
                <w:rFonts w:ascii="Times New Roman" w:eastAsia="FangSong" w:hAnsi="Times New Roman"/>
                <w:color w:val="333333"/>
                <w:kern w:val="0"/>
                <w:sz w:val="24"/>
                <w:szCs w:val="24"/>
                <w:bdr w:val="none" w:sz="0" w:space="0" w:color="auto" w:frame="1"/>
              </w:rPr>
            </w:pPr>
            <w:r w:rsidRPr="00FB52B1">
              <w:rPr>
                <w:rFonts w:ascii="Times New Roman" w:eastAsia="FangSong" w:hAnsi="Times New Roman"/>
                <w:color w:val="333333"/>
                <w:kern w:val="0"/>
                <w:sz w:val="24"/>
                <w:szCs w:val="24"/>
                <w:bdr w:val="none" w:sz="0" w:space="0" w:color="auto" w:frame="1"/>
              </w:rPr>
              <w:t>□6.</w:t>
            </w:r>
            <w:r w:rsidRPr="00FB52B1">
              <w:rPr>
                <w:rFonts w:ascii="Times New Roman" w:eastAsia="FangSong" w:hAnsi="Times New Roman"/>
                <w:color w:val="333333"/>
                <w:kern w:val="0"/>
                <w:sz w:val="24"/>
                <w:szCs w:val="24"/>
                <w:bdr w:val="none" w:sz="0" w:space="0" w:color="auto" w:frame="1"/>
              </w:rPr>
              <w:t>由两个以上的经营者共同控制的合营企业，通过集中被其中一个或一个以上经营者控制。</w:t>
            </w:r>
          </w:p>
        </w:tc>
      </w:tr>
      <w:tr w:rsidR="00CB00DF" w:rsidRPr="00FB52B1" w14:paraId="2731A767" w14:textId="77777777" w:rsidTr="00CB00DF">
        <w:tc>
          <w:tcPr>
            <w:tcW w:w="1809" w:type="dxa"/>
            <w:shd w:val="clear" w:color="auto" w:fill="D9D9D9"/>
            <w:vAlign w:val="center"/>
          </w:tcPr>
          <w:p w14:paraId="2731A758" w14:textId="77777777" w:rsidR="00CB00DF" w:rsidRPr="00FB52B1" w:rsidRDefault="00CB00DF" w:rsidP="00CB00DF">
            <w:pPr>
              <w:spacing w:line="500" w:lineRule="exact"/>
              <w:jc w:val="center"/>
              <w:rPr>
                <w:rFonts w:ascii="Times New Roman" w:eastAsia="FangSong" w:hAnsi="Times New Roman"/>
                <w:color w:val="333333"/>
                <w:kern w:val="0"/>
                <w:sz w:val="24"/>
                <w:szCs w:val="24"/>
                <w:bdr w:val="none" w:sz="0" w:space="0" w:color="auto" w:frame="1"/>
              </w:rPr>
            </w:pPr>
            <w:r w:rsidRPr="00FB52B1">
              <w:rPr>
                <w:rFonts w:ascii="Times New Roman" w:eastAsia="FangSong" w:hAnsi="Times New Roman"/>
                <w:color w:val="333333"/>
                <w:kern w:val="0"/>
                <w:sz w:val="24"/>
                <w:szCs w:val="24"/>
                <w:bdr w:val="none" w:sz="0" w:space="0" w:color="auto" w:frame="1"/>
              </w:rPr>
              <w:t>备注</w:t>
            </w:r>
          </w:p>
        </w:tc>
        <w:tc>
          <w:tcPr>
            <w:tcW w:w="6949" w:type="dxa"/>
            <w:gridSpan w:val="2"/>
          </w:tcPr>
          <w:p w14:paraId="2731A759" w14:textId="77777777" w:rsidR="00DB22D1" w:rsidRPr="00FB52B1" w:rsidRDefault="00DB22D1" w:rsidP="00DB22D1">
            <w:pPr>
              <w:spacing w:line="500" w:lineRule="exact"/>
              <w:rPr>
                <w:rFonts w:ascii="Times New Roman" w:eastAsia="仿宋" w:hAnsi="Times New Roman"/>
                <w:color w:val="333333"/>
                <w:kern w:val="0"/>
                <w:sz w:val="24"/>
                <w:szCs w:val="24"/>
                <w:bdr w:val="none" w:sz="0" w:space="0" w:color="auto" w:frame="1"/>
              </w:rPr>
            </w:pPr>
            <w:r w:rsidRPr="00FB52B1">
              <w:rPr>
                <w:rFonts w:ascii="Times New Roman" w:eastAsia="仿宋" w:hAnsi="Times New Roman"/>
                <w:color w:val="333333"/>
                <w:kern w:val="0"/>
                <w:sz w:val="24"/>
                <w:szCs w:val="24"/>
                <w:bdr w:val="none" w:sz="0" w:space="0" w:color="auto" w:frame="1"/>
              </w:rPr>
              <w:t>本次申报界定的相关市场及市场份额如下：</w:t>
            </w:r>
          </w:p>
          <w:tbl>
            <w:tblPr>
              <w:tblStyle w:val="a9"/>
              <w:tblW w:w="0" w:type="auto"/>
              <w:tblLook w:val="04A0" w:firstRow="1" w:lastRow="0" w:firstColumn="1" w:lastColumn="0" w:noHBand="0" w:noVBand="1"/>
            </w:tblPr>
            <w:tblGrid>
              <w:gridCol w:w="3715"/>
              <w:gridCol w:w="2693"/>
            </w:tblGrid>
            <w:tr w:rsidR="00DB22D1" w:rsidRPr="00FB52B1" w14:paraId="2731A75C" w14:textId="77777777" w:rsidTr="00C96251">
              <w:trPr>
                <w:trHeight w:val="232"/>
              </w:trPr>
              <w:tc>
                <w:tcPr>
                  <w:tcW w:w="3715" w:type="dxa"/>
                  <w:shd w:val="clear" w:color="auto" w:fill="D9D9D9" w:themeFill="background1" w:themeFillShade="D9"/>
                </w:tcPr>
                <w:p w14:paraId="2731A75A" w14:textId="77777777" w:rsidR="00DB22D1" w:rsidRPr="00FB52B1" w:rsidRDefault="00DB22D1" w:rsidP="00DB22D1">
                  <w:pPr>
                    <w:jc w:val="center"/>
                    <w:rPr>
                      <w:rFonts w:ascii="Times New Roman" w:eastAsia="FangSong" w:hAnsi="Times New Roman"/>
                      <w:b/>
                      <w:bCs/>
                      <w:sz w:val="24"/>
                      <w:szCs w:val="24"/>
                    </w:rPr>
                  </w:pPr>
                  <w:r w:rsidRPr="00FB52B1">
                    <w:rPr>
                      <w:rFonts w:ascii="Times New Roman" w:eastAsia="FangSong" w:hAnsi="Times New Roman"/>
                      <w:b/>
                      <w:bCs/>
                      <w:sz w:val="24"/>
                      <w:szCs w:val="24"/>
                    </w:rPr>
                    <w:t>相关市场</w:t>
                  </w:r>
                </w:p>
              </w:tc>
              <w:tc>
                <w:tcPr>
                  <w:tcW w:w="2693" w:type="dxa"/>
                  <w:shd w:val="clear" w:color="auto" w:fill="D9D9D9" w:themeFill="background1" w:themeFillShade="D9"/>
                </w:tcPr>
                <w:p w14:paraId="2731A75B" w14:textId="77777777" w:rsidR="00DB22D1" w:rsidRPr="00FB52B1" w:rsidRDefault="00DB22D1" w:rsidP="00DB22D1">
                  <w:pPr>
                    <w:jc w:val="center"/>
                    <w:rPr>
                      <w:rFonts w:ascii="Times New Roman" w:eastAsia="FangSong" w:hAnsi="Times New Roman"/>
                      <w:b/>
                      <w:bCs/>
                      <w:sz w:val="24"/>
                      <w:szCs w:val="24"/>
                    </w:rPr>
                  </w:pPr>
                  <w:r w:rsidRPr="00FB52B1">
                    <w:rPr>
                      <w:rFonts w:ascii="Times New Roman" w:eastAsia="FangSong" w:hAnsi="Times New Roman"/>
                      <w:b/>
                      <w:bCs/>
                      <w:sz w:val="24"/>
                      <w:szCs w:val="24"/>
                    </w:rPr>
                    <w:t>市场份额</w:t>
                  </w:r>
                </w:p>
              </w:tc>
            </w:tr>
            <w:tr w:rsidR="00DB22D1" w:rsidRPr="00FB52B1" w14:paraId="2731A765" w14:textId="77777777" w:rsidTr="00C96251">
              <w:tc>
                <w:tcPr>
                  <w:tcW w:w="3715" w:type="dxa"/>
                  <w:vAlign w:val="center"/>
                </w:tcPr>
                <w:p w14:paraId="2731A75D" w14:textId="77777777" w:rsidR="00DB22D1" w:rsidRPr="00FB52B1" w:rsidRDefault="00FC0687" w:rsidP="00FC0687">
                  <w:pPr>
                    <w:rPr>
                      <w:rFonts w:ascii="Times New Roman" w:eastAsia="FangSong" w:hAnsi="Times New Roman"/>
                      <w:sz w:val="24"/>
                      <w:szCs w:val="24"/>
                    </w:rPr>
                  </w:pPr>
                  <w:r w:rsidRPr="00FB52B1">
                    <w:rPr>
                      <w:rFonts w:ascii="Times New Roman" w:eastAsia="FangSong" w:hAnsi="Times New Roman"/>
                      <w:sz w:val="24"/>
                      <w:szCs w:val="24"/>
                    </w:rPr>
                    <w:t>全球面板驱动芯片设计市场</w:t>
                  </w:r>
                </w:p>
              </w:tc>
              <w:tc>
                <w:tcPr>
                  <w:tcW w:w="2693" w:type="dxa"/>
                </w:tcPr>
                <w:p w14:paraId="2731A75E" w14:textId="2D952969" w:rsidR="00DB22D1" w:rsidRPr="00FB52B1" w:rsidRDefault="009C2CB8" w:rsidP="00EE507C">
                  <w:pPr>
                    <w:jc w:val="left"/>
                    <w:rPr>
                      <w:rFonts w:ascii="Times New Roman" w:eastAsia="FangSong" w:hAnsi="Times New Roman"/>
                      <w:sz w:val="24"/>
                      <w:szCs w:val="24"/>
                    </w:rPr>
                  </w:pPr>
                  <w:r>
                    <w:rPr>
                      <w:rFonts w:ascii="Times New Roman" w:eastAsia="FangSong" w:hAnsi="Times New Roman" w:hint="eastAsia"/>
                      <w:sz w:val="24"/>
                      <w:szCs w:val="24"/>
                    </w:rPr>
                    <w:t>I</w:t>
                  </w:r>
                  <w:r>
                    <w:rPr>
                      <w:rFonts w:ascii="Times New Roman" w:eastAsia="FangSong" w:hAnsi="Times New Roman"/>
                      <w:sz w:val="24"/>
                      <w:szCs w:val="24"/>
                    </w:rPr>
                    <w:t>TH</w:t>
                  </w:r>
                  <w:r w:rsidR="00DB22D1" w:rsidRPr="00FB52B1">
                    <w:rPr>
                      <w:rFonts w:ascii="Times New Roman" w:eastAsia="FangSong" w:hAnsi="Times New Roman"/>
                      <w:sz w:val="24"/>
                      <w:szCs w:val="24"/>
                    </w:rPr>
                    <w:t>（</w:t>
                  </w:r>
                  <w:r w:rsidR="003B225E" w:rsidRPr="00FB52B1">
                    <w:rPr>
                      <w:rFonts w:ascii="Times New Roman" w:eastAsia="FangSong" w:hAnsi="Times New Roman"/>
                      <w:sz w:val="24"/>
                      <w:szCs w:val="24"/>
                    </w:rPr>
                    <w:t>5-10</w:t>
                  </w:r>
                  <w:r w:rsidR="00DB22D1" w:rsidRPr="00FB52B1">
                    <w:rPr>
                      <w:rFonts w:ascii="Times New Roman" w:eastAsia="FangSong" w:hAnsi="Times New Roman"/>
                      <w:sz w:val="24"/>
                      <w:szCs w:val="24"/>
                    </w:rPr>
                    <w:t>%</w:t>
                  </w:r>
                  <w:r w:rsidR="00DB22D1" w:rsidRPr="00FB52B1">
                    <w:rPr>
                      <w:rFonts w:ascii="Times New Roman" w:eastAsia="FangSong" w:hAnsi="Times New Roman"/>
                      <w:sz w:val="24"/>
                      <w:szCs w:val="24"/>
                    </w:rPr>
                    <w:t>）</w:t>
                  </w:r>
                </w:p>
                <w:p w14:paraId="2731A75F" w14:textId="1337BD57" w:rsidR="00AF368A" w:rsidRDefault="008F239E" w:rsidP="00EE507C">
                  <w:pPr>
                    <w:jc w:val="left"/>
                    <w:rPr>
                      <w:rFonts w:ascii="Times New Roman" w:eastAsia="FangSong" w:hAnsi="Times New Roman"/>
                      <w:sz w:val="24"/>
                      <w:szCs w:val="24"/>
                    </w:rPr>
                  </w:pPr>
                  <w:r w:rsidRPr="008F239E">
                    <w:rPr>
                      <w:rFonts w:ascii="Times New Roman" w:eastAsia="FangSong" w:hAnsi="Times New Roman" w:hint="eastAsia"/>
                      <w:sz w:val="24"/>
                      <w:szCs w:val="24"/>
                    </w:rPr>
                    <w:t>东博资本</w:t>
                  </w:r>
                  <w:r w:rsidR="00C7739E" w:rsidRPr="00FB52B1">
                    <w:rPr>
                      <w:rFonts w:ascii="Times New Roman" w:eastAsia="FangSong" w:hAnsi="Times New Roman"/>
                      <w:sz w:val="24"/>
                      <w:szCs w:val="24"/>
                    </w:rPr>
                    <w:t>（</w:t>
                  </w:r>
                  <w:r w:rsidR="00C7739E" w:rsidRPr="00FB52B1">
                    <w:rPr>
                      <w:rFonts w:ascii="Times New Roman" w:eastAsia="FangSong" w:hAnsi="Times New Roman"/>
                      <w:sz w:val="24"/>
                      <w:szCs w:val="24"/>
                    </w:rPr>
                    <w:t>0%</w:t>
                  </w:r>
                  <w:r w:rsidR="00C7739E" w:rsidRPr="00FB52B1">
                    <w:rPr>
                      <w:rFonts w:ascii="Times New Roman" w:eastAsia="FangSong" w:hAnsi="Times New Roman"/>
                      <w:sz w:val="24"/>
                      <w:szCs w:val="24"/>
                    </w:rPr>
                    <w:t>）</w:t>
                  </w:r>
                </w:p>
                <w:p w14:paraId="2731A760" w14:textId="0AEA9295" w:rsidR="00C7739E" w:rsidRDefault="008F239E" w:rsidP="00EE507C">
                  <w:pPr>
                    <w:jc w:val="left"/>
                    <w:rPr>
                      <w:rFonts w:ascii="Times New Roman" w:eastAsia="FangSong" w:hAnsi="Times New Roman"/>
                      <w:sz w:val="24"/>
                      <w:szCs w:val="24"/>
                    </w:rPr>
                  </w:pPr>
                  <w:r w:rsidRPr="008F239E">
                    <w:rPr>
                      <w:rFonts w:ascii="Times New Roman" w:eastAsia="FangSong" w:hAnsi="Times New Roman"/>
                      <w:color w:val="333333"/>
                      <w:kern w:val="0"/>
                      <w:sz w:val="24"/>
                      <w:szCs w:val="24"/>
                      <w:bdr w:val="none" w:sz="0" w:space="0" w:color="auto" w:frame="1"/>
                    </w:rPr>
                    <w:t>Black Crystal</w:t>
                  </w:r>
                  <w:r w:rsidR="00C7739E" w:rsidRPr="00FB52B1">
                    <w:rPr>
                      <w:rFonts w:ascii="Times New Roman" w:eastAsia="FangSong" w:hAnsi="Times New Roman"/>
                      <w:sz w:val="24"/>
                      <w:szCs w:val="24"/>
                    </w:rPr>
                    <w:t>（</w:t>
                  </w:r>
                  <w:r w:rsidR="00C7739E" w:rsidRPr="00FB52B1">
                    <w:rPr>
                      <w:rFonts w:ascii="Times New Roman" w:eastAsia="FangSong" w:hAnsi="Times New Roman"/>
                      <w:sz w:val="24"/>
                      <w:szCs w:val="24"/>
                    </w:rPr>
                    <w:t>0%</w:t>
                  </w:r>
                  <w:r w:rsidR="00C7739E" w:rsidRPr="00FB52B1">
                    <w:rPr>
                      <w:rFonts w:ascii="Times New Roman" w:eastAsia="FangSong" w:hAnsi="Times New Roman"/>
                      <w:sz w:val="24"/>
                      <w:szCs w:val="24"/>
                    </w:rPr>
                    <w:t>）</w:t>
                  </w:r>
                </w:p>
                <w:p w14:paraId="2731A761" w14:textId="0AB5313C" w:rsidR="00C7739E" w:rsidRDefault="008F239E" w:rsidP="00EE507C">
                  <w:pPr>
                    <w:jc w:val="left"/>
                    <w:rPr>
                      <w:rFonts w:ascii="Times New Roman" w:eastAsia="FangSong" w:hAnsi="Times New Roman"/>
                      <w:sz w:val="24"/>
                      <w:szCs w:val="24"/>
                    </w:rPr>
                  </w:pPr>
                  <w:r w:rsidRPr="008F239E">
                    <w:rPr>
                      <w:rFonts w:ascii="Times New Roman" w:eastAsia="FangSong" w:hAnsi="Times New Roman" w:hint="eastAsia"/>
                      <w:color w:val="333333"/>
                      <w:kern w:val="0"/>
                      <w:sz w:val="24"/>
                      <w:szCs w:val="24"/>
                      <w:bdr w:val="none" w:sz="0" w:space="0" w:color="auto" w:frame="1"/>
                    </w:rPr>
                    <w:t>传纮投资</w:t>
                  </w:r>
                  <w:r w:rsidR="00C7739E" w:rsidRPr="00FB52B1">
                    <w:rPr>
                      <w:rFonts w:ascii="Times New Roman" w:eastAsia="FangSong" w:hAnsi="Times New Roman"/>
                      <w:sz w:val="24"/>
                      <w:szCs w:val="24"/>
                    </w:rPr>
                    <w:t>（</w:t>
                  </w:r>
                  <w:r w:rsidR="00C7739E" w:rsidRPr="00FB52B1">
                    <w:rPr>
                      <w:rFonts w:ascii="Times New Roman" w:eastAsia="FangSong" w:hAnsi="Times New Roman"/>
                      <w:sz w:val="24"/>
                      <w:szCs w:val="24"/>
                    </w:rPr>
                    <w:t>0%</w:t>
                  </w:r>
                  <w:r w:rsidR="00C7739E" w:rsidRPr="00FB52B1">
                    <w:rPr>
                      <w:rFonts w:ascii="Times New Roman" w:eastAsia="FangSong" w:hAnsi="Times New Roman"/>
                      <w:sz w:val="24"/>
                      <w:szCs w:val="24"/>
                    </w:rPr>
                    <w:t>）</w:t>
                  </w:r>
                </w:p>
                <w:p w14:paraId="2731A764" w14:textId="67B55573" w:rsidR="00C7739E" w:rsidRPr="00FB52B1" w:rsidRDefault="008F239E" w:rsidP="00EE507C">
                  <w:pPr>
                    <w:jc w:val="left"/>
                    <w:rPr>
                      <w:rFonts w:ascii="Times New Roman" w:eastAsia="FangSong" w:hAnsi="Times New Roman"/>
                      <w:sz w:val="24"/>
                      <w:szCs w:val="24"/>
                    </w:rPr>
                  </w:pPr>
                  <w:r w:rsidRPr="008F239E">
                    <w:rPr>
                      <w:rFonts w:ascii="Times New Roman" w:eastAsia="FangSong" w:hAnsi="Times New Roman"/>
                      <w:color w:val="333333"/>
                      <w:kern w:val="0"/>
                      <w:sz w:val="24"/>
                      <w:szCs w:val="24"/>
                      <w:bdr w:val="none" w:sz="0" w:space="0" w:color="auto" w:frame="1"/>
                    </w:rPr>
                    <w:t>Champion Crest</w:t>
                  </w:r>
                  <w:r w:rsidR="00C7739E" w:rsidRPr="00FB52B1">
                    <w:rPr>
                      <w:rFonts w:ascii="Times New Roman" w:eastAsia="FangSong" w:hAnsi="Times New Roman"/>
                      <w:sz w:val="24"/>
                      <w:szCs w:val="24"/>
                    </w:rPr>
                    <w:t>（</w:t>
                  </w:r>
                  <w:r w:rsidR="00C7739E" w:rsidRPr="00FB52B1">
                    <w:rPr>
                      <w:rFonts w:ascii="Times New Roman" w:eastAsia="FangSong" w:hAnsi="Times New Roman"/>
                      <w:sz w:val="24"/>
                      <w:szCs w:val="24"/>
                    </w:rPr>
                    <w:t>0%</w:t>
                  </w:r>
                  <w:r w:rsidR="00C7739E" w:rsidRPr="00FB52B1">
                    <w:rPr>
                      <w:rFonts w:ascii="Times New Roman" w:eastAsia="FangSong" w:hAnsi="Times New Roman"/>
                      <w:sz w:val="24"/>
                      <w:szCs w:val="24"/>
                    </w:rPr>
                    <w:t>）</w:t>
                  </w:r>
                </w:p>
              </w:tc>
            </w:tr>
          </w:tbl>
          <w:p w14:paraId="2731A766" w14:textId="77777777" w:rsidR="00CB00DF" w:rsidRPr="00FB52B1" w:rsidRDefault="00CB00DF" w:rsidP="00FC0687">
            <w:pPr>
              <w:spacing w:line="500" w:lineRule="exact"/>
              <w:rPr>
                <w:rFonts w:ascii="Times New Roman" w:eastAsia="FangSong" w:hAnsi="Times New Roman"/>
                <w:color w:val="333333"/>
                <w:kern w:val="0"/>
                <w:sz w:val="24"/>
                <w:szCs w:val="24"/>
                <w:bdr w:val="none" w:sz="0" w:space="0" w:color="auto" w:frame="1"/>
              </w:rPr>
            </w:pPr>
          </w:p>
        </w:tc>
      </w:tr>
    </w:tbl>
    <w:p w14:paraId="2731A768" w14:textId="77777777" w:rsidR="00FC0687" w:rsidRPr="00FB52B1" w:rsidRDefault="00FC0687">
      <w:pPr>
        <w:rPr>
          <w:rFonts w:ascii="Times New Roman" w:eastAsia="FangSong" w:hAnsi="Times New Roman"/>
        </w:rPr>
      </w:pPr>
    </w:p>
    <w:sectPr w:rsidR="00FC0687" w:rsidRPr="00FB52B1" w:rsidSect="00FC068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1A76B" w14:textId="77777777" w:rsidR="00D72010" w:rsidRDefault="00D72010" w:rsidP="005F6056">
      <w:r>
        <w:separator/>
      </w:r>
    </w:p>
  </w:endnote>
  <w:endnote w:type="continuationSeparator" w:id="0">
    <w:p w14:paraId="2731A76C" w14:textId="77777777" w:rsidR="00D72010" w:rsidRDefault="00D72010" w:rsidP="005F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167189"/>
      <w:docPartObj>
        <w:docPartGallery w:val="Page Numbers (Bottom of Page)"/>
        <w:docPartUnique/>
      </w:docPartObj>
    </w:sdtPr>
    <w:sdtEndPr/>
    <w:sdtContent>
      <w:p w14:paraId="2731A76D" w14:textId="77777777" w:rsidR="00FC0687" w:rsidRDefault="002D3632">
        <w:pPr>
          <w:pStyle w:val="a5"/>
          <w:jc w:val="center"/>
        </w:pPr>
        <w:r>
          <w:fldChar w:fldCharType="begin"/>
        </w:r>
        <w:r w:rsidR="00FC0687">
          <w:instrText>PAGE   \* MERGEFORMAT</w:instrText>
        </w:r>
        <w:r>
          <w:fldChar w:fldCharType="separate"/>
        </w:r>
        <w:r w:rsidR="00B35918" w:rsidRPr="00B35918">
          <w:rPr>
            <w:noProof/>
            <w:lang w:val="zh-CN"/>
          </w:rPr>
          <w:t>1</w:t>
        </w:r>
        <w:r>
          <w:fldChar w:fldCharType="end"/>
        </w:r>
      </w:p>
    </w:sdtContent>
  </w:sdt>
  <w:p w14:paraId="2731A76E" w14:textId="77777777" w:rsidR="00FC0687" w:rsidRDefault="00FC06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1A769" w14:textId="77777777" w:rsidR="00D72010" w:rsidRDefault="00D72010" w:rsidP="005F6056">
      <w:r>
        <w:separator/>
      </w:r>
    </w:p>
  </w:footnote>
  <w:footnote w:type="continuationSeparator" w:id="0">
    <w:p w14:paraId="2731A76A" w14:textId="77777777" w:rsidR="00D72010" w:rsidRDefault="00D72010" w:rsidP="005F6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954EB"/>
    <w:multiLevelType w:val="hybridMultilevel"/>
    <w:tmpl w:val="073E114E"/>
    <w:lvl w:ilvl="0" w:tplc="C1928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558604A"/>
    <w:multiLevelType w:val="hybridMultilevel"/>
    <w:tmpl w:val="9752A5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00DF"/>
    <w:rsid w:val="0003150F"/>
    <w:rsid w:val="00037065"/>
    <w:rsid w:val="000D7EBA"/>
    <w:rsid w:val="001164CD"/>
    <w:rsid w:val="001410AA"/>
    <w:rsid w:val="00153528"/>
    <w:rsid w:val="00155717"/>
    <w:rsid w:val="001837A3"/>
    <w:rsid w:val="002C0EA0"/>
    <w:rsid w:val="002D3632"/>
    <w:rsid w:val="00303CD7"/>
    <w:rsid w:val="003425DE"/>
    <w:rsid w:val="00373752"/>
    <w:rsid w:val="0037723B"/>
    <w:rsid w:val="003916CA"/>
    <w:rsid w:val="003B225E"/>
    <w:rsid w:val="003C0AEB"/>
    <w:rsid w:val="003E78D8"/>
    <w:rsid w:val="00476704"/>
    <w:rsid w:val="004863ED"/>
    <w:rsid w:val="004A7830"/>
    <w:rsid w:val="004B73A6"/>
    <w:rsid w:val="004C4BB0"/>
    <w:rsid w:val="004E1E49"/>
    <w:rsid w:val="004F7688"/>
    <w:rsid w:val="004F7C65"/>
    <w:rsid w:val="00513719"/>
    <w:rsid w:val="00581F71"/>
    <w:rsid w:val="005B2E49"/>
    <w:rsid w:val="005E4196"/>
    <w:rsid w:val="005F6056"/>
    <w:rsid w:val="00600D14"/>
    <w:rsid w:val="006059CB"/>
    <w:rsid w:val="00646522"/>
    <w:rsid w:val="006467D8"/>
    <w:rsid w:val="00691DC1"/>
    <w:rsid w:val="0069631B"/>
    <w:rsid w:val="006A531B"/>
    <w:rsid w:val="006F7621"/>
    <w:rsid w:val="006F7693"/>
    <w:rsid w:val="00710140"/>
    <w:rsid w:val="00711D99"/>
    <w:rsid w:val="007A433E"/>
    <w:rsid w:val="007F2275"/>
    <w:rsid w:val="00875A30"/>
    <w:rsid w:val="008F239E"/>
    <w:rsid w:val="00915F0F"/>
    <w:rsid w:val="00940A7A"/>
    <w:rsid w:val="009532DF"/>
    <w:rsid w:val="00997019"/>
    <w:rsid w:val="009A5029"/>
    <w:rsid w:val="009C2CB8"/>
    <w:rsid w:val="009D38D5"/>
    <w:rsid w:val="009E784D"/>
    <w:rsid w:val="00A367BB"/>
    <w:rsid w:val="00A53F26"/>
    <w:rsid w:val="00A9082C"/>
    <w:rsid w:val="00A9380C"/>
    <w:rsid w:val="00AA0CC5"/>
    <w:rsid w:val="00AD631E"/>
    <w:rsid w:val="00AF1C46"/>
    <w:rsid w:val="00AF368A"/>
    <w:rsid w:val="00B16AFE"/>
    <w:rsid w:val="00B35918"/>
    <w:rsid w:val="00B65DD5"/>
    <w:rsid w:val="00BD10B6"/>
    <w:rsid w:val="00C07076"/>
    <w:rsid w:val="00C7739E"/>
    <w:rsid w:val="00C96251"/>
    <w:rsid w:val="00CB00DF"/>
    <w:rsid w:val="00D16F1A"/>
    <w:rsid w:val="00D341B1"/>
    <w:rsid w:val="00D72010"/>
    <w:rsid w:val="00D73C72"/>
    <w:rsid w:val="00DB22D1"/>
    <w:rsid w:val="00DC42E8"/>
    <w:rsid w:val="00E018C4"/>
    <w:rsid w:val="00E0592B"/>
    <w:rsid w:val="00E2303B"/>
    <w:rsid w:val="00E31738"/>
    <w:rsid w:val="00E86786"/>
    <w:rsid w:val="00EC04B9"/>
    <w:rsid w:val="00ED2F80"/>
    <w:rsid w:val="00EE283D"/>
    <w:rsid w:val="00EE507C"/>
    <w:rsid w:val="00F1624E"/>
    <w:rsid w:val="00F32F8A"/>
    <w:rsid w:val="00F810AA"/>
    <w:rsid w:val="00F96049"/>
    <w:rsid w:val="00FB43EC"/>
    <w:rsid w:val="00FB52B1"/>
    <w:rsid w:val="00FB6B40"/>
    <w:rsid w:val="00FC0687"/>
    <w:rsid w:val="00FF4F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31A720"/>
  <w15:docId w15:val="{628E55A3-176C-46BE-BE74-E9B9D76D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0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0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6056"/>
    <w:rPr>
      <w:rFonts w:ascii="Calibri" w:eastAsia="宋体" w:hAnsi="Calibri" w:cs="Times New Roman"/>
      <w:sz w:val="18"/>
      <w:szCs w:val="18"/>
    </w:rPr>
  </w:style>
  <w:style w:type="paragraph" w:styleId="a5">
    <w:name w:val="footer"/>
    <w:basedOn w:val="a"/>
    <w:link w:val="a6"/>
    <w:uiPriority w:val="99"/>
    <w:unhideWhenUsed/>
    <w:rsid w:val="005F6056"/>
    <w:pPr>
      <w:tabs>
        <w:tab w:val="center" w:pos="4153"/>
        <w:tab w:val="right" w:pos="8306"/>
      </w:tabs>
      <w:snapToGrid w:val="0"/>
      <w:jc w:val="left"/>
    </w:pPr>
    <w:rPr>
      <w:sz w:val="18"/>
      <w:szCs w:val="18"/>
    </w:rPr>
  </w:style>
  <w:style w:type="character" w:customStyle="1" w:styleId="a6">
    <w:name w:val="页脚 字符"/>
    <w:basedOn w:val="a0"/>
    <w:link w:val="a5"/>
    <w:uiPriority w:val="99"/>
    <w:rsid w:val="005F6056"/>
    <w:rPr>
      <w:rFonts w:ascii="Calibri" w:eastAsia="宋体" w:hAnsi="Calibri" w:cs="Times New Roman"/>
      <w:sz w:val="18"/>
      <w:szCs w:val="18"/>
    </w:rPr>
  </w:style>
  <w:style w:type="paragraph" w:styleId="a7">
    <w:name w:val="Balloon Text"/>
    <w:basedOn w:val="a"/>
    <w:link w:val="a8"/>
    <w:uiPriority w:val="99"/>
    <w:semiHidden/>
    <w:unhideWhenUsed/>
    <w:rsid w:val="004B73A6"/>
    <w:rPr>
      <w:sz w:val="18"/>
      <w:szCs w:val="18"/>
    </w:rPr>
  </w:style>
  <w:style w:type="character" w:customStyle="1" w:styleId="a8">
    <w:name w:val="批注框文本 字符"/>
    <w:basedOn w:val="a0"/>
    <w:link w:val="a7"/>
    <w:uiPriority w:val="99"/>
    <w:semiHidden/>
    <w:rsid w:val="004B73A6"/>
    <w:rPr>
      <w:rFonts w:ascii="Calibri" w:eastAsia="宋体" w:hAnsi="Calibri" w:cs="Times New Roman"/>
      <w:sz w:val="18"/>
      <w:szCs w:val="18"/>
    </w:rPr>
  </w:style>
  <w:style w:type="table" w:styleId="a9">
    <w:name w:val="Table Grid"/>
    <w:basedOn w:val="a1"/>
    <w:uiPriority w:val="39"/>
    <w:rsid w:val="00DB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B22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E804F2D7B28DEC47A661E4368ED65EE2" ma:contentTypeVersion="0" ma:contentTypeDescription="新建文档。" ma:contentTypeScope="" ma:versionID="4064c62fce67f6526836f963f481b09a">
  <xsd:schema xmlns:xsd="http://www.w3.org/2001/XMLSchema" xmlns:xs="http://www.w3.org/2001/XMLSchema" xmlns:p="http://schemas.microsoft.com/office/2006/metadata/properties" targetNamespace="http://schemas.microsoft.com/office/2006/metadata/properties" ma:root="true" ma:fieldsID="098174291e8f3d95cf9adbf94dab92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A7BDD-594C-4B46-BC68-26ACEC0C4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42B3CD-F5E6-49A9-9A9C-8FC3377681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A0C93B0-B885-4C89-B7DF-C962913113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ZL</cp:lastModifiedBy>
  <cp:revision>70</cp:revision>
  <dcterms:created xsi:type="dcterms:W3CDTF">2018-09-29T02:33:00Z</dcterms:created>
  <dcterms:modified xsi:type="dcterms:W3CDTF">2021-07-19T15:18:00Z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0x010100E804F2D7B28DEC47A661E4368ED65EE2</vt:lpwstr>
  </property>
</Properties>
</file>