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黑体" w:hAnsi="Times New Roman" w:eastAsia="黑体" w:cs="Times New Roman"/>
          <w:sz w:val="30"/>
          <w:szCs w:val="30"/>
        </w:rPr>
      </w:pPr>
      <w:r>
        <w:rPr>
          <w:rFonts w:hint="eastAsia" w:ascii="黑体" w:hAnsi="Times New Roman" w:eastAsia="黑体" w:cs="Times New Roman"/>
          <w:sz w:val="30"/>
          <w:szCs w:val="30"/>
        </w:rPr>
        <w:t>经营者集中简易案件公示表</w:t>
      </w:r>
    </w:p>
    <w:p>
      <w:pPr>
        <w:spacing w:line="440" w:lineRule="exact"/>
        <w:rPr>
          <w:rFonts w:ascii="仿宋_GB2312" w:hAnsi="Times New Roman" w:eastAsia="仿宋_GB2312" w:cs="Times New Roman"/>
          <w:sz w:val="28"/>
          <w:szCs w:val="28"/>
        </w:rPr>
      </w:pPr>
    </w:p>
    <w:tbl>
      <w:tblPr>
        <w:tblStyle w:val="7"/>
        <w:tblW w:w="847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1937"/>
        <w:gridCol w:w="4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3" w:type="dxa"/>
            <w:shd w:val="clear" w:color="auto" w:fill="D9D9D9"/>
            <w:vAlign w:val="center"/>
          </w:tcPr>
          <w:p>
            <w:pPr>
              <w:widowControl/>
              <w:snapToGrid w:val="0"/>
              <w:spacing w:before="156" w:beforeLines="50" w:after="156" w:afterLines="50" w:line="400" w:lineRule="exact"/>
              <w:jc w:val="center"/>
              <w:rPr>
                <w:rFonts w:ascii="Times New Roman" w:hAnsi="宋体" w:eastAsia="宋体" w:cs="Times New Roman"/>
                <w:sz w:val="24"/>
                <w:szCs w:val="24"/>
              </w:rPr>
            </w:pPr>
            <w:r>
              <w:rPr>
                <w:rFonts w:ascii="Times New Roman" w:hAnsi="宋体" w:eastAsia="宋体" w:cs="Times New Roman"/>
                <w:sz w:val="24"/>
                <w:szCs w:val="24"/>
              </w:rPr>
              <w:t>案件名称</w:t>
            </w:r>
          </w:p>
        </w:tc>
        <w:tc>
          <w:tcPr>
            <w:tcW w:w="6804" w:type="dxa"/>
            <w:gridSpan w:val="2"/>
            <w:vAlign w:val="center"/>
          </w:tcPr>
          <w:p>
            <w:pPr>
              <w:widowControl/>
              <w:snapToGrid w:val="0"/>
              <w:spacing w:before="156" w:beforeLines="50" w:after="156" w:afterLines="50" w:line="400" w:lineRule="exact"/>
              <w:rPr>
                <w:rFonts w:ascii="Times New Roman" w:hAnsi="宋体" w:eastAsia="宋体" w:cs="Times New Roman"/>
                <w:sz w:val="24"/>
                <w:szCs w:val="24"/>
              </w:rPr>
            </w:pPr>
            <w:r>
              <w:rPr>
                <w:rFonts w:hint="eastAsia" w:ascii="Times New Roman" w:hAnsi="宋体" w:eastAsia="宋体" w:cs="Times New Roman"/>
                <w:sz w:val="24"/>
                <w:szCs w:val="24"/>
              </w:rPr>
              <w:t>普洛斯中国控股有限公司与中邮资本管理有限公司新设合营企业案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trPr>
        <w:tc>
          <w:tcPr>
            <w:tcW w:w="1673" w:type="dxa"/>
            <w:shd w:val="clear" w:color="auto" w:fill="D9D9D9"/>
            <w:vAlign w:val="center"/>
          </w:tcPr>
          <w:p>
            <w:pPr>
              <w:widowControl/>
              <w:snapToGrid w:val="0"/>
              <w:spacing w:before="156" w:beforeLines="50" w:after="156" w:afterLines="50" w:line="400" w:lineRule="exact"/>
              <w:rPr>
                <w:rFonts w:ascii="Times New Roman" w:hAnsi="宋体" w:eastAsia="宋体" w:cs="Times New Roman"/>
                <w:sz w:val="24"/>
                <w:szCs w:val="24"/>
              </w:rPr>
            </w:pPr>
            <w:r>
              <w:rPr>
                <w:rFonts w:ascii="Times New Roman" w:hAnsi="宋体" w:eastAsia="宋体" w:cs="Times New Roman"/>
                <w:sz w:val="24"/>
                <w:szCs w:val="24"/>
              </w:rPr>
              <w:t>交易概况（限200字内）</w:t>
            </w:r>
          </w:p>
        </w:tc>
        <w:tc>
          <w:tcPr>
            <w:tcW w:w="6804" w:type="dxa"/>
            <w:gridSpan w:val="2"/>
            <w:vAlign w:val="center"/>
          </w:tcPr>
          <w:p>
            <w:pPr>
              <w:widowControl/>
              <w:snapToGrid w:val="0"/>
              <w:spacing w:before="156" w:beforeLines="50" w:after="156" w:afterLines="50" w:line="400" w:lineRule="exact"/>
              <w:rPr>
                <w:rFonts w:ascii="Times New Roman" w:hAnsi="宋体" w:eastAsia="宋体" w:cs="Times New Roman"/>
                <w:bCs/>
                <w:sz w:val="24"/>
                <w:szCs w:val="24"/>
              </w:rPr>
            </w:pPr>
            <w:r>
              <w:rPr>
                <w:rFonts w:hint="eastAsia" w:ascii="Times New Roman" w:hAnsi="宋体" w:eastAsia="宋体" w:cs="Times New Roman"/>
                <w:bCs/>
                <w:sz w:val="24"/>
                <w:szCs w:val="24"/>
              </w:rPr>
              <w:t>普洛斯中国控股有限公司（“普洛斯公司”）</w:t>
            </w:r>
            <w:r>
              <w:rPr>
                <w:rFonts w:ascii="Times New Roman" w:hAnsi="宋体" w:eastAsia="宋体" w:cs="Times New Roman"/>
                <w:bCs/>
                <w:sz w:val="24"/>
                <w:szCs w:val="24"/>
              </w:rPr>
              <w:t>拟通过其控制的关联实体</w:t>
            </w:r>
            <w:r>
              <w:rPr>
                <w:rFonts w:hint="eastAsia" w:ascii="Times New Roman" w:hAnsi="宋体" w:eastAsia="宋体" w:cs="Times New Roman"/>
                <w:bCs/>
                <w:sz w:val="24"/>
                <w:szCs w:val="24"/>
              </w:rPr>
              <w:t>和中邮资本管理有限公司（“中邮资本公司”）</w:t>
            </w:r>
            <w:r>
              <w:rPr>
                <w:rFonts w:ascii="Times New Roman" w:hAnsi="宋体" w:eastAsia="宋体" w:cs="Times New Roman"/>
                <w:bCs/>
                <w:sz w:val="24"/>
                <w:szCs w:val="24"/>
              </w:rPr>
              <w:t>新设一家合营企业</w:t>
            </w:r>
            <w:r>
              <w:rPr>
                <w:rFonts w:hint="eastAsia" w:ascii="Times New Roman" w:hAnsi="宋体" w:eastAsia="宋体" w:cs="Times New Roman"/>
                <w:bCs/>
                <w:sz w:val="24"/>
                <w:szCs w:val="24"/>
              </w:rPr>
              <w:t>（“合营企业”），并合作发起设立私募基金（“合作基金”，新设合营企业和设立合作基金作为一次经营者集中）。交易完成后，普洛斯公司和中邮资本公司将分别持有占合营企业注册资本</w:t>
            </w:r>
            <w:r>
              <w:rPr>
                <w:rFonts w:ascii="Times New Roman" w:hAnsi="宋体" w:eastAsia="宋体" w:cs="Times New Roman"/>
                <w:bCs/>
                <w:sz w:val="24"/>
                <w:szCs w:val="24"/>
              </w:rPr>
              <w:t>50%的股权，并共同控制</w:t>
            </w:r>
            <w:r>
              <w:rPr>
                <w:rFonts w:hint="eastAsia" w:ascii="Times New Roman" w:hAnsi="宋体" w:eastAsia="宋体" w:cs="Times New Roman"/>
                <w:bCs/>
                <w:sz w:val="24"/>
                <w:szCs w:val="24"/>
              </w:rPr>
              <w:t>合营企业和合作基金。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673" w:type="dxa"/>
            <w:vMerge w:val="restart"/>
            <w:shd w:val="clear" w:color="auto" w:fill="D9D9D9"/>
            <w:vAlign w:val="center"/>
          </w:tcPr>
          <w:p>
            <w:pPr>
              <w:spacing w:line="500" w:lineRule="exact"/>
              <w:rPr>
                <w:rFonts w:ascii="Times New Roman" w:hAnsi="Times New Roman" w:eastAsia="宋体" w:cs="Times New Roman"/>
                <w:sz w:val="24"/>
                <w:szCs w:val="24"/>
              </w:rPr>
            </w:pPr>
            <w:r>
              <w:rPr>
                <w:rFonts w:ascii="Times New Roman" w:hAnsi="宋体" w:eastAsia="宋体" w:cs="Times New Roman"/>
                <w:sz w:val="24"/>
                <w:szCs w:val="24"/>
              </w:rPr>
              <w:t>参与集中的经营者简介</w:t>
            </w:r>
          </w:p>
        </w:tc>
        <w:tc>
          <w:tcPr>
            <w:tcW w:w="1937" w:type="dxa"/>
            <w:vAlign w:val="center"/>
          </w:tcPr>
          <w:p>
            <w:pPr>
              <w:spacing w:before="156" w:beforeLines="50" w:after="156" w:afterLines="50" w:line="400" w:lineRule="exact"/>
              <w:rPr>
                <w:rFonts w:ascii="Times New Roman" w:hAnsi="Times New Roman" w:eastAsia="宋体" w:cs="Times New Roman"/>
                <w:sz w:val="24"/>
                <w:szCs w:val="24"/>
              </w:rPr>
            </w:pPr>
            <w:r>
              <w:rPr>
                <w:rFonts w:hint="eastAsia" w:ascii="Times New Roman" w:hAnsi="宋体" w:eastAsia="宋体" w:cs="Times New Roman"/>
                <w:sz w:val="24"/>
                <w:szCs w:val="24"/>
              </w:rPr>
              <w:t>普洛斯公司</w:t>
            </w:r>
          </w:p>
        </w:tc>
        <w:tc>
          <w:tcPr>
            <w:tcW w:w="4867" w:type="dxa"/>
            <w:vAlign w:val="center"/>
          </w:tcPr>
          <w:p>
            <w:pPr>
              <w:spacing w:before="156" w:beforeLines="50" w:after="156" w:afterLines="50" w:line="400" w:lineRule="exact"/>
              <w:rPr>
                <w:rFonts w:ascii="Times New Roman" w:hAnsi="Times New Roman" w:eastAsia="宋体" w:cs="Times New Roman"/>
                <w:sz w:val="24"/>
                <w:szCs w:val="24"/>
              </w:rPr>
            </w:pPr>
            <w:r>
              <w:rPr>
                <w:rFonts w:hint="eastAsia" w:ascii="Times New Roman" w:hAnsi="宋体" w:eastAsia="宋体" w:cs="Times New Roman"/>
                <w:sz w:val="24"/>
                <w:szCs w:val="24"/>
              </w:rPr>
              <w:t>普洛斯公司是一家依据香港法律成立的有限责任公司，在中国境内的主要业务为通用仓储设施的开发及租赁。同时，普洛斯公司还经营通用厂房和研发办公楼的开发及租赁业务。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1673" w:type="dxa"/>
            <w:vMerge w:val="continue"/>
            <w:shd w:val="clear" w:color="auto" w:fill="D9D9D9"/>
          </w:tcPr>
          <w:p>
            <w:pPr>
              <w:spacing w:line="500" w:lineRule="exact"/>
              <w:rPr>
                <w:rFonts w:ascii="Times New Roman" w:hAnsi="Times New Roman" w:eastAsia="宋体" w:cs="Times New Roman"/>
                <w:sz w:val="24"/>
                <w:szCs w:val="24"/>
              </w:rPr>
            </w:pPr>
          </w:p>
        </w:tc>
        <w:tc>
          <w:tcPr>
            <w:tcW w:w="1937" w:type="dxa"/>
            <w:vAlign w:val="center"/>
          </w:tcPr>
          <w:p>
            <w:pPr>
              <w:spacing w:before="156" w:beforeLines="50" w:after="156" w:afterLines="50" w:line="400" w:lineRule="exact"/>
              <w:rPr>
                <w:rFonts w:ascii="Times New Roman" w:hAnsi="Times New Roman" w:eastAsia="宋体" w:cs="Times New Roman"/>
                <w:sz w:val="24"/>
                <w:szCs w:val="24"/>
              </w:rPr>
            </w:pPr>
            <w:r>
              <w:rPr>
                <w:rFonts w:hint="eastAsia" w:ascii="Times New Roman" w:hAnsi="宋体" w:eastAsia="宋体" w:cs="Times New Roman"/>
                <w:bCs/>
                <w:sz w:val="24"/>
                <w:szCs w:val="24"/>
              </w:rPr>
              <w:t>中邮资本公司</w:t>
            </w:r>
          </w:p>
        </w:tc>
        <w:tc>
          <w:tcPr>
            <w:tcW w:w="4867" w:type="dxa"/>
            <w:vAlign w:val="center"/>
          </w:tcPr>
          <w:p>
            <w:pPr>
              <w:spacing w:before="156" w:beforeLines="50" w:after="156" w:afterLines="50" w:line="400" w:lineRule="exact"/>
              <w:rPr>
                <w:rFonts w:ascii="Times New Roman" w:hAnsi="宋体" w:eastAsia="宋体" w:cs="Times New Roman"/>
                <w:sz w:val="24"/>
                <w:szCs w:val="24"/>
              </w:rPr>
            </w:pPr>
            <w:r>
              <w:rPr>
                <w:rFonts w:hint="eastAsia" w:ascii="Times New Roman" w:hAnsi="宋体" w:eastAsia="宋体" w:cs="Times New Roman"/>
                <w:sz w:val="24"/>
                <w:szCs w:val="24"/>
              </w:rPr>
              <w:t>中邮资本公司是一家依据中国法律在北京市注册成立的有限责任公司，主营业务包括直接股权投资、私募股权投资基金等。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673" w:type="dxa"/>
            <w:vMerge w:val="restart"/>
            <w:shd w:val="clear" w:color="auto" w:fill="D9D9D9"/>
            <w:vAlign w:val="center"/>
          </w:tcPr>
          <w:p>
            <w:pPr>
              <w:spacing w:line="500" w:lineRule="exact"/>
              <w:rPr>
                <w:rFonts w:ascii="Times New Roman" w:hAnsi="Times New Roman" w:eastAsia="宋体" w:cs="Times New Roman"/>
                <w:sz w:val="24"/>
                <w:szCs w:val="24"/>
              </w:rPr>
            </w:pPr>
            <w:r>
              <w:rPr>
                <w:rFonts w:ascii="Times New Roman" w:hAnsi="宋体" w:eastAsia="宋体" w:cs="Times New Roman"/>
                <w:sz w:val="24"/>
                <w:szCs w:val="24"/>
              </w:rPr>
              <w:t>简易案件理由（可多选）</w:t>
            </w:r>
          </w:p>
        </w:tc>
        <w:tc>
          <w:tcPr>
            <w:tcW w:w="6804" w:type="dxa"/>
            <w:gridSpan w:val="2"/>
          </w:tcPr>
          <w:p>
            <w:pPr>
              <w:spacing w:before="156" w:beforeLines="50" w:after="156" w:afterLines="50" w:line="400" w:lineRule="exact"/>
              <w:rPr>
                <w:rFonts w:ascii="Times New Roman" w:hAnsi="Times New Roman" w:eastAsia="宋体" w:cs="Times New Roman"/>
                <w:sz w:val="24"/>
                <w:szCs w:val="24"/>
              </w:rPr>
            </w:pPr>
            <w:r>
              <w:rPr>
                <w:rFonts w:ascii="Times New Roman" w:hAnsi="Times New Roman" w:eastAsia="宋体" w:cs="Times New Roman"/>
                <w:sz w:val="24"/>
                <w:szCs w:val="24"/>
              </w:rPr>
              <w:sym w:font="Wingdings" w:char="F0FE"/>
            </w:r>
            <w:r>
              <w:rPr>
                <w:rFonts w:ascii="Times New Roman" w:hAnsi="Times New Roman" w:eastAsia="宋体" w:cs="Times New Roman"/>
                <w:sz w:val="24"/>
                <w:szCs w:val="24"/>
              </w:rPr>
              <w:t>1、</w:t>
            </w:r>
            <w:r>
              <w:rPr>
                <w:rFonts w:ascii="Times New Roman" w:hAnsi="宋体" w:eastAsia="宋体" w:cs="Times New Roman"/>
                <w:sz w:val="24"/>
                <w:szCs w:val="24"/>
              </w:rPr>
              <w:t>在同一相关市场，所有参与集中的经营者所占市场份额之和小于</w:t>
            </w:r>
            <w:r>
              <w:rPr>
                <w:rFonts w:ascii="Times New Roman" w:hAnsi="Times New Roman" w:eastAsia="宋体" w:cs="Times New Roman"/>
                <w:sz w:val="24"/>
                <w:szCs w:val="24"/>
              </w:rPr>
              <w:t>15%</w:t>
            </w:r>
            <w:r>
              <w:rPr>
                <w:rFonts w:ascii="Times New Roman" w:hAnsi="宋体"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673" w:type="dxa"/>
            <w:vMerge w:val="continue"/>
            <w:shd w:val="clear" w:color="auto" w:fill="D9D9D9"/>
          </w:tcPr>
          <w:p>
            <w:pPr>
              <w:spacing w:line="500" w:lineRule="exact"/>
              <w:rPr>
                <w:rFonts w:ascii="Times New Roman" w:hAnsi="Times New Roman" w:eastAsia="宋体" w:cs="Times New Roman"/>
                <w:sz w:val="24"/>
                <w:szCs w:val="24"/>
              </w:rPr>
            </w:pPr>
          </w:p>
        </w:tc>
        <w:tc>
          <w:tcPr>
            <w:tcW w:w="6804" w:type="dxa"/>
            <w:gridSpan w:val="2"/>
          </w:tcPr>
          <w:p>
            <w:pPr>
              <w:spacing w:before="156" w:beforeLines="50" w:after="156" w:afterLines="50" w:line="400" w:lineRule="exact"/>
              <w:rPr>
                <w:rFonts w:ascii="Times New Roman" w:hAnsi="Times New Roman" w:eastAsia="宋体" w:cs="Times New Roman"/>
                <w:sz w:val="24"/>
                <w:szCs w:val="24"/>
              </w:rPr>
            </w:pPr>
            <w:r>
              <w:rPr>
                <w:rFonts w:ascii="Times New Roman" w:hAnsi="Times New Roman" w:eastAsia="宋体" w:cs="Times New Roman"/>
                <w:sz w:val="24"/>
                <w:szCs w:val="24"/>
              </w:rPr>
              <w:sym w:font="Wingdings" w:char="F0FE"/>
            </w:r>
            <w:r>
              <w:rPr>
                <w:rFonts w:ascii="Times New Roman" w:hAnsi="Times New Roman" w:eastAsia="宋体" w:cs="Times New Roman"/>
                <w:sz w:val="24"/>
                <w:szCs w:val="24"/>
              </w:rPr>
              <w:t>2</w:t>
            </w:r>
            <w:r>
              <w:rPr>
                <w:rFonts w:ascii="Times New Roman" w:hAnsi="宋体" w:eastAsia="宋体" w:cs="Times New Roman"/>
                <w:sz w:val="24"/>
                <w:szCs w:val="24"/>
              </w:rPr>
              <w:t>、存在上下游关系的参与集中的经营者，在上下游市场所占的市场份额均小于</w:t>
            </w:r>
            <w:r>
              <w:rPr>
                <w:rFonts w:ascii="Times New Roman" w:hAnsi="Times New Roman" w:eastAsia="宋体" w:cs="Times New Roman"/>
                <w:sz w:val="24"/>
                <w:szCs w:val="24"/>
              </w:rPr>
              <w:t>25%</w:t>
            </w:r>
            <w:r>
              <w:rPr>
                <w:rFonts w:ascii="Times New Roman" w:hAnsi="宋体"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673" w:type="dxa"/>
            <w:vMerge w:val="continue"/>
            <w:shd w:val="clear" w:color="auto" w:fill="D9D9D9"/>
          </w:tcPr>
          <w:p>
            <w:pPr>
              <w:spacing w:line="500" w:lineRule="exact"/>
              <w:rPr>
                <w:rFonts w:ascii="Times New Roman" w:hAnsi="Times New Roman" w:eastAsia="宋体" w:cs="Times New Roman"/>
                <w:sz w:val="24"/>
                <w:szCs w:val="24"/>
              </w:rPr>
            </w:pPr>
          </w:p>
        </w:tc>
        <w:tc>
          <w:tcPr>
            <w:tcW w:w="6804" w:type="dxa"/>
            <w:gridSpan w:val="2"/>
          </w:tcPr>
          <w:p>
            <w:pPr>
              <w:spacing w:before="156" w:beforeLines="50" w:after="156" w:afterLines="50" w:line="400" w:lineRule="exact"/>
              <w:rPr>
                <w:rFonts w:ascii="Times New Roman" w:hAnsi="Times New Roman" w:eastAsia="宋体" w:cs="Times New Roman"/>
                <w:sz w:val="24"/>
                <w:szCs w:val="24"/>
              </w:rPr>
            </w:pPr>
            <w:r>
              <w:rPr>
                <w:rFonts w:ascii="Times New Roman" w:hAnsi="Times New Roman" w:eastAsia="宋体" w:cs="Times New Roman"/>
                <w:sz w:val="36"/>
                <w:szCs w:val="36"/>
              </w:rPr>
              <w:t>□</w:t>
            </w:r>
            <w:r>
              <w:rPr>
                <w:rFonts w:ascii="Times New Roman" w:hAnsi="Times New Roman" w:eastAsia="宋体" w:cs="Times New Roman"/>
                <w:sz w:val="24"/>
                <w:szCs w:val="24"/>
              </w:rPr>
              <w:t>3</w:t>
            </w:r>
            <w:r>
              <w:rPr>
                <w:rFonts w:ascii="Times New Roman" w:hAnsi="宋体" w:eastAsia="宋体" w:cs="Times New Roman"/>
                <w:sz w:val="24"/>
                <w:szCs w:val="24"/>
              </w:rPr>
              <w:t>、不在同一相关市场、也不存在上下游关系的参与集中的经营者，在与交易有关的每个市场所占的份额均小于</w:t>
            </w:r>
            <w:r>
              <w:rPr>
                <w:rFonts w:ascii="Times New Roman" w:hAnsi="Times New Roman" w:eastAsia="宋体" w:cs="Times New Roman"/>
                <w:sz w:val="24"/>
                <w:szCs w:val="24"/>
              </w:rPr>
              <w:t>25%</w:t>
            </w:r>
            <w:r>
              <w:rPr>
                <w:rFonts w:ascii="Times New Roman" w:hAnsi="宋体"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673" w:type="dxa"/>
            <w:vMerge w:val="continue"/>
            <w:shd w:val="clear" w:color="auto" w:fill="D9D9D9"/>
          </w:tcPr>
          <w:p>
            <w:pPr>
              <w:spacing w:line="500" w:lineRule="exact"/>
              <w:rPr>
                <w:rFonts w:ascii="Times New Roman" w:hAnsi="Times New Roman" w:eastAsia="宋体" w:cs="Times New Roman"/>
                <w:sz w:val="24"/>
                <w:szCs w:val="24"/>
              </w:rPr>
            </w:pPr>
          </w:p>
        </w:tc>
        <w:tc>
          <w:tcPr>
            <w:tcW w:w="6804" w:type="dxa"/>
            <w:gridSpan w:val="2"/>
          </w:tcPr>
          <w:p>
            <w:pPr>
              <w:spacing w:before="156" w:beforeLines="50" w:after="156" w:afterLines="50" w:line="400" w:lineRule="exact"/>
              <w:rPr>
                <w:rFonts w:ascii="Times New Roman" w:hAnsi="Times New Roman" w:eastAsia="宋体" w:cs="Times New Roman"/>
                <w:sz w:val="24"/>
                <w:szCs w:val="24"/>
              </w:rPr>
            </w:pPr>
            <w:r>
              <w:rPr>
                <w:rFonts w:ascii="Times New Roman" w:hAnsi="Times New Roman" w:eastAsia="宋体" w:cs="Times New Roman"/>
                <w:sz w:val="36"/>
                <w:szCs w:val="36"/>
              </w:rPr>
              <w:t>□</w:t>
            </w:r>
            <w:r>
              <w:rPr>
                <w:rFonts w:ascii="Times New Roman" w:hAnsi="Times New Roman" w:eastAsia="宋体" w:cs="Times New Roman"/>
                <w:sz w:val="24"/>
                <w:szCs w:val="24"/>
              </w:rPr>
              <w:t>4</w:t>
            </w:r>
            <w:r>
              <w:rPr>
                <w:rFonts w:ascii="Times New Roman" w:hAnsi="宋体" w:eastAsia="宋体" w:cs="Times New Roman"/>
                <w:sz w:val="24"/>
                <w:szCs w:val="24"/>
              </w:rPr>
              <w:t>、参与集中的经营者在中国境外设立合营企业，合营企业不在中国境内从事经济活动。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673" w:type="dxa"/>
            <w:vMerge w:val="continue"/>
            <w:shd w:val="clear" w:color="auto" w:fill="D9D9D9"/>
          </w:tcPr>
          <w:p>
            <w:pPr>
              <w:spacing w:line="500" w:lineRule="exact"/>
              <w:rPr>
                <w:rFonts w:ascii="Times New Roman" w:hAnsi="Times New Roman" w:eastAsia="宋体" w:cs="Times New Roman"/>
                <w:sz w:val="24"/>
                <w:szCs w:val="24"/>
              </w:rPr>
            </w:pPr>
          </w:p>
        </w:tc>
        <w:tc>
          <w:tcPr>
            <w:tcW w:w="6804" w:type="dxa"/>
            <w:gridSpan w:val="2"/>
          </w:tcPr>
          <w:p>
            <w:pPr>
              <w:spacing w:before="156" w:beforeLines="50" w:after="156" w:afterLines="50" w:line="400" w:lineRule="exact"/>
              <w:rPr>
                <w:rFonts w:ascii="Times New Roman" w:hAnsi="Times New Roman" w:eastAsia="宋体" w:cs="Times New Roman"/>
                <w:sz w:val="24"/>
                <w:szCs w:val="24"/>
              </w:rPr>
            </w:pPr>
            <w:r>
              <w:rPr>
                <w:rFonts w:ascii="Times New Roman" w:hAnsi="Times New Roman" w:eastAsia="宋体" w:cs="Times New Roman"/>
                <w:sz w:val="36"/>
                <w:szCs w:val="36"/>
              </w:rPr>
              <w:t>□</w:t>
            </w:r>
            <w:r>
              <w:rPr>
                <w:rFonts w:ascii="Times New Roman" w:hAnsi="Times New Roman" w:eastAsia="宋体" w:cs="Times New Roman"/>
                <w:sz w:val="24"/>
                <w:szCs w:val="24"/>
              </w:rPr>
              <w:t>5</w:t>
            </w:r>
            <w:r>
              <w:rPr>
                <w:rFonts w:ascii="Times New Roman" w:hAnsi="宋体" w:eastAsia="宋体" w:cs="Times New Roman"/>
                <w:sz w:val="24"/>
                <w:szCs w:val="24"/>
              </w:rPr>
              <w:t>、参与集中的经营者收购境外企业股权或资产的，该境外企业不在中国境内从事经济活动。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673" w:type="dxa"/>
            <w:vMerge w:val="continue"/>
            <w:shd w:val="clear" w:color="auto" w:fill="D9D9D9"/>
          </w:tcPr>
          <w:p>
            <w:pPr>
              <w:spacing w:line="500" w:lineRule="exact"/>
              <w:rPr>
                <w:rFonts w:ascii="Times New Roman" w:hAnsi="Times New Roman" w:eastAsia="宋体" w:cs="Times New Roman"/>
                <w:sz w:val="24"/>
                <w:szCs w:val="24"/>
              </w:rPr>
            </w:pPr>
          </w:p>
        </w:tc>
        <w:tc>
          <w:tcPr>
            <w:tcW w:w="6804" w:type="dxa"/>
            <w:gridSpan w:val="2"/>
          </w:tcPr>
          <w:p>
            <w:pPr>
              <w:spacing w:before="156" w:beforeLines="50" w:after="156" w:afterLines="50" w:line="400" w:lineRule="exact"/>
              <w:rPr>
                <w:rFonts w:ascii="Times New Roman" w:hAnsi="Times New Roman" w:eastAsia="宋体" w:cs="Times New Roman"/>
                <w:sz w:val="24"/>
                <w:szCs w:val="24"/>
              </w:rPr>
            </w:pPr>
            <w:r>
              <w:rPr>
                <w:rFonts w:ascii="Times New Roman" w:hAnsi="Times New Roman" w:eastAsia="宋体" w:cs="Times New Roman"/>
                <w:sz w:val="36"/>
                <w:szCs w:val="36"/>
              </w:rPr>
              <w:t>□</w:t>
            </w:r>
            <w:r>
              <w:rPr>
                <w:rFonts w:ascii="Times New Roman" w:hAnsi="Times New Roman" w:eastAsia="宋体" w:cs="Times New Roman"/>
                <w:sz w:val="24"/>
                <w:szCs w:val="24"/>
              </w:rPr>
              <w:t>6</w:t>
            </w:r>
            <w:r>
              <w:rPr>
                <w:rFonts w:ascii="Times New Roman" w:hAnsi="宋体" w:eastAsia="宋体" w:cs="Times New Roman"/>
                <w:sz w:val="24"/>
                <w:szCs w:val="24"/>
              </w:rPr>
              <w:t>、由两个以上的经营者共同控制的合营企业，通过集中被其中一个或一个以上经营者控制。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73" w:type="dxa"/>
            <w:shd w:val="clear" w:color="auto" w:fill="D9D9D9"/>
            <w:vAlign w:val="center"/>
          </w:tcPr>
          <w:p>
            <w:pPr>
              <w:widowControl/>
              <w:snapToGrid w:val="0"/>
              <w:spacing w:before="156" w:beforeLines="50" w:after="156" w:afterLines="50" w:line="4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备注</w:t>
            </w:r>
          </w:p>
        </w:tc>
        <w:tc>
          <w:tcPr>
            <w:tcW w:w="6804" w:type="dxa"/>
            <w:gridSpan w:val="2"/>
          </w:tcPr>
          <w:p>
            <w:pPr>
              <w:spacing w:before="156" w:beforeLines="50" w:after="156" w:afterLines="50" w:line="40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一、本次交易所涉</w:t>
            </w:r>
            <w:r>
              <w:rPr>
                <w:rFonts w:hint="eastAsia" w:ascii="Times New Roman" w:hAnsi="Times New Roman" w:eastAsia="宋体" w:cs="Times New Roman"/>
                <w:sz w:val="24"/>
                <w:szCs w:val="24"/>
                <w:lang w:eastAsia="zh-CN"/>
              </w:rPr>
              <w:t>横向重叠市场</w:t>
            </w:r>
            <w:r>
              <w:rPr>
                <w:rFonts w:hint="eastAsia" w:ascii="Times New Roman" w:hAnsi="Times New Roman" w:eastAsia="宋体" w:cs="Times New Roman"/>
                <w:sz w:val="24"/>
                <w:szCs w:val="24"/>
              </w:rPr>
              <w:t>以及参与集中的经营者在相关市场中的市场份额分别为：</w:t>
            </w:r>
          </w:p>
          <w:tbl>
            <w:tblPr>
              <w:tblStyle w:val="5"/>
              <w:tblW w:w="6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106"/>
              <w:gridCol w:w="1694"/>
              <w:gridCol w:w="1665"/>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Align w:val="center"/>
                </w:tcPr>
                <w:p>
                  <w:pPr>
                    <w:snapToGrid w:val="0"/>
                    <w:spacing w:before="31" w:beforeLines="10" w:after="31" w:afterLines="10"/>
                    <w:jc w:val="center"/>
                    <w:rPr>
                      <w:rFonts w:ascii="Times New Roman" w:hAnsi="Times New Roman" w:eastAsia="宋体" w:cs="Times New Roman"/>
                      <w:sz w:val="24"/>
                      <w:szCs w:val="24"/>
                    </w:rPr>
                  </w:pPr>
                  <w:r>
                    <w:rPr>
                      <w:rFonts w:ascii="宋体" w:hAnsi="宋体" w:eastAsia="宋体" w:cs="Times New Roman"/>
                      <w:sz w:val="24"/>
                      <w:szCs w:val="24"/>
                    </w:rPr>
                    <w:t>商</w:t>
                  </w:r>
                  <w:bookmarkStart w:id="0" w:name="_GoBack"/>
                  <w:bookmarkEnd w:id="0"/>
                  <w:r>
                    <w:rPr>
                      <w:rFonts w:hint="eastAsia" w:ascii="Times New Roman" w:hAnsi="Times New Roman" w:eastAsia="宋体" w:cs="Times New Roman"/>
                      <w:sz w:val="24"/>
                      <w:szCs w:val="24"/>
                    </w:rPr>
                    <w:t>品</w:t>
                  </w:r>
                  <w:r>
                    <w:rPr>
                      <w:rFonts w:ascii="Times New Roman" w:hAnsi="Times New Roman" w:eastAsia="宋体" w:cs="Times New Roman"/>
                      <w:sz w:val="24"/>
                      <w:szCs w:val="24"/>
                    </w:rPr>
                    <w:br w:type="textWrapping"/>
                  </w:r>
                  <w:r>
                    <w:rPr>
                      <w:rFonts w:hint="eastAsia" w:ascii="Times New Roman" w:hAnsi="Times New Roman" w:eastAsia="宋体" w:cs="Times New Roman"/>
                      <w:sz w:val="24"/>
                      <w:szCs w:val="24"/>
                    </w:rPr>
                    <w:t>市场</w:t>
                  </w:r>
                </w:p>
              </w:tc>
              <w:tc>
                <w:tcPr>
                  <w:tcW w:w="1106" w:type="dxa"/>
                  <w:vAlign w:val="center"/>
                </w:tcPr>
                <w:p>
                  <w:pPr>
                    <w:snapToGrid w:val="0"/>
                    <w:spacing w:before="31" w:beforeLines="10" w:after="31" w:afterLines="1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地域</w:t>
                  </w:r>
                  <w:r>
                    <w:rPr>
                      <w:rFonts w:ascii="Times New Roman" w:hAnsi="Times New Roman" w:eastAsia="宋体" w:cs="Times New Roman"/>
                      <w:sz w:val="24"/>
                      <w:szCs w:val="24"/>
                    </w:rPr>
                    <w:br w:type="textWrapping"/>
                  </w:r>
                  <w:r>
                    <w:rPr>
                      <w:rFonts w:hint="eastAsia" w:ascii="Times New Roman" w:hAnsi="Times New Roman" w:eastAsia="宋体" w:cs="Times New Roman"/>
                      <w:sz w:val="24"/>
                      <w:szCs w:val="24"/>
                    </w:rPr>
                    <w:t>市场</w:t>
                  </w:r>
                </w:p>
              </w:tc>
              <w:tc>
                <w:tcPr>
                  <w:tcW w:w="1694" w:type="dxa"/>
                  <w:vAlign w:val="center"/>
                </w:tcPr>
                <w:p>
                  <w:pPr>
                    <w:snapToGrid w:val="0"/>
                    <w:spacing w:before="31" w:beforeLines="10" w:after="31" w:afterLines="1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普洛斯公司及其关联实体</w:t>
                  </w:r>
                </w:p>
              </w:tc>
              <w:tc>
                <w:tcPr>
                  <w:tcW w:w="1665" w:type="dxa"/>
                  <w:vAlign w:val="center"/>
                </w:tcPr>
                <w:p>
                  <w:pPr>
                    <w:snapToGrid w:val="0"/>
                    <w:spacing w:before="31" w:beforeLines="10" w:after="31" w:afterLines="1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中邮资本公司</w:t>
                  </w:r>
                  <w:r>
                    <w:rPr>
                      <w:rFonts w:ascii="Times New Roman" w:hAnsi="Times New Roman" w:eastAsia="宋体" w:cs="Times New Roman"/>
                      <w:sz w:val="24"/>
                      <w:szCs w:val="24"/>
                    </w:rPr>
                    <w:br w:type="textWrapping"/>
                  </w:r>
                  <w:r>
                    <w:rPr>
                      <w:rFonts w:hint="eastAsia" w:ascii="Times New Roman" w:hAnsi="Times New Roman" w:eastAsia="宋体" w:cs="Times New Roman"/>
                      <w:sz w:val="24"/>
                      <w:szCs w:val="24"/>
                    </w:rPr>
                    <w:t>及其关联实体</w:t>
                  </w:r>
                </w:p>
              </w:tc>
              <w:tc>
                <w:tcPr>
                  <w:tcW w:w="1408" w:type="dxa"/>
                  <w:vAlign w:val="center"/>
                </w:tcPr>
                <w:p>
                  <w:pPr>
                    <w:snapToGrid w:val="0"/>
                    <w:spacing w:before="31" w:beforeLines="10" w:after="31" w:afterLines="10"/>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restart"/>
                  <w:vAlign w:val="center"/>
                </w:tcPr>
                <w:p>
                  <w:pPr>
                    <w:snapToGrid w:val="0"/>
                    <w:spacing w:before="31" w:beforeLines="10" w:after="31" w:afterLines="10"/>
                    <w:rPr>
                      <w:rFonts w:ascii="Times New Roman" w:hAnsi="Times New Roman" w:eastAsia="宋体" w:cs="Times New Roman"/>
                      <w:sz w:val="24"/>
                      <w:szCs w:val="24"/>
                    </w:rPr>
                  </w:pPr>
                  <w:r>
                    <w:rPr>
                      <w:rFonts w:hint="eastAsia" w:ascii="Times New Roman" w:hAnsi="宋体" w:eastAsia="宋体" w:cs="Times New Roman"/>
                      <w:sz w:val="24"/>
                      <w:szCs w:val="24"/>
                    </w:rPr>
                    <w:t>通用仓库的开发及租赁</w:t>
                  </w:r>
                </w:p>
              </w:tc>
              <w:tc>
                <w:tcPr>
                  <w:tcW w:w="1106" w:type="dxa"/>
                  <w:vAlign w:val="center"/>
                </w:tcPr>
                <w:p>
                  <w:pPr>
                    <w:snapToGrid w:val="0"/>
                    <w:spacing w:before="31" w:beforeLines="10" w:after="31" w:afterLines="1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北京市</w:t>
                  </w:r>
                </w:p>
              </w:tc>
              <w:tc>
                <w:tcPr>
                  <w:tcW w:w="1694" w:type="dxa"/>
                  <w:vAlign w:val="center"/>
                </w:tcPr>
                <w:p>
                  <w:pPr>
                    <w:snapToGrid w:val="0"/>
                    <w:spacing w:before="31" w:beforeLines="10" w:after="31" w:afterLines="10"/>
                    <w:rPr>
                      <w:rFonts w:ascii="Times New Roman" w:hAnsi="Times New Roman" w:eastAsia="宋体" w:cs="Times New Roman"/>
                      <w:sz w:val="24"/>
                      <w:szCs w:val="24"/>
                    </w:rPr>
                  </w:pPr>
                  <w:r>
                    <w:rPr>
                      <w:rFonts w:hint="eastAsia" w:ascii="Times New Roman" w:hAnsi="Times New Roman" w:eastAsia="宋体" w:cs="Times New Roman"/>
                      <w:sz w:val="24"/>
                      <w:szCs w:val="24"/>
                    </w:rPr>
                    <w:t>【5</w:t>
                  </w:r>
                  <w:r>
                    <w:rPr>
                      <w:rFonts w:ascii="Times New Roman" w:hAnsi="Times New Roman" w:eastAsia="宋体" w:cs="Times New Roman"/>
                      <w:sz w:val="24"/>
                      <w:szCs w:val="24"/>
                    </w:rPr>
                    <w:t>-10</w:t>
                  </w:r>
                  <w:r>
                    <w:rPr>
                      <w:rFonts w:hint="eastAsia" w:ascii="Times New Roman" w:hAnsi="Times New Roman" w:eastAsia="宋体" w:cs="Times New Roman"/>
                      <w:sz w:val="24"/>
                      <w:szCs w:val="24"/>
                    </w:rPr>
                    <w:t>】%</w:t>
                  </w:r>
                </w:p>
              </w:tc>
              <w:tc>
                <w:tcPr>
                  <w:tcW w:w="1665" w:type="dxa"/>
                  <w:vAlign w:val="center"/>
                </w:tcPr>
                <w:p>
                  <w:pPr>
                    <w:snapToGrid w:val="0"/>
                    <w:spacing w:before="31" w:beforeLines="10" w:after="31" w:afterLines="10"/>
                    <w:rPr>
                      <w:rFonts w:ascii="Times New Roman" w:hAnsi="Times New Roman" w:eastAsia="宋体" w:cs="Times New Roman"/>
                      <w:sz w:val="24"/>
                      <w:szCs w:val="24"/>
                    </w:rPr>
                  </w:pPr>
                  <w:r>
                    <w:rPr>
                      <w:rFonts w:hint="eastAsia" w:ascii="Times New Roman" w:hAnsi="Times New Roman" w:eastAsia="宋体" w:cs="Times New Roman"/>
                      <w:sz w:val="24"/>
                      <w:szCs w:val="24"/>
                    </w:rPr>
                    <w:t>【0</w:t>
                  </w: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p>
              </w:tc>
              <w:tc>
                <w:tcPr>
                  <w:tcW w:w="1408" w:type="dxa"/>
                  <w:vAlign w:val="center"/>
                </w:tcPr>
                <w:p>
                  <w:pPr>
                    <w:snapToGrid w:val="0"/>
                    <w:spacing w:before="31" w:beforeLines="10" w:after="31" w:afterLines="1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vAlign w:val="center"/>
                </w:tcPr>
                <w:p>
                  <w:pPr>
                    <w:snapToGrid w:val="0"/>
                    <w:spacing w:before="31" w:beforeLines="10" w:after="31" w:afterLines="10"/>
                    <w:jc w:val="center"/>
                    <w:rPr>
                      <w:rFonts w:ascii="Times New Roman" w:hAnsi="Times New Roman" w:eastAsia="宋体" w:cs="Times New Roman"/>
                      <w:sz w:val="24"/>
                      <w:szCs w:val="24"/>
                    </w:rPr>
                  </w:pPr>
                </w:p>
              </w:tc>
              <w:tc>
                <w:tcPr>
                  <w:tcW w:w="1106" w:type="dxa"/>
                  <w:vAlign w:val="center"/>
                </w:tcPr>
                <w:p>
                  <w:pPr>
                    <w:snapToGrid w:val="0"/>
                    <w:spacing w:before="31" w:beforeLines="10" w:after="31" w:afterLines="1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上海市</w:t>
                  </w:r>
                </w:p>
              </w:tc>
              <w:tc>
                <w:tcPr>
                  <w:tcW w:w="1694" w:type="dxa"/>
                  <w:vAlign w:val="center"/>
                </w:tcPr>
                <w:p>
                  <w:pPr>
                    <w:snapToGrid w:val="0"/>
                    <w:spacing w:before="31" w:beforeLines="10" w:after="31" w:afterLines="1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0-15</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p>
              </w:tc>
              <w:tc>
                <w:tcPr>
                  <w:tcW w:w="1665" w:type="dxa"/>
                  <w:vAlign w:val="center"/>
                </w:tcPr>
                <w:p>
                  <w:pPr>
                    <w:snapToGrid w:val="0"/>
                    <w:spacing w:before="31" w:beforeLines="10" w:after="31" w:afterLines="10"/>
                    <w:rPr>
                      <w:rFonts w:ascii="Times New Roman" w:hAnsi="Times New Roman" w:eastAsia="宋体" w:cs="Times New Roman"/>
                      <w:sz w:val="24"/>
                      <w:szCs w:val="24"/>
                    </w:rPr>
                  </w:pPr>
                  <w:r>
                    <w:rPr>
                      <w:rFonts w:hint="eastAsia" w:ascii="Times New Roman" w:hAnsi="Times New Roman" w:eastAsia="宋体" w:cs="Times New Roman"/>
                      <w:sz w:val="24"/>
                      <w:szCs w:val="24"/>
                    </w:rPr>
                    <w:t>【0</w:t>
                  </w: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p>
              </w:tc>
              <w:tc>
                <w:tcPr>
                  <w:tcW w:w="1408" w:type="dxa"/>
                  <w:vAlign w:val="center"/>
                </w:tcPr>
                <w:p>
                  <w:pPr>
                    <w:snapToGrid w:val="0"/>
                    <w:spacing w:before="31" w:beforeLines="10" w:after="31" w:afterLines="1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0-15</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vAlign w:val="center"/>
                </w:tcPr>
                <w:p>
                  <w:pPr>
                    <w:snapToGrid w:val="0"/>
                    <w:spacing w:before="31" w:beforeLines="10" w:after="31" w:afterLines="10"/>
                    <w:jc w:val="center"/>
                    <w:rPr>
                      <w:rFonts w:ascii="Times New Roman" w:hAnsi="Times New Roman" w:eastAsia="宋体" w:cs="Times New Roman"/>
                      <w:sz w:val="24"/>
                      <w:szCs w:val="24"/>
                    </w:rPr>
                  </w:pPr>
                </w:p>
              </w:tc>
              <w:tc>
                <w:tcPr>
                  <w:tcW w:w="1106" w:type="dxa"/>
                  <w:vAlign w:val="center"/>
                </w:tcPr>
                <w:p>
                  <w:pPr>
                    <w:snapToGrid w:val="0"/>
                    <w:spacing w:before="31" w:beforeLines="10" w:after="31" w:afterLines="1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廊坊市</w:t>
                  </w:r>
                </w:p>
              </w:tc>
              <w:tc>
                <w:tcPr>
                  <w:tcW w:w="1694" w:type="dxa"/>
                  <w:vAlign w:val="center"/>
                </w:tcPr>
                <w:p>
                  <w:pPr>
                    <w:snapToGrid w:val="0"/>
                    <w:spacing w:before="31" w:beforeLines="10" w:after="31" w:afterLines="10"/>
                    <w:rPr>
                      <w:rFonts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0-15</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p>
              </w:tc>
              <w:tc>
                <w:tcPr>
                  <w:tcW w:w="1665" w:type="dxa"/>
                  <w:vAlign w:val="center"/>
                </w:tcPr>
                <w:p>
                  <w:pPr>
                    <w:snapToGrid w:val="0"/>
                    <w:spacing w:before="31" w:beforeLines="10" w:after="31" w:afterLines="10"/>
                    <w:rPr>
                      <w:rFonts w:ascii="Times New Roman" w:hAnsi="Times New Roman" w:eastAsia="宋体" w:cs="Times New Roman"/>
                      <w:sz w:val="24"/>
                      <w:szCs w:val="24"/>
                    </w:rPr>
                  </w:pPr>
                  <w:r>
                    <w:rPr>
                      <w:rFonts w:hint="eastAsia" w:ascii="Times New Roman" w:hAnsi="Times New Roman" w:eastAsia="宋体" w:cs="Times New Roman"/>
                      <w:sz w:val="24"/>
                      <w:szCs w:val="24"/>
                    </w:rPr>
                    <w:t>【0</w:t>
                  </w: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p>
              </w:tc>
              <w:tc>
                <w:tcPr>
                  <w:tcW w:w="1408" w:type="dxa"/>
                  <w:vAlign w:val="center"/>
                </w:tcPr>
                <w:p>
                  <w:pPr>
                    <w:snapToGrid w:val="0"/>
                    <w:spacing w:before="31" w:beforeLines="10" w:after="31" w:afterLines="1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0-15</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vAlign w:val="center"/>
                </w:tcPr>
                <w:p>
                  <w:pPr>
                    <w:snapToGrid w:val="0"/>
                    <w:spacing w:before="31" w:beforeLines="10" w:after="31" w:afterLines="10"/>
                    <w:jc w:val="center"/>
                    <w:rPr>
                      <w:rFonts w:ascii="Times New Roman" w:hAnsi="Times New Roman" w:eastAsia="宋体" w:cs="Times New Roman"/>
                      <w:sz w:val="24"/>
                      <w:szCs w:val="24"/>
                    </w:rPr>
                  </w:pPr>
                </w:p>
              </w:tc>
              <w:tc>
                <w:tcPr>
                  <w:tcW w:w="1106" w:type="dxa"/>
                  <w:vAlign w:val="center"/>
                </w:tcPr>
                <w:p>
                  <w:pPr>
                    <w:snapToGrid w:val="0"/>
                    <w:spacing w:before="31" w:beforeLines="10" w:after="31" w:afterLines="1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杭州市</w:t>
                  </w:r>
                </w:p>
              </w:tc>
              <w:tc>
                <w:tcPr>
                  <w:tcW w:w="1694" w:type="dxa"/>
                  <w:vAlign w:val="center"/>
                </w:tcPr>
                <w:p>
                  <w:pPr>
                    <w:snapToGrid w:val="0"/>
                    <w:spacing w:before="31" w:beforeLines="10" w:after="31" w:afterLines="1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5-10】%</w:t>
                  </w:r>
                </w:p>
              </w:tc>
              <w:tc>
                <w:tcPr>
                  <w:tcW w:w="1665" w:type="dxa"/>
                  <w:vAlign w:val="center"/>
                </w:tcPr>
                <w:p>
                  <w:pPr>
                    <w:snapToGrid w:val="0"/>
                    <w:spacing w:before="31" w:beforeLines="10" w:after="31" w:afterLines="10"/>
                    <w:rPr>
                      <w:rFonts w:ascii="Times New Roman" w:hAnsi="Times New Roman" w:eastAsia="宋体" w:cs="Times New Roman"/>
                      <w:sz w:val="24"/>
                      <w:szCs w:val="24"/>
                    </w:rPr>
                  </w:pPr>
                  <w:r>
                    <w:rPr>
                      <w:rFonts w:hint="eastAsia" w:ascii="Times New Roman" w:hAnsi="Times New Roman" w:eastAsia="宋体" w:cs="Times New Roman"/>
                      <w:sz w:val="24"/>
                      <w:szCs w:val="24"/>
                    </w:rPr>
                    <w:t>【0</w:t>
                  </w: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p>
              </w:tc>
              <w:tc>
                <w:tcPr>
                  <w:tcW w:w="1408" w:type="dxa"/>
                  <w:vAlign w:val="center"/>
                </w:tcPr>
                <w:p>
                  <w:pPr>
                    <w:snapToGrid w:val="0"/>
                    <w:spacing w:before="31" w:beforeLines="10" w:after="31" w:afterLines="1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vAlign w:val="center"/>
                </w:tcPr>
                <w:p>
                  <w:pPr>
                    <w:snapToGrid w:val="0"/>
                    <w:spacing w:before="31" w:beforeLines="10" w:after="31" w:afterLines="10"/>
                    <w:jc w:val="center"/>
                    <w:rPr>
                      <w:rFonts w:ascii="Times New Roman" w:hAnsi="Times New Roman" w:eastAsia="宋体" w:cs="Times New Roman"/>
                      <w:sz w:val="24"/>
                      <w:szCs w:val="24"/>
                    </w:rPr>
                  </w:pPr>
                </w:p>
              </w:tc>
              <w:tc>
                <w:tcPr>
                  <w:tcW w:w="1106" w:type="dxa"/>
                  <w:vAlign w:val="center"/>
                </w:tcPr>
                <w:p>
                  <w:pPr>
                    <w:snapToGrid w:val="0"/>
                    <w:spacing w:before="31" w:beforeLines="10" w:after="31" w:afterLines="1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南京市</w:t>
                  </w:r>
                </w:p>
              </w:tc>
              <w:tc>
                <w:tcPr>
                  <w:tcW w:w="1694" w:type="dxa"/>
                  <w:vAlign w:val="center"/>
                </w:tcPr>
                <w:p>
                  <w:pPr>
                    <w:snapToGrid w:val="0"/>
                    <w:spacing w:before="31" w:beforeLines="10" w:after="31" w:afterLines="1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5-10</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p>
              </w:tc>
              <w:tc>
                <w:tcPr>
                  <w:tcW w:w="1665" w:type="dxa"/>
                  <w:vAlign w:val="center"/>
                </w:tcPr>
                <w:p>
                  <w:pPr>
                    <w:snapToGrid w:val="0"/>
                    <w:spacing w:before="31" w:beforeLines="10" w:after="31" w:afterLines="10"/>
                    <w:rPr>
                      <w:rFonts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0-5</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p>
              </w:tc>
              <w:tc>
                <w:tcPr>
                  <w:tcW w:w="1408" w:type="dxa"/>
                  <w:vAlign w:val="center"/>
                </w:tcPr>
                <w:p>
                  <w:pPr>
                    <w:snapToGrid w:val="0"/>
                    <w:spacing w:before="31" w:beforeLines="10" w:after="31" w:afterLines="1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w:t>
                  </w:r>
                  <w:r>
                    <w:rPr>
                      <w:rFonts w:ascii="Times New Roman" w:hAnsi="Times New Roman" w:eastAsia="宋体" w:cs="Times New Roman"/>
                      <w:sz w:val="24"/>
                      <w:szCs w:val="24"/>
                    </w:rPr>
                    <w:t>5-10</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 w:type="dxa"/>
                  <w:vMerge w:val="continue"/>
                  <w:vAlign w:val="center"/>
                </w:tcPr>
                <w:p>
                  <w:pPr>
                    <w:snapToGrid w:val="0"/>
                    <w:spacing w:before="31" w:beforeLines="10" w:after="31" w:afterLines="10"/>
                    <w:jc w:val="center"/>
                    <w:rPr>
                      <w:rFonts w:ascii="Times New Roman" w:hAnsi="Times New Roman" w:eastAsia="宋体" w:cs="Times New Roman"/>
                      <w:sz w:val="24"/>
                      <w:szCs w:val="24"/>
                    </w:rPr>
                  </w:pPr>
                </w:p>
              </w:tc>
              <w:tc>
                <w:tcPr>
                  <w:tcW w:w="1106" w:type="dxa"/>
                  <w:vAlign w:val="center"/>
                </w:tcPr>
                <w:p>
                  <w:pPr>
                    <w:snapToGrid w:val="0"/>
                    <w:spacing w:before="31" w:beforeLines="10" w:after="31" w:afterLines="10"/>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武汉市</w:t>
                  </w:r>
                </w:p>
              </w:tc>
              <w:tc>
                <w:tcPr>
                  <w:tcW w:w="1694" w:type="dxa"/>
                  <w:vAlign w:val="center"/>
                </w:tcPr>
                <w:p>
                  <w:pPr>
                    <w:snapToGrid w:val="0"/>
                    <w:spacing w:before="31" w:beforeLines="10" w:after="31" w:afterLines="10"/>
                    <w:rPr>
                      <w:rFonts w:ascii="Times New Roman" w:hAnsi="Times New Roman" w:eastAsia="宋体" w:cs="Times New Roman"/>
                      <w:sz w:val="24"/>
                      <w:szCs w:val="24"/>
                    </w:rPr>
                  </w:pPr>
                  <w:r>
                    <w:rPr>
                      <w:rFonts w:hint="eastAsia" w:ascii="Times New Roman" w:hAnsi="Times New Roman" w:eastAsia="宋体" w:cs="Times New Roman"/>
                      <w:sz w:val="24"/>
                      <w:szCs w:val="24"/>
                    </w:rPr>
                    <w:t>【5</w:t>
                  </w:r>
                  <w:r>
                    <w:rPr>
                      <w:rFonts w:ascii="Times New Roman" w:hAnsi="Times New Roman" w:eastAsia="宋体" w:cs="Times New Roman"/>
                      <w:sz w:val="24"/>
                      <w:szCs w:val="24"/>
                    </w:rPr>
                    <w:t>-10</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p>
              </w:tc>
              <w:tc>
                <w:tcPr>
                  <w:tcW w:w="1665" w:type="dxa"/>
                  <w:vAlign w:val="center"/>
                </w:tcPr>
                <w:p>
                  <w:pPr>
                    <w:snapToGrid w:val="0"/>
                    <w:spacing w:before="31" w:beforeLines="10" w:after="31" w:afterLines="10"/>
                    <w:rPr>
                      <w:rFonts w:ascii="Times New Roman" w:hAnsi="Times New Roman" w:eastAsia="宋体" w:cs="Times New Roman"/>
                      <w:sz w:val="24"/>
                      <w:szCs w:val="24"/>
                    </w:rPr>
                  </w:pPr>
                  <w:r>
                    <w:rPr>
                      <w:rFonts w:hint="eastAsia" w:ascii="Times New Roman" w:hAnsi="Times New Roman" w:eastAsia="宋体" w:cs="Times New Roman"/>
                      <w:sz w:val="24"/>
                      <w:szCs w:val="24"/>
                    </w:rPr>
                    <w:t>【0</w:t>
                  </w:r>
                  <w:r>
                    <w:rPr>
                      <w:rFonts w:ascii="Times New Roman" w:hAnsi="Times New Roman" w:eastAsia="宋体" w:cs="Times New Roman"/>
                      <w:sz w:val="24"/>
                      <w:szCs w:val="24"/>
                    </w:rPr>
                    <w:t>-5</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p>
              </w:tc>
              <w:tc>
                <w:tcPr>
                  <w:tcW w:w="1408" w:type="dxa"/>
                  <w:vAlign w:val="center"/>
                </w:tcPr>
                <w:p>
                  <w:pPr>
                    <w:snapToGrid w:val="0"/>
                    <w:spacing w:before="31" w:beforeLines="10" w:after="31" w:afterLines="1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【5</w:t>
                  </w:r>
                  <w:r>
                    <w:rPr>
                      <w:rFonts w:ascii="Times New Roman" w:hAnsi="Times New Roman" w:eastAsia="宋体" w:cs="Times New Roman"/>
                      <w:sz w:val="24"/>
                      <w:szCs w:val="24"/>
                    </w:rPr>
                    <w:t>-10</w:t>
                  </w:r>
                  <w:r>
                    <w:rPr>
                      <w:rFonts w:hint="eastAsia" w:ascii="Times New Roman" w:hAnsi="Times New Roman" w:eastAsia="宋体" w:cs="Times New Roman"/>
                      <w:sz w:val="24"/>
                      <w:szCs w:val="24"/>
                    </w:rPr>
                    <w:t>】</w:t>
                  </w:r>
                  <w:r>
                    <w:rPr>
                      <w:rFonts w:ascii="Times New Roman" w:hAnsi="Times New Roman" w:eastAsia="宋体" w:cs="Times New Roman"/>
                      <w:sz w:val="24"/>
                      <w:szCs w:val="24"/>
                    </w:rPr>
                    <w:t>%</w:t>
                  </w:r>
                </w:p>
              </w:tc>
            </w:tr>
          </w:tbl>
          <w:p/>
          <w:p>
            <w:pPr>
              <w:spacing w:before="156" w:beforeLines="50" w:after="156" w:afterLines="50" w:line="40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二、本次交易所涉上下游市场以及参与集中的经营者在上下游市场中的市场份额分别为：</w:t>
            </w:r>
          </w:p>
          <w:p>
            <w:pPr>
              <w:spacing w:before="156" w:beforeLines="50" w:after="156" w:afterLines="50" w:line="400" w:lineRule="exact"/>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rPr>
              <w:t>1</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上游市场</w:t>
            </w:r>
            <w:r>
              <w:rPr>
                <w:rFonts w:hint="eastAsia" w:ascii="Times New Roman" w:hAnsi="Times New Roman" w:eastAsia="宋体" w:cs="Times New Roman"/>
                <w:sz w:val="24"/>
                <w:szCs w:val="24"/>
                <w:lang w:eastAsia="zh-CN"/>
              </w:rPr>
              <w:t>：同上</w:t>
            </w:r>
          </w:p>
          <w:p>
            <w:pPr>
              <w:spacing w:before="156" w:beforeLines="50" w:after="156" w:afterLines="50" w:line="40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下游市场</w:t>
            </w:r>
          </w:p>
          <w:tbl>
            <w:tblPr>
              <w:tblStyle w:val="5"/>
              <w:tblW w:w="6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0"/>
              <w:gridCol w:w="2155"/>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Align w:val="center"/>
                </w:tcPr>
                <w:p>
                  <w:pPr>
                    <w:snapToGrid w:val="0"/>
                    <w:spacing w:before="31" w:beforeLines="10" w:after="31" w:afterLines="10"/>
                    <w:jc w:val="center"/>
                    <w:rPr>
                      <w:rFonts w:ascii="Times New Roman" w:hAnsi="Times New Roman" w:eastAsia="宋体" w:cs="Times New Roman"/>
                      <w:sz w:val="24"/>
                      <w:szCs w:val="24"/>
                    </w:rPr>
                  </w:pPr>
                  <w:r>
                    <w:rPr>
                      <w:rFonts w:ascii="宋体" w:hAnsi="宋体" w:eastAsia="宋体" w:cs="Times New Roman"/>
                      <w:sz w:val="24"/>
                      <w:szCs w:val="24"/>
                    </w:rPr>
                    <w:t>商</w:t>
                  </w:r>
                  <w:r>
                    <w:rPr>
                      <w:rFonts w:hint="eastAsia" w:ascii="Times New Roman" w:hAnsi="Times New Roman" w:eastAsia="宋体" w:cs="Times New Roman"/>
                      <w:sz w:val="24"/>
                      <w:szCs w:val="24"/>
                    </w:rPr>
                    <w:t>品市场</w:t>
                  </w:r>
                </w:p>
              </w:tc>
              <w:tc>
                <w:tcPr>
                  <w:tcW w:w="2155" w:type="dxa"/>
                  <w:vAlign w:val="center"/>
                </w:tcPr>
                <w:p>
                  <w:pPr>
                    <w:snapToGrid w:val="0"/>
                    <w:spacing w:before="31" w:beforeLines="10" w:after="31" w:afterLines="1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地域市场</w:t>
                  </w:r>
                </w:p>
              </w:tc>
              <w:tc>
                <w:tcPr>
                  <w:tcW w:w="2156" w:type="dxa"/>
                  <w:vAlign w:val="center"/>
                </w:tcPr>
                <w:p>
                  <w:pPr>
                    <w:snapToGrid w:val="0"/>
                    <w:spacing w:before="31" w:beforeLines="10" w:after="31" w:afterLines="10"/>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中邮资本公司及其关联实体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0" w:type="dxa"/>
                  <w:vAlign w:val="center"/>
                </w:tcPr>
                <w:p>
                  <w:pPr>
                    <w:snapToGrid w:val="0"/>
                    <w:spacing w:before="31" w:beforeLines="10" w:after="31" w:afterLines="10"/>
                    <w:jc w:val="center"/>
                    <w:rPr>
                      <w:rFonts w:hint="eastAsia" w:ascii="Times New Roman" w:hAnsi="Times New Roman" w:eastAsia="宋体" w:cs="Times New Roman"/>
                      <w:sz w:val="24"/>
                      <w:szCs w:val="24"/>
                    </w:rPr>
                  </w:pPr>
                  <w:r>
                    <w:rPr>
                      <w:rFonts w:hint="eastAsia" w:ascii="Times New Roman" w:hAnsi="宋体" w:eastAsia="宋体" w:cs="Times New Roman"/>
                      <w:sz w:val="24"/>
                      <w:szCs w:val="24"/>
                    </w:rPr>
                    <w:t>快递服务</w:t>
                  </w:r>
                </w:p>
              </w:tc>
              <w:tc>
                <w:tcPr>
                  <w:tcW w:w="2155" w:type="dxa"/>
                  <w:vAlign w:val="center"/>
                </w:tcPr>
                <w:p>
                  <w:pPr>
                    <w:snapToGrid w:val="0"/>
                    <w:spacing w:before="31" w:beforeLines="10" w:after="31" w:afterLines="10"/>
                    <w:jc w:val="center"/>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全国</w:t>
                  </w:r>
                </w:p>
              </w:tc>
              <w:tc>
                <w:tcPr>
                  <w:tcW w:w="2156" w:type="dxa"/>
                  <w:vAlign w:val="center"/>
                </w:tcPr>
                <w:p>
                  <w:pPr>
                    <w:snapToGrid w:val="0"/>
                    <w:spacing w:before="31" w:beforeLines="10" w:after="31" w:afterLines="10"/>
                    <w:rPr>
                      <w:rFonts w:ascii="Times New Roman" w:hAnsi="Times New Roman" w:eastAsia="宋体" w:cs="Times New Roman"/>
                      <w:sz w:val="24"/>
                      <w:szCs w:val="24"/>
                    </w:rPr>
                  </w:pPr>
                  <w:r>
                    <w:rPr>
                      <w:rFonts w:hint="eastAsia" w:ascii="Times New Roman" w:hAnsi="Times New Roman" w:eastAsia="宋体" w:cs="Times New Roman"/>
                      <w:sz w:val="24"/>
                      <w:szCs w:val="24"/>
                    </w:rPr>
                    <w:t>以业务量为标准：【1</w:t>
                  </w:r>
                  <w:r>
                    <w:rPr>
                      <w:rFonts w:ascii="Times New Roman" w:hAnsi="Times New Roman" w:eastAsia="宋体" w:cs="Times New Roman"/>
                      <w:sz w:val="24"/>
                      <w:szCs w:val="24"/>
                    </w:rPr>
                    <w:t>0-15</w:t>
                  </w:r>
                  <w:r>
                    <w:rPr>
                      <w:rFonts w:hint="eastAsia" w:ascii="Times New Roman" w:hAnsi="Times New Roman" w:eastAsia="宋体" w:cs="Times New Roman"/>
                      <w:sz w:val="24"/>
                      <w:szCs w:val="24"/>
                    </w:rPr>
                    <w:t>】%；</w:t>
                  </w:r>
                </w:p>
                <w:p>
                  <w:pPr>
                    <w:snapToGrid w:val="0"/>
                    <w:spacing w:before="31" w:beforeLines="10" w:after="31" w:afterLines="10"/>
                    <w:rPr>
                      <w:rFonts w:hint="eastAsia" w:ascii="Times New Roman" w:hAnsi="Times New Roman" w:eastAsia="宋体" w:cs="Times New Roman"/>
                      <w:sz w:val="24"/>
                      <w:szCs w:val="24"/>
                    </w:rPr>
                  </w:pPr>
                  <w:r>
                    <w:rPr>
                      <w:rFonts w:ascii="Times New Roman" w:hAnsi="Times New Roman" w:eastAsia="宋体" w:cs="Times New Roman"/>
                      <w:sz w:val="24"/>
                      <w:szCs w:val="24"/>
                    </w:rPr>
                    <w:t>以业务收入为标准</w:t>
                  </w:r>
                  <w:r>
                    <w:rPr>
                      <w:rFonts w:hint="eastAsia" w:ascii="Times New Roman" w:hAnsi="Times New Roman" w:eastAsia="宋体" w:cs="Times New Roman"/>
                      <w:sz w:val="24"/>
                      <w:szCs w:val="24"/>
                    </w:rPr>
                    <w:t>：【5</w:t>
                  </w:r>
                  <w:r>
                    <w:rPr>
                      <w:rFonts w:ascii="Times New Roman" w:hAnsi="Times New Roman" w:eastAsia="宋体" w:cs="Times New Roman"/>
                      <w:sz w:val="24"/>
                      <w:szCs w:val="24"/>
                    </w:rPr>
                    <w:t>-10</w:t>
                  </w:r>
                  <w:r>
                    <w:rPr>
                      <w:rFonts w:hint="eastAsia" w:ascii="Times New Roman" w:hAnsi="Times New Roman" w:eastAsia="宋体" w:cs="Times New Roman"/>
                      <w:sz w:val="24"/>
                      <w:szCs w:val="24"/>
                    </w:rPr>
                    <w:t>】%</w:t>
                  </w:r>
                </w:p>
              </w:tc>
            </w:tr>
          </w:tbl>
          <w:p>
            <w:pPr>
              <w:spacing w:before="156" w:beforeLines="50" w:after="156" w:afterLines="50" w:line="400" w:lineRule="exact"/>
              <w:rPr>
                <w:rFonts w:ascii="Times New Roman" w:hAnsi="Times New Roman" w:eastAsia="宋体" w:cs="Times New Roman"/>
                <w:sz w:val="24"/>
                <w:szCs w:val="24"/>
                <w:u w:val="single"/>
              </w:rPr>
            </w:pPr>
          </w:p>
        </w:tc>
      </w:tr>
    </w:tbl>
    <w:p>
      <w:pPr>
        <w:widowControl/>
        <w:shd w:val="clear" w:color="auto" w:fill="FFFFFF"/>
        <w:spacing w:line="375" w:lineRule="atLeast"/>
        <w:jc w:val="left"/>
        <w:rPr>
          <w:rFonts w:ascii="仿宋_GB2312" w:hAnsi="Times New Roman" w:eastAsia="仿宋_GB2312" w:cs="Times New Roman"/>
          <w:sz w:val="28"/>
          <w:szCs w:val="28"/>
        </w:rPr>
      </w:pPr>
    </w:p>
    <w:p>
      <w:pPr>
        <w:snapToGrid w:val="0"/>
        <w:spacing w:line="240" w:lineRule="exact"/>
        <w:rPr>
          <w:rFonts w:ascii="宋体" w:hAnsi="宋体" w:eastAsia="宋体" w:cs="Times New Roman"/>
          <w:sz w:val="24"/>
          <w:szCs w:val="24"/>
        </w:rPr>
      </w:pPr>
      <w:r>
        <w:rPr>
          <w:rFonts w:hint="eastAsia" w:ascii="宋体" w:hAnsi="宋体" w:eastAsia="宋体" w:cs="Times New Roman"/>
          <w:sz w:val="24"/>
          <w:szCs w:val="24"/>
        </w:rPr>
        <w:t>注解：</w:t>
      </w:r>
    </w:p>
    <w:p>
      <w:pPr>
        <w:snapToGrid w:val="0"/>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申报方申请简易案件的理由是基于1-3项时，须在备注中说明界定的相关商品市场和相关地域市场（无须阐述界定理由），以及相关市场份额；市场份额可以区间形式提供，区间幅度不应超过5%。1-3项可以多选，也可单选；没有勾选的，视为本集中不涉及该类型交易。</w:t>
      </w:r>
    </w:p>
    <w:p>
      <w:pPr>
        <w:snapToGrid w:val="0"/>
        <w:spacing w:line="360" w:lineRule="auto"/>
        <w:ind w:firstLine="480" w:firstLineChars="200"/>
        <w:rPr>
          <w:rFonts w:ascii="宋体" w:hAnsi="宋体" w:eastAsia="宋体" w:cs="Times New Roman"/>
          <w:sz w:val="24"/>
          <w:szCs w:val="24"/>
        </w:rPr>
      </w:pPr>
      <w:r>
        <w:rPr>
          <w:rFonts w:ascii="宋体" w:hAnsi="宋体" w:eastAsia="宋体" w:cs="Times New Roman"/>
          <w:sz w:val="24"/>
          <w:szCs w:val="24"/>
        </w:rPr>
        <w:t>2、申报方申请简易案件的理由是基于第4项、第5项时，无须在备注中说明相关市场和市场份额。</w:t>
      </w:r>
    </w:p>
    <w:p>
      <w:pPr>
        <w:snapToGrid w:val="0"/>
        <w:spacing w:line="360" w:lineRule="auto"/>
        <w:ind w:firstLine="480" w:firstLineChars="200"/>
        <w:rPr>
          <w:rFonts w:ascii="Times New Roman" w:hAnsi="Times New Roman"/>
          <w:b/>
          <w:bCs/>
          <w:sz w:val="24"/>
          <w:szCs w:val="24"/>
        </w:rPr>
      </w:pPr>
      <w:r>
        <w:rPr>
          <w:rFonts w:ascii="宋体" w:hAnsi="宋体" w:eastAsia="宋体" w:cs="Times New Roman"/>
          <w:sz w:val="24"/>
          <w:szCs w:val="24"/>
        </w:rPr>
        <w:t>3、由两个或两个以上经营者共同控制的合营企业，通过集中被其中的一个经营者控制，如果该经营者与合营企业属于同一相关市场的竞争者，则申报方在申请简易案件时，须同时勾选第1项和第6项理由，并在备注中说明界定的相关商品市场和相关地域市场（无须阐述界定理由），以及相关市场份额。市场份额可以区间形式提供，区间幅度不应超过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9"/>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DD"/>
    <w:rsid w:val="000010A1"/>
    <w:rsid w:val="000203B4"/>
    <w:rsid w:val="00024170"/>
    <w:rsid w:val="00031B69"/>
    <w:rsid w:val="0003266B"/>
    <w:rsid w:val="00047CC8"/>
    <w:rsid w:val="00051D14"/>
    <w:rsid w:val="00092528"/>
    <w:rsid w:val="000A1EB4"/>
    <w:rsid w:val="000A4DFE"/>
    <w:rsid w:val="000B185E"/>
    <w:rsid w:val="000B2DE4"/>
    <w:rsid w:val="000B6CD3"/>
    <w:rsid w:val="000D1F49"/>
    <w:rsid w:val="000E1C80"/>
    <w:rsid w:val="000E554B"/>
    <w:rsid w:val="000F3BC6"/>
    <w:rsid w:val="001166AC"/>
    <w:rsid w:val="0011762B"/>
    <w:rsid w:val="0012498C"/>
    <w:rsid w:val="00135384"/>
    <w:rsid w:val="00135458"/>
    <w:rsid w:val="0015096E"/>
    <w:rsid w:val="0017381C"/>
    <w:rsid w:val="001830BF"/>
    <w:rsid w:val="001947FE"/>
    <w:rsid w:val="001B17D9"/>
    <w:rsid w:val="001B6F47"/>
    <w:rsid w:val="001C579D"/>
    <w:rsid w:val="001C79D7"/>
    <w:rsid w:val="001D1BDB"/>
    <w:rsid w:val="001F07BA"/>
    <w:rsid w:val="002105A5"/>
    <w:rsid w:val="002141D4"/>
    <w:rsid w:val="00214938"/>
    <w:rsid w:val="00215745"/>
    <w:rsid w:val="00222727"/>
    <w:rsid w:val="00247686"/>
    <w:rsid w:val="002523EF"/>
    <w:rsid w:val="00255A82"/>
    <w:rsid w:val="00263FAA"/>
    <w:rsid w:val="0027209B"/>
    <w:rsid w:val="00276406"/>
    <w:rsid w:val="0028203C"/>
    <w:rsid w:val="002A6427"/>
    <w:rsid w:val="002A7373"/>
    <w:rsid w:val="002C0B69"/>
    <w:rsid w:val="002C2263"/>
    <w:rsid w:val="002C2607"/>
    <w:rsid w:val="002D52A3"/>
    <w:rsid w:val="002E5A23"/>
    <w:rsid w:val="003067CC"/>
    <w:rsid w:val="003128D2"/>
    <w:rsid w:val="00337294"/>
    <w:rsid w:val="003455CF"/>
    <w:rsid w:val="0036396E"/>
    <w:rsid w:val="0038670E"/>
    <w:rsid w:val="003A69F9"/>
    <w:rsid w:val="003A7D18"/>
    <w:rsid w:val="003B5E20"/>
    <w:rsid w:val="003D07CF"/>
    <w:rsid w:val="003E0EB8"/>
    <w:rsid w:val="003E4A4C"/>
    <w:rsid w:val="003F2AC8"/>
    <w:rsid w:val="00401E2E"/>
    <w:rsid w:val="00421700"/>
    <w:rsid w:val="00442E21"/>
    <w:rsid w:val="00487DC6"/>
    <w:rsid w:val="00487F19"/>
    <w:rsid w:val="004B2840"/>
    <w:rsid w:val="004C4EBC"/>
    <w:rsid w:val="004D2538"/>
    <w:rsid w:val="004D3285"/>
    <w:rsid w:val="004D4021"/>
    <w:rsid w:val="0050084A"/>
    <w:rsid w:val="005035B7"/>
    <w:rsid w:val="00524AE7"/>
    <w:rsid w:val="00534949"/>
    <w:rsid w:val="005436C6"/>
    <w:rsid w:val="00547F5E"/>
    <w:rsid w:val="005642DE"/>
    <w:rsid w:val="00564E60"/>
    <w:rsid w:val="005650A5"/>
    <w:rsid w:val="0056733D"/>
    <w:rsid w:val="00573C58"/>
    <w:rsid w:val="005903EC"/>
    <w:rsid w:val="005C1984"/>
    <w:rsid w:val="005C28A7"/>
    <w:rsid w:val="005E19D7"/>
    <w:rsid w:val="00601AC5"/>
    <w:rsid w:val="00617F52"/>
    <w:rsid w:val="0062176A"/>
    <w:rsid w:val="0062299A"/>
    <w:rsid w:val="00626884"/>
    <w:rsid w:val="00635194"/>
    <w:rsid w:val="00637F6A"/>
    <w:rsid w:val="006570E8"/>
    <w:rsid w:val="006608F3"/>
    <w:rsid w:val="00675ADD"/>
    <w:rsid w:val="00676718"/>
    <w:rsid w:val="00690AFC"/>
    <w:rsid w:val="006915A8"/>
    <w:rsid w:val="006E7DA6"/>
    <w:rsid w:val="00714418"/>
    <w:rsid w:val="0072332A"/>
    <w:rsid w:val="007362C4"/>
    <w:rsid w:val="00760F5E"/>
    <w:rsid w:val="007835F8"/>
    <w:rsid w:val="007A00DC"/>
    <w:rsid w:val="007C5CD7"/>
    <w:rsid w:val="007C6286"/>
    <w:rsid w:val="007C768F"/>
    <w:rsid w:val="00803E45"/>
    <w:rsid w:val="0081607D"/>
    <w:rsid w:val="008204C3"/>
    <w:rsid w:val="008556BF"/>
    <w:rsid w:val="008915A3"/>
    <w:rsid w:val="008A525E"/>
    <w:rsid w:val="008C0AC3"/>
    <w:rsid w:val="008C315F"/>
    <w:rsid w:val="008D7503"/>
    <w:rsid w:val="008E651E"/>
    <w:rsid w:val="008E69F8"/>
    <w:rsid w:val="00916202"/>
    <w:rsid w:val="00935249"/>
    <w:rsid w:val="00940888"/>
    <w:rsid w:val="0094341A"/>
    <w:rsid w:val="009660A9"/>
    <w:rsid w:val="00970928"/>
    <w:rsid w:val="009725FE"/>
    <w:rsid w:val="009779D4"/>
    <w:rsid w:val="00981774"/>
    <w:rsid w:val="00990370"/>
    <w:rsid w:val="009E323C"/>
    <w:rsid w:val="009E6238"/>
    <w:rsid w:val="009F2349"/>
    <w:rsid w:val="009F49D5"/>
    <w:rsid w:val="00A03BBF"/>
    <w:rsid w:val="00A4738F"/>
    <w:rsid w:val="00A47B97"/>
    <w:rsid w:val="00A5313B"/>
    <w:rsid w:val="00A659FF"/>
    <w:rsid w:val="00A70F1D"/>
    <w:rsid w:val="00A85AD2"/>
    <w:rsid w:val="00A91D4C"/>
    <w:rsid w:val="00A94E2E"/>
    <w:rsid w:val="00A95419"/>
    <w:rsid w:val="00AA47DA"/>
    <w:rsid w:val="00AA6C3C"/>
    <w:rsid w:val="00B0779E"/>
    <w:rsid w:val="00B22334"/>
    <w:rsid w:val="00B269A0"/>
    <w:rsid w:val="00B31718"/>
    <w:rsid w:val="00B34E89"/>
    <w:rsid w:val="00B3557D"/>
    <w:rsid w:val="00B364C0"/>
    <w:rsid w:val="00B44FF8"/>
    <w:rsid w:val="00B61D51"/>
    <w:rsid w:val="00B967F8"/>
    <w:rsid w:val="00BE3562"/>
    <w:rsid w:val="00BE66BD"/>
    <w:rsid w:val="00BF4179"/>
    <w:rsid w:val="00BF4278"/>
    <w:rsid w:val="00C03FA1"/>
    <w:rsid w:val="00C11F99"/>
    <w:rsid w:val="00C4225E"/>
    <w:rsid w:val="00C46704"/>
    <w:rsid w:val="00C51F1A"/>
    <w:rsid w:val="00C60EEF"/>
    <w:rsid w:val="00C64860"/>
    <w:rsid w:val="00C8141D"/>
    <w:rsid w:val="00C93575"/>
    <w:rsid w:val="00C97E59"/>
    <w:rsid w:val="00CA0471"/>
    <w:rsid w:val="00CB04EF"/>
    <w:rsid w:val="00CB3EB8"/>
    <w:rsid w:val="00CC158F"/>
    <w:rsid w:val="00CC2156"/>
    <w:rsid w:val="00CC7470"/>
    <w:rsid w:val="00CD2C7E"/>
    <w:rsid w:val="00CF47D8"/>
    <w:rsid w:val="00D27D12"/>
    <w:rsid w:val="00D44B94"/>
    <w:rsid w:val="00D46965"/>
    <w:rsid w:val="00D52440"/>
    <w:rsid w:val="00D73876"/>
    <w:rsid w:val="00D8622C"/>
    <w:rsid w:val="00D90229"/>
    <w:rsid w:val="00D9418E"/>
    <w:rsid w:val="00D96FBA"/>
    <w:rsid w:val="00DD031E"/>
    <w:rsid w:val="00DD2622"/>
    <w:rsid w:val="00DD58B8"/>
    <w:rsid w:val="00DE095F"/>
    <w:rsid w:val="00DE791A"/>
    <w:rsid w:val="00E21BE0"/>
    <w:rsid w:val="00E2518D"/>
    <w:rsid w:val="00E3464A"/>
    <w:rsid w:val="00E521E3"/>
    <w:rsid w:val="00E60431"/>
    <w:rsid w:val="00E704BC"/>
    <w:rsid w:val="00E726E1"/>
    <w:rsid w:val="00ED746D"/>
    <w:rsid w:val="00EF20B2"/>
    <w:rsid w:val="00F37F86"/>
    <w:rsid w:val="00F41972"/>
    <w:rsid w:val="00F513FE"/>
    <w:rsid w:val="00F6114C"/>
    <w:rsid w:val="00F61D8D"/>
    <w:rsid w:val="00F82CE6"/>
    <w:rsid w:val="00FB2EDF"/>
    <w:rsid w:val="00FD214C"/>
    <w:rsid w:val="194A0B26"/>
    <w:rsid w:val="3F9B22E6"/>
    <w:rsid w:val="48C40665"/>
    <w:rsid w:val="5E7301B8"/>
    <w:rsid w:val="69EC22B4"/>
    <w:rsid w:val="6F1E1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color w:val="auto"/>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semiHidden/>
    <w:unhideWhenUsed/>
    <w:qFormat/>
    <w:uiPriority w:val="99"/>
    <w:pPr>
      <w:spacing w:after="120"/>
    </w:p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
    <w:name w:val="网格型1"/>
    <w:basedOn w:val="4"/>
    <w:qFormat/>
    <w:uiPriority w:val="59"/>
    <w:rPr>
      <w:rFonts w:asciiTheme="minorHAnsi" w:hAnsiTheme="minorHAnsi" w:eastAsiaTheme="minorEastAsia" w:cstheme="minorBidi"/>
      <w:color w:val="auto"/>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272</Words>
  <Characters>1556</Characters>
  <Lines>12</Lines>
  <Paragraphs>3</Paragraphs>
  <TotalTime>0</TotalTime>
  <ScaleCrop>false</ScaleCrop>
  <LinksUpToDate>false</LinksUpToDate>
  <CharactersWithSpaces>1825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2021-06-30T18:02:00Z</dcterms:created>
  <dc:creator>GLO</dc:creator>
  <cp:lastModifiedBy>greatwall</cp:lastModifiedBy>
  <dcterms:modified xsi:type="dcterms:W3CDTF">2021-07-19T16:20:04Z</dcterms:modified>
  <dc:title>经营者集中简易案件公示表</dc:title>
  <cp:revision>268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