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eastAsia="楷体"/>
          <w:b/>
          <w:sz w:val="24"/>
          <w:szCs w:val="24"/>
        </w:rPr>
      </w:pPr>
    </w:p>
    <w:p>
      <w:pPr>
        <w:spacing w:line="440" w:lineRule="exact"/>
        <w:jc w:val="center"/>
        <w:rPr>
          <w:rFonts w:ascii="Times New Roman" w:hAnsi="Times New Roman" w:eastAsia="楷体"/>
          <w:b/>
          <w:sz w:val="24"/>
          <w:szCs w:val="24"/>
        </w:rPr>
      </w:pPr>
      <w:r>
        <w:rPr>
          <w:rFonts w:ascii="Times New Roman" w:hAnsi="Times New Roman" w:eastAsia="楷体"/>
          <w:b/>
          <w:sz w:val="24"/>
          <w:szCs w:val="24"/>
        </w:rPr>
        <w:t>经营者集中简易案件公示表</w:t>
      </w:r>
    </w:p>
    <w:p>
      <w:pPr>
        <w:spacing w:line="440" w:lineRule="exact"/>
        <w:rPr>
          <w:rFonts w:ascii="Times New Roman" w:hAnsi="Times New Roman"/>
          <w:sz w:val="28"/>
          <w:szCs w:val="28"/>
        </w:rPr>
      </w:pPr>
    </w:p>
    <w:tbl>
      <w:tblPr>
        <w:tblStyle w:val="9"/>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96"/>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809" w:type="dxa"/>
            <w:shd w:val="clear" w:color="auto" w:fill="D9D9D9"/>
            <w:vAlign w:val="center"/>
          </w:tcPr>
          <w:p>
            <w:pPr>
              <w:spacing w:line="500" w:lineRule="exact"/>
              <w:jc w:val="center"/>
              <w:rPr>
                <w:rFonts w:ascii="Times New Roman" w:hAnsi="Times New Roman" w:eastAsia="楷体"/>
                <w:b/>
                <w:sz w:val="24"/>
                <w:szCs w:val="24"/>
              </w:rPr>
            </w:pPr>
            <w:r>
              <w:rPr>
                <w:rFonts w:ascii="Times New Roman" w:hAnsi="Times New Roman" w:eastAsia="楷体"/>
                <w:b/>
                <w:sz w:val="24"/>
                <w:szCs w:val="24"/>
              </w:rPr>
              <w:t>案件名称</w:t>
            </w:r>
          </w:p>
        </w:tc>
        <w:tc>
          <w:tcPr>
            <w:tcW w:w="6949" w:type="dxa"/>
            <w:gridSpan w:val="2"/>
          </w:tcPr>
          <w:p>
            <w:pPr>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铜陵市建设投资控股有限责任公司等收购安徽天璇智能大数据运营有限公司股权案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09" w:type="dxa"/>
            <w:shd w:val="clear" w:color="auto" w:fill="D9D9D9"/>
            <w:vAlign w:val="center"/>
          </w:tcPr>
          <w:p>
            <w:pPr>
              <w:spacing w:line="500" w:lineRule="exact"/>
              <w:jc w:val="center"/>
              <w:rPr>
                <w:rFonts w:ascii="Times New Roman" w:hAnsi="Times New Roman" w:eastAsia="楷体"/>
                <w:b/>
                <w:sz w:val="24"/>
                <w:szCs w:val="24"/>
              </w:rPr>
            </w:pPr>
            <w:r>
              <w:rPr>
                <w:rFonts w:ascii="Times New Roman" w:hAnsi="Times New Roman" w:eastAsia="楷体"/>
                <w:b/>
                <w:sz w:val="24"/>
                <w:szCs w:val="24"/>
              </w:rPr>
              <w:t>交易概况</w:t>
            </w:r>
          </w:p>
          <w:p>
            <w:pPr>
              <w:spacing w:line="500" w:lineRule="exact"/>
              <w:jc w:val="center"/>
              <w:rPr>
                <w:rFonts w:ascii="Times New Roman" w:hAnsi="Times New Roman" w:eastAsia="楷体"/>
                <w:b/>
                <w:sz w:val="24"/>
                <w:szCs w:val="24"/>
              </w:rPr>
            </w:pPr>
            <w:r>
              <w:rPr>
                <w:rFonts w:ascii="Times New Roman" w:hAnsi="Times New Roman" w:eastAsia="楷体"/>
                <w:b/>
                <w:sz w:val="24"/>
                <w:szCs w:val="24"/>
              </w:rPr>
              <w:t>（限200字内）</w:t>
            </w:r>
          </w:p>
        </w:tc>
        <w:tc>
          <w:tcPr>
            <w:tcW w:w="6949" w:type="dxa"/>
            <w:gridSpan w:val="2"/>
          </w:tcPr>
          <w:p>
            <w:pPr>
              <w:ind w:left="0" w:leftChars="0" w:firstLine="420" w:firstLineChars="175"/>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交易各方拟在铜陵市建立北斗高精度位置数据中心，开展北斗高精度科技项目的试点与应用，以及北斗高精度科学研究与交流活动。</w:t>
            </w:r>
          </w:p>
          <w:p>
            <w:pPr>
              <w:ind w:left="0" w:leftChars="0" w:firstLine="420" w:firstLineChars="175"/>
              <w:rPr>
                <w:rFonts w:hint="eastAsia" w:ascii="楷体" w:hAnsi="楷体" w:eastAsia="楷体" w:cs="楷体"/>
                <w:color w:val="333333"/>
                <w:kern w:val="0"/>
                <w:sz w:val="24"/>
                <w:szCs w:val="24"/>
                <w:lang w:val="en-US" w:eastAsia="zh-CN"/>
              </w:rPr>
            </w:pPr>
            <w:r>
              <w:rPr>
                <w:rFonts w:hint="eastAsia" w:ascii="楷体" w:hAnsi="楷体" w:eastAsia="楷体" w:cs="楷体"/>
                <w:color w:val="333333"/>
                <w:kern w:val="0"/>
                <w:sz w:val="24"/>
                <w:szCs w:val="24"/>
                <w:lang w:val="en-US" w:eastAsia="zh-CN"/>
              </w:rPr>
              <w:t>交易前，千寻位置和上海屹孚持分别持有天璇智能54%和46%的股份，千寻位置和上海屹孚对天璇智能实施共同控制。</w:t>
            </w:r>
          </w:p>
          <w:p>
            <w:pPr>
              <w:ind w:left="0" w:leftChars="0" w:firstLine="420" w:firstLineChars="175"/>
              <w:rPr>
                <w:rFonts w:hint="default" w:ascii="楷体" w:hAnsi="楷体" w:eastAsia="楷体" w:cs="楷体"/>
                <w:color w:val="333333"/>
                <w:kern w:val="0"/>
                <w:sz w:val="24"/>
                <w:szCs w:val="24"/>
                <w:lang w:val="en-US" w:eastAsia="zh-CN"/>
              </w:rPr>
            </w:pPr>
            <w:r>
              <w:rPr>
                <w:rFonts w:hint="eastAsia" w:ascii="楷体" w:hAnsi="楷体" w:eastAsia="楷体" w:cs="楷体"/>
                <w:color w:val="333333"/>
                <w:kern w:val="0"/>
                <w:sz w:val="24"/>
                <w:szCs w:val="24"/>
                <w:lang w:val="en-US" w:eastAsia="zh-CN"/>
              </w:rPr>
              <w:t>根据协议，天璇智能拟新增注册资本2000万元，新增资本由千寻位置、上海屹孚、国动新基建、铜陵建投、铜陵国控认购。</w:t>
            </w:r>
          </w:p>
          <w:p>
            <w:pPr>
              <w:ind w:left="0" w:leftChars="0" w:firstLine="420" w:firstLineChars="175"/>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lang w:val="en-US" w:eastAsia="zh-CN"/>
              </w:rPr>
              <w:t>交易后，千寻位置、上海屹孚、国动新基建、铜陵建投和铜陵国控将分别持有天璇智能34%、33%、13%、10%和10%的股份，千寻位置、上海屹孚和铜陵建投对天璇智能实施共同控制。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vMerge w:val="restart"/>
            <w:shd w:val="clear" w:color="auto" w:fill="D9D9D9"/>
            <w:vAlign w:val="center"/>
          </w:tcPr>
          <w:p>
            <w:pPr>
              <w:spacing w:line="500" w:lineRule="exact"/>
              <w:jc w:val="center"/>
              <w:rPr>
                <w:rFonts w:ascii="Times New Roman" w:hAnsi="Times New Roman" w:eastAsia="楷体"/>
                <w:b/>
                <w:sz w:val="24"/>
                <w:szCs w:val="24"/>
              </w:rPr>
            </w:pPr>
            <w:r>
              <w:rPr>
                <w:rFonts w:ascii="Times New Roman" w:hAnsi="Times New Roman" w:eastAsia="楷体"/>
                <w:b/>
                <w:sz w:val="24"/>
                <w:szCs w:val="24"/>
              </w:rPr>
              <w:t>参与集中的</w:t>
            </w:r>
          </w:p>
          <w:p>
            <w:pPr>
              <w:spacing w:line="500" w:lineRule="exact"/>
              <w:jc w:val="center"/>
              <w:rPr>
                <w:rFonts w:ascii="Times New Roman" w:hAnsi="Times New Roman" w:eastAsia="楷体"/>
                <w:b/>
                <w:sz w:val="24"/>
                <w:szCs w:val="24"/>
              </w:rPr>
            </w:pPr>
            <w:r>
              <w:rPr>
                <w:rFonts w:ascii="Times New Roman" w:hAnsi="Times New Roman" w:eastAsia="楷体"/>
                <w:b/>
                <w:sz w:val="24"/>
                <w:szCs w:val="24"/>
              </w:rPr>
              <w:t>经营者简介</w:t>
            </w:r>
          </w:p>
        </w:tc>
        <w:tc>
          <w:tcPr>
            <w:tcW w:w="1796" w:type="dxa"/>
          </w:tcPr>
          <w:p>
            <w:pPr>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1、千寻位置网络有限公司（“</w:t>
            </w:r>
            <w:r>
              <w:rPr>
                <w:rFonts w:hint="eastAsia" w:ascii="楷体" w:hAnsi="楷体" w:eastAsia="楷体" w:cs="楷体"/>
                <w:b/>
                <w:color w:val="333333"/>
                <w:kern w:val="0"/>
                <w:sz w:val="24"/>
                <w:szCs w:val="24"/>
              </w:rPr>
              <w:t>千寻位置</w:t>
            </w:r>
            <w:r>
              <w:rPr>
                <w:rFonts w:hint="eastAsia" w:ascii="楷体" w:hAnsi="楷体" w:eastAsia="楷体" w:cs="楷体"/>
                <w:color w:val="333333"/>
                <w:kern w:val="0"/>
                <w:sz w:val="24"/>
                <w:szCs w:val="24"/>
              </w:rPr>
              <w:t>”）</w:t>
            </w:r>
          </w:p>
        </w:tc>
        <w:tc>
          <w:tcPr>
            <w:tcW w:w="5153" w:type="dxa"/>
          </w:tcPr>
          <w:p>
            <w:pPr>
              <w:jc w:val="left"/>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千寻位置自2015年8月成立以来，已面向测量测绘、智慧农业、地质灾害安全监测等行业和应用提供商业化高精度位置服务。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vAlign w:val="center"/>
          </w:tcPr>
          <w:p>
            <w:pPr>
              <w:spacing w:line="500" w:lineRule="exact"/>
              <w:jc w:val="center"/>
              <w:rPr>
                <w:rFonts w:ascii="Times New Roman" w:hAnsi="Times New Roman" w:eastAsia="楷体"/>
                <w:b/>
                <w:sz w:val="24"/>
                <w:szCs w:val="24"/>
              </w:rPr>
            </w:pPr>
          </w:p>
        </w:tc>
        <w:tc>
          <w:tcPr>
            <w:tcW w:w="1796" w:type="dxa"/>
          </w:tcPr>
          <w:p>
            <w:pPr>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2、上海屹孚股权投资基金管理有限公司（“</w:t>
            </w:r>
            <w:r>
              <w:rPr>
                <w:rFonts w:hint="eastAsia" w:ascii="楷体" w:hAnsi="楷体" w:eastAsia="楷体" w:cs="楷体"/>
                <w:b/>
                <w:color w:val="333333"/>
                <w:kern w:val="0"/>
                <w:sz w:val="24"/>
                <w:szCs w:val="24"/>
              </w:rPr>
              <w:t>上海屹孚</w:t>
            </w:r>
            <w:r>
              <w:rPr>
                <w:rFonts w:hint="eastAsia" w:ascii="楷体" w:hAnsi="楷体" w:eastAsia="楷体" w:cs="楷体"/>
                <w:color w:val="333333"/>
                <w:kern w:val="0"/>
                <w:sz w:val="24"/>
                <w:szCs w:val="24"/>
              </w:rPr>
              <w:t>”）</w:t>
            </w:r>
          </w:p>
        </w:tc>
        <w:tc>
          <w:tcPr>
            <w:tcW w:w="5153" w:type="dxa"/>
          </w:tcPr>
          <w:p>
            <w:pPr>
              <w:jc w:val="left"/>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上海屹孚于2015年9月25日成立，主要从事股权投资管理，投资管理。其与本次交易新加入的投资方——国动新基建（上海）有限公司（“</w:t>
            </w:r>
            <w:r>
              <w:rPr>
                <w:rFonts w:hint="eastAsia" w:ascii="楷体" w:hAnsi="楷体" w:eastAsia="楷体" w:cs="楷体"/>
                <w:b/>
                <w:color w:val="333333"/>
                <w:kern w:val="0"/>
                <w:sz w:val="24"/>
                <w:szCs w:val="24"/>
              </w:rPr>
              <w:t>国动新基建</w:t>
            </w:r>
            <w:r>
              <w:rPr>
                <w:rFonts w:hint="eastAsia" w:ascii="楷体" w:hAnsi="楷体" w:eastAsia="楷体" w:cs="楷体"/>
                <w:color w:val="333333"/>
                <w:kern w:val="0"/>
                <w:sz w:val="24"/>
                <w:szCs w:val="24"/>
              </w:rPr>
              <w:t>”）均由国动控股有限公司控制。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vAlign w:val="center"/>
          </w:tcPr>
          <w:p>
            <w:pPr>
              <w:spacing w:line="500" w:lineRule="exact"/>
              <w:jc w:val="center"/>
              <w:rPr>
                <w:rFonts w:ascii="Times New Roman" w:hAnsi="Times New Roman" w:eastAsia="楷体"/>
                <w:b/>
                <w:sz w:val="24"/>
                <w:szCs w:val="24"/>
              </w:rPr>
            </w:pPr>
          </w:p>
        </w:tc>
        <w:tc>
          <w:tcPr>
            <w:tcW w:w="1796" w:type="dxa"/>
          </w:tcPr>
          <w:p>
            <w:pPr>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3、铜陵市建设投资控股有限责任公司（“</w:t>
            </w:r>
            <w:r>
              <w:rPr>
                <w:rFonts w:hint="eastAsia" w:ascii="楷体" w:hAnsi="楷体" w:eastAsia="楷体" w:cs="楷体"/>
                <w:b/>
                <w:color w:val="333333"/>
                <w:kern w:val="0"/>
                <w:sz w:val="24"/>
                <w:szCs w:val="24"/>
              </w:rPr>
              <w:t>铜陵建投</w:t>
            </w:r>
            <w:r>
              <w:rPr>
                <w:rFonts w:hint="eastAsia" w:ascii="楷体" w:hAnsi="楷体" w:eastAsia="楷体" w:cs="楷体"/>
                <w:color w:val="333333"/>
                <w:kern w:val="0"/>
                <w:sz w:val="24"/>
                <w:szCs w:val="24"/>
              </w:rPr>
              <w:t>”）</w:t>
            </w:r>
          </w:p>
        </w:tc>
        <w:tc>
          <w:tcPr>
            <w:tcW w:w="5153" w:type="dxa"/>
          </w:tcPr>
          <w:p>
            <w:pPr>
              <w:jc w:val="left"/>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铜陵建投于2008年10月20日成立，主要从事城市基础设施、基础产业、交通及市政公用事业项目投资、融资、建设和运营。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vAlign w:val="center"/>
          </w:tcPr>
          <w:p>
            <w:pPr>
              <w:spacing w:line="500" w:lineRule="exact"/>
              <w:jc w:val="center"/>
              <w:rPr>
                <w:rFonts w:ascii="Times New Roman" w:hAnsi="Times New Roman" w:eastAsia="楷体"/>
                <w:b/>
                <w:sz w:val="24"/>
                <w:szCs w:val="24"/>
              </w:rPr>
            </w:pPr>
          </w:p>
        </w:tc>
        <w:tc>
          <w:tcPr>
            <w:tcW w:w="1796" w:type="dxa"/>
          </w:tcPr>
          <w:p>
            <w:pPr>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4、安徽天璇智能大数据运营有限公司（“</w:t>
            </w:r>
            <w:r>
              <w:rPr>
                <w:rFonts w:hint="eastAsia" w:ascii="楷体" w:hAnsi="楷体" w:eastAsia="楷体" w:cs="楷体"/>
                <w:b/>
                <w:color w:val="333333"/>
                <w:kern w:val="0"/>
                <w:sz w:val="24"/>
                <w:szCs w:val="24"/>
              </w:rPr>
              <w:t>天璇智能</w:t>
            </w:r>
            <w:r>
              <w:rPr>
                <w:rFonts w:hint="eastAsia" w:ascii="楷体" w:hAnsi="楷体" w:eastAsia="楷体" w:cs="楷体"/>
                <w:color w:val="333333"/>
                <w:kern w:val="0"/>
                <w:sz w:val="24"/>
                <w:szCs w:val="24"/>
              </w:rPr>
              <w:t>”）</w:t>
            </w:r>
          </w:p>
        </w:tc>
        <w:tc>
          <w:tcPr>
            <w:tcW w:w="5153" w:type="dxa"/>
          </w:tcPr>
          <w:p>
            <w:pPr>
              <w:jc w:val="left"/>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天璇智能于2021年2月7日成立，主要从事北斗时空大数据的投资、设计、建设、运营、管理和维护。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09" w:type="dxa"/>
            <w:vMerge w:val="restart"/>
            <w:shd w:val="clear" w:color="auto" w:fill="D9D9D9"/>
            <w:vAlign w:val="center"/>
          </w:tcPr>
          <w:p>
            <w:pPr>
              <w:spacing w:line="500" w:lineRule="exact"/>
              <w:jc w:val="center"/>
              <w:rPr>
                <w:rFonts w:ascii="Times New Roman" w:hAnsi="Times New Roman" w:eastAsia="楷体"/>
                <w:b/>
                <w:sz w:val="24"/>
                <w:szCs w:val="24"/>
              </w:rPr>
            </w:pPr>
            <w:r>
              <w:rPr>
                <w:rFonts w:ascii="Times New Roman" w:hAnsi="Times New Roman" w:eastAsia="楷体"/>
                <w:b/>
                <w:sz w:val="24"/>
                <w:szCs w:val="24"/>
              </w:rPr>
              <w:t>简易案件理由（可以单选，也可以多选）</w:t>
            </w:r>
          </w:p>
        </w:tc>
        <w:tc>
          <w:tcPr>
            <w:tcW w:w="6949" w:type="dxa"/>
            <w:gridSpan w:val="2"/>
          </w:tcPr>
          <w:p>
            <w:pPr>
              <w:rPr>
                <w:rFonts w:hint="eastAsia" w:ascii="楷体" w:hAnsi="楷体" w:eastAsia="楷体" w:cs="楷体"/>
                <w:color w:val="333333"/>
                <w:kern w:val="0"/>
                <w:sz w:val="24"/>
                <w:szCs w:val="24"/>
              </w:rPr>
            </w:pPr>
            <w:r>
              <w:rPr>
                <w:rFonts w:hint="eastAsia" w:ascii="楷体" w:hAnsi="楷体" w:eastAsia="楷体" w:cs="楷体"/>
                <w:szCs w:val="21"/>
              </w:rPr>
              <w:sym w:font="Wingdings" w:char="F0FE"/>
            </w:r>
            <w:r>
              <w:rPr>
                <w:rFonts w:hint="eastAsia" w:ascii="楷体" w:hAnsi="楷体" w:eastAsia="楷体" w:cs="楷体"/>
                <w:color w:val="333333"/>
                <w:kern w:val="0"/>
                <w:sz w:val="24"/>
                <w:szCs w:val="24"/>
              </w:rPr>
              <w:t>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9" w:type="dxa"/>
            <w:vMerge w:val="continue"/>
            <w:shd w:val="clear" w:color="auto" w:fill="D9D9D9"/>
            <w:vAlign w:val="center"/>
          </w:tcPr>
          <w:p>
            <w:pPr>
              <w:spacing w:line="500" w:lineRule="exact"/>
              <w:jc w:val="center"/>
              <w:rPr>
                <w:rFonts w:ascii="Times New Roman" w:hAnsi="Times New Roman" w:eastAsia="楷体"/>
                <w:b/>
                <w:sz w:val="24"/>
                <w:szCs w:val="24"/>
              </w:rPr>
            </w:pPr>
          </w:p>
        </w:tc>
        <w:tc>
          <w:tcPr>
            <w:tcW w:w="6949" w:type="dxa"/>
            <w:gridSpan w:val="2"/>
          </w:tcPr>
          <w:p>
            <w:pPr>
              <w:rPr>
                <w:rFonts w:hint="eastAsia" w:ascii="楷体" w:hAnsi="楷体" w:eastAsia="楷体" w:cs="楷体"/>
                <w:color w:val="333333"/>
                <w:kern w:val="0"/>
                <w:sz w:val="24"/>
                <w:szCs w:val="24"/>
              </w:rPr>
            </w:pPr>
            <w:r>
              <w:rPr>
                <w:rFonts w:hint="eastAsia" w:ascii="楷体" w:hAnsi="楷体" w:eastAsia="楷体" w:cs="楷体"/>
                <w:szCs w:val="21"/>
              </w:rPr>
              <w:sym w:font="Wingdings" w:char="F0FE"/>
            </w:r>
            <w:r>
              <w:rPr>
                <w:rFonts w:hint="eastAsia" w:ascii="楷体" w:hAnsi="楷体" w:eastAsia="楷体" w:cs="楷体"/>
                <w:color w:val="333333"/>
                <w:kern w:val="0"/>
                <w:sz w:val="24"/>
                <w:szCs w:val="24"/>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09" w:type="dxa"/>
            <w:vMerge w:val="continue"/>
            <w:shd w:val="clear" w:color="auto" w:fill="D9D9D9"/>
            <w:vAlign w:val="center"/>
          </w:tcPr>
          <w:p>
            <w:pPr>
              <w:spacing w:line="500" w:lineRule="exact"/>
              <w:jc w:val="center"/>
              <w:rPr>
                <w:rFonts w:ascii="Times New Roman" w:hAnsi="Times New Roman" w:eastAsia="楷体"/>
                <w:b/>
                <w:sz w:val="24"/>
                <w:szCs w:val="24"/>
              </w:rPr>
            </w:pPr>
          </w:p>
        </w:tc>
        <w:tc>
          <w:tcPr>
            <w:tcW w:w="6949" w:type="dxa"/>
            <w:gridSpan w:val="2"/>
          </w:tcPr>
          <w:p>
            <w:pPr>
              <w:rPr>
                <w:rFonts w:hint="eastAsia" w:ascii="楷体" w:hAnsi="楷体" w:eastAsia="楷体" w:cs="楷体"/>
                <w:color w:val="333333"/>
                <w:kern w:val="0"/>
                <w:sz w:val="24"/>
                <w:szCs w:val="24"/>
              </w:rPr>
            </w:pPr>
            <w:r>
              <w:rPr>
                <w:rFonts w:hint="eastAsia" w:ascii="楷体" w:hAnsi="楷体" w:eastAsia="楷体" w:cs="楷体"/>
              </w:rPr>
              <w:sym w:font="Wingdings" w:char="F0A8"/>
            </w:r>
            <w:r>
              <w:rPr>
                <w:rFonts w:hint="eastAsia" w:ascii="楷体" w:hAnsi="楷体" w:eastAsia="楷体" w:cs="楷体"/>
                <w:color w:val="333333"/>
                <w:kern w:val="0"/>
                <w:sz w:val="24"/>
                <w:szCs w:val="24"/>
              </w:rPr>
              <w:t>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809" w:type="dxa"/>
            <w:vMerge w:val="continue"/>
            <w:shd w:val="clear" w:color="auto" w:fill="D9D9D9"/>
            <w:vAlign w:val="center"/>
          </w:tcPr>
          <w:p>
            <w:pPr>
              <w:spacing w:line="500" w:lineRule="exact"/>
              <w:jc w:val="center"/>
              <w:rPr>
                <w:rFonts w:ascii="Times New Roman" w:hAnsi="Times New Roman" w:eastAsia="楷体"/>
                <w:b/>
                <w:sz w:val="24"/>
                <w:szCs w:val="24"/>
              </w:rPr>
            </w:pPr>
          </w:p>
        </w:tc>
        <w:tc>
          <w:tcPr>
            <w:tcW w:w="6949" w:type="dxa"/>
            <w:gridSpan w:val="2"/>
          </w:tcPr>
          <w:p>
            <w:pPr>
              <w:rPr>
                <w:rFonts w:hint="eastAsia" w:ascii="楷体" w:hAnsi="楷体" w:eastAsia="楷体" w:cs="楷体"/>
                <w:color w:val="333333"/>
                <w:kern w:val="0"/>
                <w:sz w:val="24"/>
                <w:szCs w:val="24"/>
              </w:rPr>
            </w:pPr>
            <w:r>
              <w:rPr>
                <w:rFonts w:hint="eastAsia" w:ascii="楷体" w:hAnsi="楷体" w:eastAsia="楷体" w:cs="楷体"/>
              </w:rPr>
              <w:sym w:font="Wingdings" w:char="F0A8"/>
            </w:r>
            <w:r>
              <w:rPr>
                <w:rFonts w:hint="eastAsia" w:ascii="楷体" w:hAnsi="楷体" w:eastAsia="楷体" w:cs="楷体"/>
                <w:color w:val="333333"/>
                <w:kern w:val="0"/>
                <w:sz w:val="24"/>
                <w:szCs w:val="24"/>
              </w:rPr>
              <w:t>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09" w:type="dxa"/>
            <w:vMerge w:val="continue"/>
            <w:shd w:val="clear" w:color="auto" w:fill="D9D9D9"/>
            <w:vAlign w:val="center"/>
          </w:tcPr>
          <w:p>
            <w:pPr>
              <w:spacing w:line="500" w:lineRule="exact"/>
              <w:jc w:val="center"/>
              <w:rPr>
                <w:rFonts w:ascii="Times New Roman" w:hAnsi="Times New Roman" w:eastAsia="楷体"/>
                <w:b/>
                <w:sz w:val="24"/>
                <w:szCs w:val="24"/>
              </w:rPr>
            </w:pPr>
          </w:p>
        </w:tc>
        <w:tc>
          <w:tcPr>
            <w:tcW w:w="6949" w:type="dxa"/>
            <w:gridSpan w:val="2"/>
          </w:tcPr>
          <w:p>
            <w:pPr>
              <w:rPr>
                <w:rFonts w:hint="eastAsia" w:ascii="楷体" w:hAnsi="楷体" w:eastAsia="楷体" w:cs="楷体"/>
                <w:color w:val="333333"/>
                <w:kern w:val="0"/>
                <w:sz w:val="24"/>
                <w:szCs w:val="24"/>
              </w:rPr>
            </w:pPr>
            <w:r>
              <w:rPr>
                <w:rFonts w:hint="eastAsia" w:ascii="楷体" w:hAnsi="楷体" w:eastAsia="楷体" w:cs="楷体"/>
              </w:rPr>
              <w:sym w:font="Wingdings" w:char="F0A8"/>
            </w:r>
            <w:r>
              <w:rPr>
                <w:rFonts w:hint="eastAsia" w:ascii="楷体" w:hAnsi="楷体" w:eastAsia="楷体" w:cs="楷体"/>
                <w:color w:val="333333"/>
                <w:kern w:val="0"/>
                <w:sz w:val="24"/>
                <w:szCs w:val="24"/>
              </w:rPr>
              <w:t>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09" w:type="dxa"/>
            <w:vMerge w:val="continue"/>
            <w:shd w:val="clear" w:color="auto" w:fill="D9D9D9"/>
            <w:vAlign w:val="center"/>
          </w:tcPr>
          <w:p>
            <w:pPr>
              <w:spacing w:line="500" w:lineRule="exact"/>
              <w:jc w:val="center"/>
              <w:rPr>
                <w:rFonts w:ascii="Times New Roman" w:hAnsi="Times New Roman" w:eastAsia="楷体"/>
                <w:b/>
                <w:sz w:val="24"/>
                <w:szCs w:val="24"/>
              </w:rPr>
            </w:pPr>
          </w:p>
        </w:tc>
        <w:tc>
          <w:tcPr>
            <w:tcW w:w="6949" w:type="dxa"/>
            <w:gridSpan w:val="2"/>
          </w:tcPr>
          <w:p>
            <w:pPr>
              <w:rPr>
                <w:rFonts w:hint="eastAsia" w:ascii="楷体" w:hAnsi="楷体" w:eastAsia="楷体" w:cs="楷体"/>
                <w:color w:val="333333"/>
                <w:kern w:val="0"/>
                <w:sz w:val="24"/>
                <w:szCs w:val="24"/>
              </w:rPr>
            </w:pPr>
            <w:r>
              <w:rPr>
                <w:rFonts w:hint="eastAsia" w:ascii="楷体" w:hAnsi="楷体" w:eastAsia="楷体" w:cs="楷体"/>
              </w:rPr>
              <w:sym w:font="Wingdings" w:char="F0A8"/>
            </w:r>
            <w:r>
              <w:rPr>
                <w:rFonts w:hint="eastAsia" w:ascii="楷体" w:hAnsi="楷体" w:eastAsia="楷体" w:cs="楷体"/>
                <w:color w:val="333333"/>
                <w:kern w:val="0"/>
                <w:sz w:val="24"/>
                <w:szCs w:val="24"/>
              </w:rPr>
              <w:t>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spacing w:line="500" w:lineRule="exact"/>
              <w:jc w:val="center"/>
              <w:rPr>
                <w:rFonts w:ascii="Times New Roman" w:hAnsi="Times New Roman" w:eastAsia="楷体"/>
                <w:b/>
                <w:sz w:val="24"/>
                <w:szCs w:val="24"/>
              </w:rPr>
            </w:pPr>
            <w:r>
              <w:rPr>
                <w:rFonts w:ascii="Times New Roman" w:hAnsi="Times New Roman" w:eastAsia="楷体"/>
                <w:b/>
                <w:sz w:val="24"/>
                <w:szCs w:val="24"/>
              </w:rPr>
              <w:t>备注</w:t>
            </w:r>
          </w:p>
        </w:tc>
        <w:tc>
          <w:tcPr>
            <w:tcW w:w="6949" w:type="dxa"/>
            <w:gridSpan w:val="2"/>
          </w:tcPr>
          <w:p>
            <w:pPr>
              <w:pStyle w:val="20"/>
              <w:numPr>
                <w:ilvl w:val="0"/>
                <w:numId w:val="1"/>
              </w:numPr>
              <w:ind w:firstLineChars="0"/>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中国</w:t>
            </w:r>
            <w:r>
              <w:rPr>
                <w:rFonts w:hint="eastAsia" w:ascii="楷体" w:hAnsi="楷体" w:eastAsia="楷体" w:cs="楷体"/>
                <w:color w:val="333333"/>
                <w:kern w:val="0"/>
                <w:sz w:val="24"/>
                <w:szCs w:val="24"/>
                <w:lang w:val="en-US" w:eastAsia="zh-CN"/>
              </w:rPr>
              <w:t>境内</w:t>
            </w:r>
            <w:r>
              <w:rPr>
                <w:rFonts w:hint="eastAsia" w:ascii="楷体" w:hAnsi="楷体" w:eastAsia="楷体" w:cs="楷体"/>
                <w:color w:val="333333"/>
                <w:kern w:val="0"/>
                <w:sz w:val="24"/>
                <w:szCs w:val="24"/>
              </w:rPr>
              <w:t>高精度定位服务市场</w:t>
            </w:r>
          </w:p>
          <w:p>
            <w:pPr>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w:t>
            </w:r>
            <w:r>
              <w:rPr>
                <w:rFonts w:hint="eastAsia" w:ascii="楷体" w:hAnsi="楷体" w:eastAsia="楷体" w:cs="楷体"/>
                <w:color w:val="333333"/>
                <w:kern w:val="0"/>
                <w:sz w:val="24"/>
                <w:szCs w:val="24"/>
              </w:rPr>
              <w:tab/>
            </w:r>
            <w:r>
              <w:rPr>
                <w:rFonts w:hint="eastAsia" w:ascii="楷体" w:hAnsi="楷体" w:eastAsia="楷体" w:cs="楷体"/>
                <w:color w:val="333333"/>
                <w:kern w:val="0"/>
                <w:sz w:val="24"/>
                <w:szCs w:val="24"/>
              </w:rPr>
              <w:t>千寻位置：[5-10]%；</w:t>
            </w:r>
          </w:p>
          <w:p>
            <w:pPr>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w:t>
            </w:r>
            <w:r>
              <w:rPr>
                <w:rFonts w:hint="eastAsia" w:ascii="楷体" w:hAnsi="楷体" w:eastAsia="楷体" w:cs="楷体"/>
                <w:color w:val="333333"/>
                <w:kern w:val="0"/>
                <w:sz w:val="24"/>
                <w:szCs w:val="24"/>
              </w:rPr>
              <w:tab/>
            </w:r>
            <w:r>
              <w:rPr>
                <w:rFonts w:hint="eastAsia" w:ascii="楷体" w:hAnsi="楷体" w:eastAsia="楷体" w:cs="楷体"/>
                <w:color w:val="333333"/>
                <w:kern w:val="0"/>
                <w:sz w:val="24"/>
                <w:szCs w:val="24"/>
              </w:rPr>
              <w:t>上海屹孚：0；</w:t>
            </w:r>
          </w:p>
          <w:p>
            <w:pPr>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w:t>
            </w:r>
            <w:r>
              <w:rPr>
                <w:rFonts w:hint="eastAsia" w:ascii="楷体" w:hAnsi="楷体" w:eastAsia="楷体" w:cs="楷体"/>
                <w:color w:val="333333"/>
                <w:kern w:val="0"/>
                <w:sz w:val="24"/>
                <w:szCs w:val="24"/>
              </w:rPr>
              <w:tab/>
            </w:r>
            <w:r>
              <w:rPr>
                <w:rFonts w:hint="eastAsia" w:ascii="楷体" w:hAnsi="楷体" w:eastAsia="楷体" w:cs="楷体"/>
                <w:color w:val="333333"/>
                <w:kern w:val="0"/>
                <w:sz w:val="24"/>
                <w:szCs w:val="24"/>
              </w:rPr>
              <w:t>铜陵建投：0；</w:t>
            </w:r>
          </w:p>
          <w:p>
            <w:pPr>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w:t>
            </w:r>
            <w:r>
              <w:rPr>
                <w:rFonts w:hint="eastAsia" w:ascii="楷体" w:hAnsi="楷体" w:eastAsia="楷体" w:cs="楷体"/>
                <w:color w:val="333333"/>
                <w:kern w:val="0"/>
                <w:sz w:val="24"/>
                <w:szCs w:val="24"/>
              </w:rPr>
              <w:tab/>
            </w:r>
            <w:r>
              <w:rPr>
                <w:rFonts w:hint="eastAsia" w:ascii="楷体" w:hAnsi="楷体" w:eastAsia="楷体" w:cs="楷体"/>
                <w:color w:val="333333"/>
                <w:kern w:val="0"/>
                <w:sz w:val="24"/>
                <w:szCs w:val="24"/>
              </w:rPr>
              <w:t>天璇智能：0。</w:t>
            </w:r>
          </w:p>
          <w:p>
            <w:pPr>
              <w:rPr>
                <w:rFonts w:hint="eastAsia" w:ascii="楷体" w:hAnsi="楷体" w:eastAsia="楷体" w:cs="楷体"/>
                <w:color w:val="333333"/>
                <w:kern w:val="0"/>
                <w:sz w:val="24"/>
                <w:szCs w:val="24"/>
              </w:rPr>
            </w:pPr>
          </w:p>
          <w:p>
            <w:pPr>
              <w:pStyle w:val="20"/>
              <w:numPr>
                <w:ilvl w:val="0"/>
                <w:numId w:val="1"/>
              </w:numPr>
              <w:ind w:firstLineChars="0"/>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中国</w:t>
            </w:r>
            <w:r>
              <w:rPr>
                <w:rFonts w:hint="eastAsia" w:ascii="楷体" w:hAnsi="楷体" w:eastAsia="楷体" w:cs="楷体"/>
                <w:color w:val="333333"/>
                <w:kern w:val="0"/>
                <w:sz w:val="24"/>
                <w:szCs w:val="24"/>
                <w:lang w:val="en-US" w:eastAsia="zh-CN"/>
              </w:rPr>
              <w:t>境内</w:t>
            </w:r>
            <w:r>
              <w:rPr>
                <w:rFonts w:hint="eastAsia" w:ascii="楷体" w:hAnsi="楷体" w:eastAsia="楷体" w:cs="楷体"/>
                <w:color w:val="333333"/>
                <w:kern w:val="0"/>
                <w:sz w:val="24"/>
                <w:szCs w:val="24"/>
              </w:rPr>
              <w:t>智慧停车建设运营服务市场</w:t>
            </w:r>
          </w:p>
          <w:p>
            <w:pPr>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w:t>
            </w:r>
            <w:r>
              <w:rPr>
                <w:rFonts w:hint="eastAsia" w:ascii="楷体" w:hAnsi="楷体" w:eastAsia="楷体" w:cs="楷体"/>
                <w:color w:val="333333"/>
                <w:kern w:val="0"/>
                <w:sz w:val="24"/>
                <w:szCs w:val="24"/>
              </w:rPr>
              <w:tab/>
            </w:r>
            <w:r>
              <w:rPr>
                <w:rFonts w:hint="eastAsia" w:ascii="楷体" w:hAnsi="楷体" w:eastAsia="楷体" w:cs="楷体"/>
                <w:color w:val="333333"/>
                <w:kern w:val="0"/>
                <w:sz w:val="24"/>
                <w:szCs w:val="24"/>
              </w:rPr>
              <w:t>千寻位置：0；</w:t>
            </w:r>
          </w:p>
          <w:p>
            <w:pPr>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w:t>
            </w:r>
            <w:r>
              <w:rPr>
                <w:rFonts w:hint="eastAsia" w:ascii="楷体" w:hAnsi="楷体" w:eastAsia="楷体" w:cs="楷体"/>
                <w:color w:val="333333"/>
                <w:kern w:val="0"/>
                <w:sz w:val="24"/>
                <w:szCs w:val="24"/>
              </w:rPr>
              <w:tab/>
            </w:r>
            <w:r>
              <w:rPr>
                <w:rFonts w:hint="eastAsia" w:ascii="楷体" w:hAnsi="楷体" w:eastAsia="楷体" w:cs="楷体"/>
                <w:color w:val="333333"/>
                <w:kern w:val="0"/>
                <w:sz w:val="24"/>
                <w:szCs w:val="24"/>
              </w:rPr>
              <w:t>上海屹孚：0；</w:t>
            </w:r>
          </w:p>
          <w:p>
            <w:pPr>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w:t>
            </w:r>
            <w:r>
              <w:rPr>
                <w:rFonts w:hint="eastAsia" w:ascii="楷体" w:hAnsi="楷体" w:eastAsia="楷体" w:cs="楷体"/>
                <w:color w:val="333333"/>
                <w:kern w:val="0"/>
                <w:sz w:val="24"/>
                <w:szCs w:val="24"/>
              </w:rPr>
              <w:tab/>
            </w:r>
            <w:r>
              <w:rPr>
                <w:rFonts w:hint="eastAsia" w:ascii="楷体" w:hAnsi="楷体" w:eastAsia="楷体" w:cs="楷体"/>
                <w:color w:val="333333"/>
                <w:kern w:val="0"/>
                <w:sz w:val="24"/>
                <w:szCs w:val="24"/>
              </w:rPr>
              <w:t>铜陵建投：0；</w:t>
            </w:r>
            <w:bookmarkStart w:id="0" w:name="_GoBack"/>
            <w:bookmarkEnd w:id="0"/>
          </w:p>
          <w:p>
            <w:pPr>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w:t>
            </w:r>
            <w:r>
              <w:rPr>
                <w:rFonts w:hint="eastAsia" w:ascii="楷体" w:hAnsi="楷体" w:eastAsia="楷体" w:cs="楷体"/>
                <w:color w:val="333333"/>
                <w:kern w:val="0"/>
                <w:sz w:val="24"/>
                <w:szCs w:val="24"/>
              </w:rPr>
              <w:tab/>
            </w:r>
            <w:r>
              <w:rPr>
                <w:rFonts w:hint="eastAsia" w:ascii="楷体" w:hAnsi="楷体" w:eastAsia="楷体" w:cs="楷体"/>
                <w:color w:val="333333"/>
                <w:kern w:val="0"/>
                <w:sz w:val="24"/>
                <w:szCs w:val="24"/>
              </w:rPr>
              <w:t>天璇智能：0。</w:t>
            </w:r>
          </w:p>
          <w:p>
            <w:pPr>
              <w:rPr>
                <w:rFonts w:hint="eastAsia" w:ascii="楷体" w:hAnsi="楷体" w:eastAsia="楷体" w:cs="楷体"/>
                <w:color w:val="333333"/>
                <w:kern w:val="0"/>
                <w:sz w:val="24"/>
                <w:szCs w:val="24"/>
              </w:rPr>
            </w:pPr>
          </w:p>
          <w:p>
            <w:pPr>
              <w:pStyle w:val="20"/>
              <w:numPr>
                <w:ilvl w:val="0"/>
                <w:numId w:val="1"/>
              </w:numPr>
              <w:ind w:firstLineChars="0"/>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中国</w:t>
            </w:r>
            <w:r>
              <w:rPr>
                <w:rFonts w:hint="eastAsia" w:ascii="楷体" w:hAnsi="楷体" w:eastAsia="楷体" w:cs="楷体"/>
                <w:color w:val="333333"/>
                <w:kern w:val="0"/>
                <w:sz w:val="24"/>
                <w:szCs w:val="24"/>
                <w:lang w:val="en-US" w:eastAsia="zh-CN"/>
              </w:rPr>
              <w:t>境内</w:t>
            </w:r>
            <w:r>
              <w:rPr>
                <w:rFonts w:hint="eastAsia" w:ascii="楷体" w:hAnsi="楷体" w:eastAsia="楷体" w:cs="楷体"/>
                <w:color w:val="333333"/>
                <w:kern w:val="0"/>
                <w:sz w:val="24"/>
                <w:szCs w:val="24"/>
              </w:rPr>
              <w:t>卫星导航位移形变监测服务市场</w:t>
            </w:r>
          </w:p>
          <w:p>
            <w:pPr>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w:t>
            </w:r>
            <w:r>
              <w:rPr>
                <w:rFonts w:hint="eastAsia" w:ascii="楷体" w:hAnsi="楷体" w:eastAsia="楷体" w:cs="楷体"/>
                <w:color w:val="333333"/>
                <w:kern w:val="0"/>
                <w:sz w:val="24"/>
                <w:szCs w:val="24"/>
              </w:rPr>
              <w:tab/>
            </w:r>
            <w:r>
              <w:rPr>
                <w:rFonts w:hint="eastAsia" w:ascii="楷体" w:hAnsi="楷体" w:eastAsia="楷体" w:cs="楷体"/>
                <w:color w:val="333333"/>
                <w:kern w:val="0"/>
                <w:sz w:val="24"/>
                <w:szCs w:val="24"/>
              </w:rPr>
              <w:t>千寻位置：[0-1]%；</w:t>
            </w:r>
          </w:p>
          <w:p>
            <w:pPr>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w:t>
            </w:r>
            <w:r>
              <w:rPr>
                <w:rFonts w:hint="eastAsia" w:ascii="楷体" w:hAnsi="楷体" w:eastAsia="楷体" w:cs="楷体"/>
                <w:color w:val="333333"/>
                <w:kern w:val="0"/>
                <w:sz w:val="24"/>
                <w:szCs w:val="24"/>
              </w:rPr>
              <w:tab/>
            </w:r>
            <w:r>
              <w:rPr>
                <w:rFonts w:hint="eastAsia" w:ascii="楷体" w:hAnsi="楷体" w:eastAsia="楷体" w:cs="楷体"/>
                <w:color w:val="333333"/>
                <w:kern w:val="0"/>
                <w:sz w:val="24"/>
                <w:szCs w:val="24"/>
              </w:rPr>
              <w:t>上海屹孚：0；</w:t>
            </w:r>
          </w:p>
          <w:p>
            <w:pPr>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w:t>
            </w:r>
            <w:r>
              <w:rPr>
                <w:rFonts w:hint="eastAsia" w:ascii="楷体" w:hAnsi="楷体" w:eastAsia="楷体" w:cs="楷体"/>
                <w:color w:val="333333"/>
                <w:kern w:val="0"/>
                <w:sz w:val="24"/>
                <w:szCs w:val="24"/>
              </w:rPr>
              <w:tab/>
            </w:r>
            <w:r>
              <w:rPr>
                <w:rFonts w:hint="eastAsia" w:ascii="楷体" w:hAnsi="楷体" w:eastAsia="楷体" w:cs="楷体"/>
                <w:color w:val="333333"/>
                <w:kern w:val="0"/>
                <w:sz w:val="24"/>
                <w:szCs w:val="24"/>
              </w:rPr>
              <w:t>铜陵建投：0；</w:t>
            </w:r>
          </w:p>
          <w:p>
            <w:pPr>
              <w:rPr>
                <w:rFonts w:hint="eastAsia" w:ascii="楷体" w:hAnsi="楷体" w:eastAsia="楷体" w:cs="楷体"/>
                <w:color w:val="333333"/>
                <w:kern w:val="0"/>
                <w:sz w:val="24"/>
                <w:szCs w:val="24"/>
              </w:rPr>
            </w:pPr>
            <w:r>
              <w:rPr>
                <w:rFonts w:hint="eastAsia" w:ascii="楷体" w:hAnsi="楷体" w:eastAsia="楷体" w:cs="楷体"/>
                <w:color w:val="333333"/>
                <w:kern w:val="0"/>
                <w:sz w:val="24"/>
                <w:szCs w:val="24"/>
              </w:rPr>
              <w:t>-</w:t>
            </w:r>
            <w:r>
              <w:rPr>
                <w:rFonts w:hint="eastAsia" w:ascii="楷体" w:hAnsi="楷体" w:eastAsia="楷体" w:cs="楷体"/>
                <w:color w:val="333333"/>
                <w:kern w:val="0"/>
                <w:sz w:val="24"/>
                <w:szCs w:val="24"/>
              </w:rPr>
              <w:tab/>
            </w:r>
            <w:r>
              <w:rPr>
                <w:rFonts w:hint="eastAsia" w:ascii="楷体" w:hAnsi="楷体" w:eastAsia="楷体" w:cs="楷体"/>
                <w:color w:val="333333"/>
                <w:kern w:val="0"/>
                <w:sz w:val="24"/>
                <w:szCs w:val="24"/>
              </w:rPr>
              <w:t>天璇智能：0。</w:t>
            </w:r>
          </w:p>
        </w:tc>
      </w:tr>
    </w:tbl>
    <w:p>
      <w:pPr>
        <w:spacing w:line="360" w:lineRule="auto"/>
        <w:rPr>
          <w:rFonts w:ascii="Times New Roman" w:hAnsi="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B2E57"/>
    <w:multiLevelType w:val="multilevel"/>
    <w:tmpl w:val="265B2E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DF"/>
    <w:rsid w:val="00037065"/>
    <w:rsid w:val="000856C0"/>
    <w:rsid w:val="000D7EBA"/>
    <w:rsid w:val="001164CD"/>
    <w:rsid w:val="00127370"/>
    <w:rsid w:val="00147CC6"/>
    <w:rsid w:val="00155717"/>
    <w:rsid w:val="001837A3"/>
    <w:rsid w:val="00187D8D"/>
    <w:rsid w:val="0019615B"/>
    <w:rsid w:val="001B15D0"/>
    <w:rsid w:val="001F33EA"/>
    <w:rsid w:val="002563AC"/>
    <w:rsid w:val="002B5E15"/>
    <w:rsid w:val="002D1077"/>
    <w:rsid w:val="002F26C3"/>
    <w:rsid w:val="0036639E"/>
    <w:rsid w:val="003813BA"/>
    <w:rsid w:val="0038217F"/>
    <w:rsid w:val="00394DBA"/>
    <w:rsid w:val="003C0AEB"/>
    <w:rsid w:val="00455F2C"/>
    <w:rsid w:val="0047772B"/>
    <w:rsid w:val="004922C5"/>
    <w:rsid w:val="004A115E"/>
    <w:rsid w:val="004F7688"/>
    <w:rsid w:val="005446C4"/>
    <w:rsid w:val="0057481C"/>
    <w:rsid w:val="005A6346"/>
    <w:rsid w:val="005E2C5A"/>
    <w:rsid w:val="00600DF0"/>
    <w:rsid w:val="006349DB"/>
    <w:rsid w:val="006467D8"/>
    <w:rsid w:val="00670431"/>
    <w:rsid w:val="00680B2C"/>
    <w:rsid w:val="00692939"/>
    <w:rsid w:val="006A531B"/>
    <w:rsid w:val="006D3251"/>
    <w:rsid w:val="006F7693"/>
    <w:rsid w:val="00710140"/>
    <w:rsid w:val="0071301C"/>
    <w:rsid w:val="00797580"/>
    <w:rsid w:val="00797750"/>
    <w:rsid w:val="007C6F83"/>
    <w:rsid w:val="007F2275"/>
    <w:rsid w:val="00812AC8"/>
    <w:rsid w:val="008144B2"/>
    <w:rsid w:val="00882053"/>
    <w:rsid w:val="0088552D"/>
    <w:rsid w:val="008C1BDD"/>
    <w:rsid w:val="008D354C"/>
    <w:rsid w:val="0090241D"/>
    <w:rsid w:val="00915F0F"/>
    <w:rsid w:val="009532DF"/>
    <w:rsid w:val="00967A71"/>
    <w:rsid w:val="0097787C"/>
    <w:rsid w:val="00997019"/>
    <w:rsid w:val="009A5029"/>
    <w:rsid w:val="009D05F7"/>
    <w:rsid w:val="009D38D5"/>
    <w:rsid w:val="009E6E79"/>
    <w:rsid w:val="00A22726"/>
    <w:rsid w:val="00A4769D"/>
    <w:rsid w:val="00A53F26"/>
    <w:rsid w:val="00AA0CC5"/>
    <w:rsid w:val="00AA11BC"/>
    <w:rsid w:val="00AC2B48"/>
    <w:rsid w:val="00B16AFE"/>
    <w:rsid w:val="00B23121"/>
    <w:rsid w:val="00B475DB"/>
    <w:rsid w:val="00B56425"/>
    <w:rsid w:val="00B65DD5"/>
    <w:rsid w:val="00B83B4E"/>
    <w:rsid w:val="00B929C9"/>
    <w:rsid w:val="00BA0CFB"/>
    <w:rsid w:val="00BA23D5"/>
    <w:rsid w:val="00BA79FD"/>
    <w:rsid w:val="00BD10B6"/>
    <w:rsid w:val="00C01A56"/>
    <w:rsid w:val="00C07076"/>
    <w:rsid w:val="00CB00DF"/>
    <w:rsid w:val="00CB1CD3"/>
    <w:rsid w:val="00CC6B9E"/>
    <w:rsid w:val="00CF55D5"/>
    <w:rsid w:val="00D27265"/>
    <w:rsid w:val="00D735AE"/>
    <w:rsid w:val="00D73C72"/>
    <w:rsid w:val="00D9748F"/>
    <w:rsid w:val="00DE2145"/>
    <w:rsid w:val="00E0592B"/>
    <w:rsid w:val="00E31738"/>
    <w:rsid w:val="00E31F66"/>
    <w:rsid w:val="00E4779C"/>
    <w:rsid w:val="00E62A1A"/>
    <w:rsid w:val="00E86786"/>
    <w:rsid w:val="00E97CC8"/>
    <w:rsid w:val="00ED2F80"/>
    <w:rsid w:val="00EE5158"/>
    <w:rsid w:val="00F1624E"/>
    <w:rsid w:val="00F32F8A"/>
    <w:rsid w:val="00F42950"/>
    <w:rsid w:val="00F810AA"/>
    <w:rsid w:val="00FA78A1"/>
    <w:rsid w:val="00FB43EC"/>
    <w:rsid w:val="00FB6B40"/>
    <w:rsid w:val="00FB7AAE"/>
    <w:rsid w:val="1E4A74BE"/>
    <w:rsid w:val="276D3A87"/>
    <w:rsid w:val="2F633899"/>
    <w:rsid w:val="3DD95C1B"/>
    <w:rsid w:val="68484F28"/>
    <w:rsid w:val="6CC44117"/>
    <w:rsid w:val="7E8C45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spacing w:before="33"/>
      <w:ind w:left="253" w:firstLine="0" w:firstLineChars="0"/>
      <w:jc w:val="left"/>
    </w:pPr>
    <w:rPr>
      <w:rFonts w:ascii="Arial Black" w:hAnsi="Arial Black" w:cs="Arial Black" w:eastAsiaTheme="minorEastAsia"/>
      <w:b/>
      <w:bCs/>
      <w:kern w:val="0"/>
      <w:sz w:val="9"/>
      <w:szCs w:val="9"/>
    </w:rPr>
  </w:style>
  <w:style w:type="paragraph" w:styleId="3">
    <w:name w:val="annotation text"/>
    <w:basedOn w:val="1"/>
    <w:link w:val="18"/>
    <w:semiHidden/>
    <w:unhideWhenUsed/>
    <w:qFormat/>
    <w:uiPriority w:val="99"/>
    <w:pPr>
      <w:jc w:val="left"/>
    </w:pPr>
  </w:style>
  <w:style w:type="paragraph" w:styleId="4">
    <w:name w:val="Balloon Text"/>
    <w:basedOn w:val="1"/>
    <w:link w:val="13"/>
    <w:semiHidden/>
    <w:unhideWhenUsed/>
    <w:uiPriority w:val="99"/>
    <w:rPr>
      <w:rFonts w:ascii="宋体"/>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6"/>
    <w:unhideWhenUsed/>
    <w:qFormat/>
    <w:uiPriority w:val="99"/>
    <w:pPr>
      <w:snapToGrid w:val="0"/>
      <w:jc w:val="left"/>
    </w:pPr>
    <w:rPr>
      <w:sz w:val="18"/>
      <w:szCs w:val="18"/>
    </w:rPr>
  </w:style>
  <w:style w:type="paragraph" w:styleId="8">
    <w:name w:val="annotation subject"/>
    <w:basedOn w:val="3"/>
    <w:next w:val="3"/>
    <w:link w:val="19"/>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styleId="12">
    <w:name w:val="footnote reference"/>
    <w:basedOn w:val="10"/>
    <w:semiHidden/>
    <w:unhideWhenUsed/>
    <w:qFormat/>
    <w:uiPriority w:val="99"/>
    <w:rPr>
      <w:vertAlign w:val="superscript"/>
    </w:rPr>
  </w:style>
  <w:style w:type="character" w:customStyle="1" w:styleId="13">
    <w:name w:val="批注框文本 字符"/>
    <w:basedOn w:val="10"/>
    <w:link w:val="4"/>
    <w:semiHidden/>
    <w:qFormat/>
    <w:uiPriority w:val="99"/>
    <w:rPr>
      <w:rFonts w:ascii="宋体" w:hAnsi="Calibri" w:eastAsia="宋体" w:cs="Times New Roman"/>
      <w:sz w:val="18"/>
      <w:szCs w:val="18"/>
    </w:rPr>
  </w:style>
  <w:style w:type="character" w:customStyle="1" w:styleId="14">
    <w:name w:val="页眉 字符"/>
    <w:basedOn w:val="10"/>
    <w:link w:val="6"/>
    <w:qFormat/>
    <w:uiPriority w:val="99"/>
    <w:rPr>
      <w:rFonts w:ascii="Calibri" w:hAnsi="Calibri" w:eastAsia="宋体" w:cs="Times New Roman"/>
      <w:sz w:val="18"/>
      <w:szCs w:val="18"/>
    </w:rPr>
  </w:style>
  <w:style w:type="character" w:customStyle="1" w:styleId="15">
    <w:name w:val="页脚 字符"/>
    <w:basedOn w:val="10"/>
    <w:link w:val="5"/>
    <w:qFormat/>
    <w:uiPriority w:val="99"/>
    <w:rPr>
      <w:rFonts w:ascii="Calibri" w:hAnsi="Calibri" w:eastAsia="宋体" w:cs="Times New Roman"/>
      <w:sz w:val="18"/>
      <w:szCs w:val="18"/>
    </w:rPr>
  </w:style>
  <w:style w:type="character" w:customStyle="1" w:styleId="16">
    <w:name w:val="脚注文本 字符"/>
    <w:basedOn w:val="10"/>
    <w:link w:val="7"/>
    <w:qFormat/>
    <w:uiPriority w:val="99"/>
    <w:rPr>
      <w:rFonts w:ascii="Calibri" w:hAnsi="Calibri" w:eastAsia="宋体" w:cs="Times New Roman"/>
      <w:sz w:val="18"/>
      <w:szCs w:val="18"/>
    </w:rPr>
  </w:style>
  <w:style w:type="paragraph" w:customStyle="1" w:styleId="17">
    <w:name w:val="正文1"/>
    <w:qFormat/>
    <w:uiPriority w:val="0"/>
    <w:pPr>
      <w:jc w:val="both"/>
    </w:pPr>
    <w:rPr>
      <w:rFonts w:ascii="等线" w:hAnsi="等线" w:eastAsia="宋体" w:cs="宋体"/>
      <w:kern w:val="2"/>
      <w:sz w:val="21"/>
      <w:szCs w:val="21"/>
      <w:lang w:val="en-US" w:eastAsia="zh-CN" w:bidi="ar-SA"/>
    </w:rPr>
  </w:style>
  <w:style w:type="character" w:customStyle="1" w:styleId="18">
    <w:name w:val="批注文字 字符"/>
    <w:basedOn w:val="10"/>
    <w:link w:val="3"/>
    <w:semiHidden/>
    <w:qFormat/>
    <w:uiPriority w:val="99"/>
    <w:rPr>
      <w:rFonts w:ascii="Calibri" w:hAnsi="Calibri" w:eastAsia="宋体" w:cs="Times New Roman"/>
    </w:rPr>
  </w:style>
  <w:style w:type="character" w:customStyle="1" w:styleId="19">
    <w:name w:val="批注主题 字符"/>
    <w:basedOn w:val="18"/>
    <w:link w:val="8"/>
    <w:semiHidden/>
    <w:qFormat/>
    <w:uiPriority w:val="99"/>
    <w:rPr>
      <w:rFonts w:ascii="Calibri" w:hAnsi="Calibri" w:eastAsia="宋体" w:cs="Times New Roman"/>
      <w:b/>
      <w:bCs/>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283F6-CA12-3A41-8417-0B0A33ED46CB}">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176</Words>
  <Characters>1007</Characters>
  <Lines>8</Lines>
  <Paragraphs>2</Paragraphs>
  <TotalTime>4</TotalTime>
  <ScaleCrop>false</ScaleCrop>
  <LinksUpToDate>false</LinksUpToDate>
  <CharactersWithSpaces>1181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2021-06-16T02:47:00Z</dcterms:created>
  <dc:creator>陈媚</dc:creator>
  <cp:lastModifiedBy>洪磊</cp:lastModifiedBy>
  <dcterms:modified xsi:type="dcterms:W3CDTF">2021-07-20T00:37:47Z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F7BACC4211824C94B8D7AFED91C7947F</vt:lpwstr>
  </property>
</Properties>
</file>