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方正小标宋简体" w:hAnsi="仿宋" w:eastAsia="方正小标宋简体" w:cs="方正仿宋简体"/>
          <w:color w:val="000000"/>
          <w:spacing w:val="-10"/>
          <w:sz w:val="32"/>
          <w:szCs w:val="32"/>
        </w:rPr>
      </w:pPr>
      <w:r>
        <w:rPr>
          <w:rFonts w:hint="eastAsia" w:ascii="方正小标宋简体" w:hAnsi="仿宋" w:eastAsia="方正小标宋简体" w:cs="方正仿宋简体"/>
          <w:color w:val="000000"/>
          <w:spacing w:val="-10"/>
          <w:sz w:val="32"/>
          <w:szCs w:val="32"/>
        </w:rPr>
        <w:t>重庆市</w:t>
      </w:r>
      <w:r>
        <w:rPr>
          <w:rFonts w:ascii="方正小标宋简体" w:hAnsi="仿宋" w:eastAsia="方正小标宋简体" w:cs="方正仿宋简体"/>
          <w:color w:val="000000"/>
          <w:spacing w:val="-10"/>
          <w:sz w:val="32"/>
          <w:szCs w:val="32"/>
        </w:rPr>
        <w:t>汽车内饰材料</w:t>
      </w:r>
      <w:r>
        <w:rPr>
          <w:rFonts w:hint="eastAsia" w:ascii="方正小标宋简体" w:hAnsi="仿宋" w:eastAsia="方正小标宋简体" w:cs="方正仿宋简体"/>
          <w:color w:val="000000"/>
          <w:spacing w:val="-10"/>
          <w:sz w:val="32"/>
          <w:szCs w:val="32"/>
        </w:rPr>
        <w:t>产品</w:t>
      </w:r>
      <w:r>
        <w:rPr>
          <w:rFonts w:hint="eastAsia" w:ascii="方正小标宋简体" w:hAnsi="仿宋" w:eastAsia="方正小标宋简体" w:cs="方正仿宋简体"/>
          <w:color w:val="000000"/>
          <w:spacing w:val="-10"/>
          <w:sz w:val="32"/>
          <w:szCs w:val="32"/>
          <w:lang w:eastAsia="zh-CN"/>
        </w:rPr>
        <w:t>流通领域</w:t>
      </w:r>
      <w:r>
        <w:rPr>
          <w:rFonts w:hint="eastAsia" w:ascii="方正小标宋简体" w:hAnsi="仿宋" w:eastAsia="方正小标宋简体" w:cs="方正仿宋简体"/>
          <w:color w:val="000000"/>
          <w:spacing w:val="-10"/>
          <w:sz w:val="32"/>
          <w:szCs w:val="32"/>
        </w:rPr>
        <w:t>质量监督抽查实施细则</w:t>
      </w:r>
    </w:p>
    <w:p>
      <w:pPr>
        <w:snapToGrid w:val="0"/>
        <w:spacing w:line="360" w:lineRule="auto"/>
        <w:jc w:val="center"/>
        <w:rPr>
          <w:rFonts w:hint="eastAsia" w:ascii="方正小标宋简体" w:hAnsi="仿宋" w:eastAsia="方正小标宋简体" w:cs="方正仿宋简体"/>
          <w:color w:val="000000"/>
          <w:spacing w:val="-10"/>
          <w:sz w:val="32"/>
          <w:szCs w:val="32"/>
          <w:lang w:eastAsia="zh-CN"/>
        </w:rPr>
      </w:pPr>
      <w:r>
        <w:rPr>
          <w:rFonts w:hint="eastAsia" w:ascii="方正小标宋简体" w:hAnsi="仿宋" w:eastAsia="方正小标宋简体" w:cs="方正仿宋简体"/>
          <w:color w:val="000000"/>
          <w:spacing w:val="-10"/>
          <w:sz w:val="32"/>
          <w:szCs w:val="32"/>
          <w:lang w:eastAsia="zh-CN"/>
        </w:rPr>
        <w:t>（四季度</w:t>
      </w:r>
      <w:bookmarkStart w:id="0" w:name="_GoBack"/>
      <w:bookmarkEnd w:id="0"/>
      <w:r>
        <w:rPr>
          <w:rFonts w:hint="eastAsia" w:ascii="方正小标宋简体" w:hAnsi="仿宋" w:eastAsia="方正小标宋简体" w:cs="方正仿宋简体"/>
          <w:color w:val="000000"/>
          <w:spacing w:val="-10"/>
          <w:sz w:val="32"/>
          <w:szCs w:val="32"/>
          <w:lang w:eastAsia="zh-CN"/>
        </w:rPr>
        <w:t>）</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在销售者的待销产品中随机抽取。</w:t>
      </w:r>
    </w:p>
    <w:p>
      <w:pPr>
        <w:snapToGrid w:val="0"/>
        <w:spacing w:line="440" w:lineRule="exact"/>
        <w:ind w:firstLine="420" w:firstLineChars="200"/>
        <w:rPr>
          <w:rFonts w:ascii="宋体" w:hAnsi="宋体"/>
          <w:color w:val="000000"/>
          <w:szCs w:val="21"/>
          <w:highlight w:val="yellow"/>
        </w:rPr>
      </w:pPr>
      <w:r>
        <w:rPr>
          <w:rFonts w:hint="eastAsia" w:ascii="宋体" w:hAnsi="宋体"/>
          <w:color w:val="000000"/>
          <w:szCs w:val="21"/>
        </w:rPr>
        <w:t>抽查样品基数满足抽样数量即可。</w:t>
      </w:r>
    </w:p>
    <w:p>
      <w:pPr>
        <w:snapToGrid w:val="0"/>
        <w:spacing w:line="440" w:lineRule="exact"/>
        <w:ind w:firstLine="420" w:firstLineChars="200"/>
        <w:rPr>
          <w:rFonts w:hint="eastAsia" w:ascii="宋体" w:hAnsi="宋体" w:eastAsia="宋体"/>
          <w:szCs w:val="21"/>
          <w:highlight w:val="yellow"/>
          <w:lang w:eastAsia="zh-CN"/>
        </w:rPr>
      </w:pPr>
      <w:r>
        <w:rPr>
          <w:rFonts w:hint="eastAsia" w:ascii="宋体" w:hAnsi="宋体"/>
          <w:color w:val="000000"/>
          <w:szCs w:val="21"/>
        </w:rPr>
        <w:t>流通领域抽取样品</w:t>
      </w:r>
      <w:r>
        <w:rPr>
          <w:rFonts w:hint="eastAsia" w:ascii="宋体" w:hAnsi="宋体"/>
          <w:color w:val="000000"/>
          <w:szCs w:val="21"/>
          <w:lang w:val="en-US" w:eastAsia="zh-CN"/>
        </w:rPr>
        <w:t>10</w:t>
      </w:r>
      <w:r>
        <w:rPr>
          <w:rFonts w:hint="eastAsia" w:ascii="宋体" w:hAnsi="宋体"/>
          <w:color w:val="000000"/>
          <w:szCs w:val="21"/>
        </w:rPr>
        <w:t>块</w:t>
      </w:r>
      <w:r>
        <w:rPr>
          <w:rFonts w:hint="eastAsia" w:ascii="宋体" w:hAnsi="宋体"/>
          <w:color w:val="000000"/>
          <w:szCs w:val="21"/>
          <w:lang w:eastAsia="zh-CN"/>
        </w:rPr>
        <w:t>或能裁成</w:t>
      </w:r>
      <w:r>
        <w:rPr>
          <w:rFonts w:hint="eastAsia" w:ascii="宋体" w:hAnsi="宋体"/>
          <w:color w:val="000000"/>
          <w:szCs w:val="21"/>
          <w:lang w:val="en-US" w:eastAsia="zh-CN"/>
        </w:rPr>
        <w:t>10</w:t>
      </w:r>
      <w:r>
        <w:rPr>
          <w:rFonts w:hint="eastAsia" w:ascii="宋体" w:hAnsi="宋体"/>
          <w:color w:val="000000"/>
          <w:szCs w:val="21"/>
        </w:rPr>
        <w:t>块</w:t>
      </w:r>
      <w:r>
        <w:rPr>
          <w:rFonts w:hint="eastAsia" w:ascii="宋体" w:hAnsi="宋体"/>
          <w:color w:val="000000"/>
          <w:szCs w:val="21"/>
          <w:lang w:eastAsia="zh-CN"/>
        </w:rPr>
        <w:t>样品的成品作为检样</w:t>
      </w:r>
      <w:r>
        <w:rPr>
          <w:rFonts w:hint="eastAsia" w:ascii="宋体" w:hAnsi="宋体"/>
          <w:color w:val="000000"/>
          <w:szCs w:val="21"/>
        </w:rPr>
        <w:t>，</w:t>
      </w:r>
      <w:r>
        <w:rPr>
          <w:rFonts w:ascii="宋体" w:hAnsi="宋体"/>
          <w:color w:val="000000"/>
          <w:szCs w:val="21"/>
        </w:rPr>
        <w:t>要求每块样品的尺寸为356mm×100mm</w:t>
      </w:r>
      <w:r>
        <w:rPr>
          <w:rFonts w:hint="eastAsia" w:ascii="宋体" w:hAnsi="宋体"/>
          <w:szCs w:val="21"/>
          <w:lang w:eastAsia="zh-CN"/>
        </w:rPr>
        <w:t>；</w:t>
      </w:r>
      <w:r>
        <w:rPr>
          <w:rFonts w:hint="eastAsia" w:ascii="宋体" w:hAnsi="宋体"/>
          <w:color w:val="000000"/>
          <w:szCs w:val="21"/>
        </w:rPr>
        <w:t>5块</w:t>
      </w:r>
      <w:r>
        <w:rPr>
          <w:rFonts w:hint="eastAsia" w:ascii="宋体" w:hAnsi="宋体"/>
          <w:color w:val="000000"/>
          <w:szCs w:val="21"/>
          <w:lang w:eastAsia="zh-CN"/>
        </w:rPr>
        <w:t>用于检验，</w:t>
      </w:r>
      <w:r>
        <w:rPr>
          <w:rFonts w:hint="eastAsia" w:ascii="宋体" w:hAnsi="宋体"/>
          <w:color w:val="000000"/>
          <w:szCs w:val="21"/>
          <w:lang w:val="en-US" w:eastAsia="zh-CN"/>
        </w:rPr>
        <w:t>5块作为备样封存</w:t>
      </w:r>
      <w:r>
        <w:rPr>
          <w:rFonts w:hint="eastAsia" w:ascii="宋体" w:hAnsi="宋体"/>
          <w:color w:val="000000"/>
          <w:szCs w:val="21"/>
        </w:rPr>
        <w:t>。</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随机数一般可使用随机数表、随机数骰子或扑克牌等方法产生。</w:t>
      </w:r>
    </w:p>
    <w:p>
      <w:pPr>
        <w:snapToGrid w:val="0"/>
        <w:spacing w:line="440" w:lineRule="exact"/>
        <w:ind w:firstLine="420" w:firstLineChars="200"/>
        <w:rPr>
          <w:rFonts w:hint="eastAsia"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jc w:val="center"/>
        <w:rPr>
          <w:rFonts w:ascii="宋体" w:hAnsi="宋体"/>
          <w:color w:val="000000"/>
          <w:szCs w:val="21"/>
        </w:rPr>
      </w:pPr>
      <w:r>
        <w:rPr>
          <w:rFonts w:hint="eastAsia" w:ascii="宋体" w:hAnsi="宋体"/>
          <w:color w:val="000000"/>
          <w:szCs w:val="21"/>
        </w:rPr>
        <w:t>表1 检验项目</w:t>
      </w:r>
    </w:p>
    <w:tbl>
      <w:tblPr>
        <w:tblStyle w:val="5"/>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3"/>
        <w:gridCol w:w="2697"/>
        <w:gridCol w:w="3110"/>
        <w:gridCol w:w="2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trPr>
        <w:tc>
          <w:tcPr>
            <w:tcW w:w="813" w:type="dxa"/>
            <w:vAlign w:val="top"/>
          </w:tcPr>
          <w:p>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2697" w:type="dxa"/>
            <w:vAlign w:val="top"/>
          </w:tcPr>
          <w:p>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3110" w:type="dxa"/>
            <w:vAlign w:val="top"/>
          </w:tcPr>
          <w:p>
            <w:pPr>
              <w:snapToGrid w:val="0"/>
              <w:spacing w:line="440" w:lineRule="exact"/>
              <w:jc w:val="center"/>
              <w:rPr>
                <w:rFonts w:ascii="宋体" w:hAnsi="宋体"/>
                <w:color w:val="000000"/>
                <w:szCs w:val="21"/>
              </w:rPr>
            </w:pPr>
            <w:r>
              <w:rPr>
                <w:rFonts w:hint="eastAsia" w:ascii="宋体" w:hAnsi="宋体"/>
                <w:color w:val="000000"/>
                <w:szCs w:val="21"/>
              </w:rPr>
              <w:t>判定依据</w:t>
            </w:r>
          </w:p>
        </w:tc>
        <w:tc>
          <w:tcPr>
            <w:tcW w:w="2554" w:type="dxa"/>
            <w:vAlign w:val="top"/>
          </w:tcPr>
          <w:p>
            <w:pPr>
              <w:snapToGrid w:val="0"/>
              <w:spacing w:line="440" w:lineRule="exact"/>
              <w:jc w:val="center"/>
              <w:rPr>
                <w:rFonts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3" w:type="dxa"/>
            <w:vAlign w:val="top"/>
          </w:tcPr>
          <w:p>
            <w:pPr>
              <w:snapToGrid w:val="0"/>
              <w:spacing w:line="440" w:lineRule="exact"/>
              <w:jc w:val="center"/>
              <w:rPr>
                <w:rFonts w:ascii="宋体" w:hAnsi="宋体"/>
                <w:color w:val="000000"/>
                <w:szCs w:val="21"/>
              </w:rPr>
            </w:pPr>
            <w:r>
              <w:rPr>
                <w:rFonts w:hint="eastAsia" w:ascii="宋体" w:hAnsi="宋体"/>
                <w:color w:val="000000"/>
                <w:szCs w:val="21"/>
              </w:rPr>
              <w:t>1</w:t>
            </w:r>
          </w:p>
        </w:tc>
        <w:tc>
          <w:tcPr>
            <w:tcW w:w="2697" w:type="dxa"/>
            <w:vAlign w:val="center"/>
          </w:tcPr>
          <w:p>
            <w:pPr>
              <w:snapToGrid w:val="0"/>
              <w:spacing w:line="440" w:lineRule="exact"/>
              <w:jc w:val="center"/>
              <w:rPr>
                <w:rFonts w:ascii="宋体" w:hAnsi="宋体"/>
                <w:color w:val="000000"/>
                <w:szCs w:val="21"/>
              </w:rPr>
            </w:pPr>
            <w:r>
              <w:rPr>
                <w:rFonts w:ascii="宋体" w:hAnsi="宋体"/>
                <w:color w:val="000000"/>
                <w:szCs w:val="21"/>
              </w:rPr>
              <w:t>燃烧特性</w:t>
            </w:r>
          </w:p>
        </w:tc>
        <w:tc>
          <w:tcPr>
            <w:tcW w:w="3110" w:type="dxa"/>
            <w:vAlign w:val="center"/>
          </w:tcPr>
          <w:p>
            <w:pPr>
              <w:spacing w:line="400" w:lineRule="exact"/>
              <w:jc w:val="center"/>
              <w:rPr>
                <w:rFonts w:ascii="宋体" w:hAnsi="宋体"/>
                <w:szCs w:val="21"/>
              </w:rPr>
            </w:pPr>
            <w:r>
              <w:rPr>
                <w:rFonts w:hint="eastAsia" w:ascii="宋体" w:hAnsi="宋体" w:cs="仿宋_GB2312"/>
                <w:szCs w:val="21"/>
              </w:rPr>
              <w:t>GB 8410-2006</w:t>
            </w:r>
          </w:p>
        </w:tc>
        <w:tc>
          <w:tcPr>
            <w:tcW w:w="2554" w:type="dxa"/>
            <w:vAlign w:val="center"/>
          </w:tcPr>
          <w:p>
            <w:pPr>
              <w:jc w:val="center"/>
              <w:rPr>
                <w:rFonts w:ascii="宋体" w:hAnsi="宋体" w:cs="仿宋_GB2312"/>
                <w:szCs w:val="21"/>
              </w:rPr>
            </w:pPr>
            <w:r>
              <w:rPr>
                <w:rFonts w:hint="eastAsia" w:ascii="宋体" w:hAnsi="宋体" w:cs="仿宋_GB2312"/>
                <w:szCs w:val="21"/>
              </w:rPr>
              <w:t>GB 8410-2006</w:t>
            </w:r>
          </w:p>
        </w:tc>
      </w:tr>
    </w:tbl>
    <w:p>
      <w:pPr>
        <w:snapToGrid w:val="0"/>
        <w:spacing w:line="440" w:lineRule="exact"/>
        <w:ind w:firstLine="420" w:firstLineChars="200"/>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w:t>
      </w:r>
    </w:p>
    <w:p>
      <w:pPr>
        <w:spacing w:line="360" w:lineRule="auto"/>
        <w:rPr>
          <w:rFonts w:ascii="黑体" w:hAnsi="黑体" w:eastAsia="黑体"/>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20" w:firstLineChars="200"/>
        <w:rPr>
          <w:rFonts w:ascii="宋体" w:hAnsi="宋体" w:cs="仿宋_GB2312"/>
          <w:szCs w:val="21"/>
        </w:rPr>
      </w:pPr>
      <w:r>
        <w:rPr>
          <w:rFonts w:hint="eastAsia" w:ascii="宋体" w:hAnsi="宋体" w:cs="仿宋_GB2312"/>
          <w:szCs w:val="21"/>
        </w:rPr>
        <w:t xml:space="preserve">GB 8410-2006 </w:t>
      </w:r>
      <w:r>
        <w:rPr>
          <w:rFonts w:hint="eastAsia" w:ascii="宋体" w:hAnsi="宋体" w:cs="仿宋_GB2312"/>
          <w:szCs w:val="21"/>
          <w:lang w:eastAsia="zh-CN"/>
        </w:rPr>
        <w:t>《</w:t>
      </w:r>
      <w:r>
        <w:rPr>
          <w:rFonts w:hint="eastAsia" w:ascii="宋体" w:hAnsi="宋体" w:cs="仿宋_GB2312"/>
          <w:szCs w:val="21"/>
        </w:rPr>
        <w:t>汽车内饰材料的燃烧特性</w:t>
      </w:r>
      <w:r>
        <w:rPr>
          <w:rFonts w:hint="eastAsia" w:ascii="宋体" w:hAnsi="宋体" w:cs="仿宋_GB2312"/>
          <w:szCs w:val="21"/>
          <w:lang w:eastAsia="zh-CN"/>
        </w:rPr>
        <w:t>》</w:t>
      </w:r>
    </w:p>
    <w:p>
      <w:pPr>
        <w:snapToGrid w:val="0"/>
        <w:spacing w:line="440" w:lineRule="exact"/>
        <w:ind w:firstLine="420" w:firstLineChars="200"/>
        <w:rPr>
          <w:rFonts w:ascii="宋体" w:hAnsi="宋体" w:eastAsia="宋体"/>
          <w:szCs w:val="21"/>
        </w:rPr>
      </w:pPr>
      <w:r>
        <w:rPr>
          <w:rFonts w:hint="eastAsia" w:ascii="宋体" w:hAnsi="宋体" w:eastAsia="宋体"/>
          <w:szCs w:val="21"/>
        </w:rPr>
        <w:t>相关的法律、行政法规、部门规章、规范性文件</w:t>
      </w:r>
    </w:p>
    <w:p>
      <w:pPr>
        <w:snapToGrid w:val="0"/>
        <w:spacing w:line="440" w:lineRule="exact"/>
        <w:ind w:firstLine="462" w:firstLineChars="22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pPr>
      <w:r>
        <w:rPr>
          <w:rFonts w:hint="eastAsia" w:ascii="宋体" w:hAnsi="宋体"/>
          <w:color w:val="000000"/>
          <w:szCs w:val="21"/>
        </w:rPr>
        <w:t>若被检产品明示的质量要求缺少本细则中检验项目依据的推荐性标准要求时，该项目不参与判定，但应在检验报告备注中进行说明。</w:t>
      </w:r>
    </w:p>
    <w:sectPr>
      <w:headerReference r:id="rId3" w:type="default"/>
      <w:footerReference r:id="rId4" w:type="default"/>
      <w:footerReference r:id="rId5" w:type="even"/>
      <w:pgSz w:w="11907" w:h="16839"/>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9774E9"/>
    <w:rsid w:val="35FD6E6A"/>
    <w:rsid w:val="684745D9"/>
  </w:rsids>
  <m:mathPr>
    <m:lMargin m:val="0"/>
    <m:rMargin m:val="0"/>
    <m:wrapIndent m:val="1440"/>
    <m:brkBin m:val="before"/>
    <m:brkBinSub m:val="--"/>
    <m:defJc m:val="centerGroup"/>
    <m:intLim m:val="subSup"/>
    <m:naryLim m:val="undOvr"/>
    <m:smallFrac m:val="0"/>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10"/>
    <w:uiPriority w:val="0"/>
    <w:pPr>
      <w:tabs>
        <w:tab w:val="center" w:pos="4153"/>
        <w:tab w:val="right" w:pos="8306"/>
      </w:tabs>
      <w:snapToGrid w:val="0"/>
      <w:jc w:val="left"/>
    </w:pPr>
    <w:rPr>
      <w:rFonts w:ascii="Times New Roman" w:hAnsi="Times New Roman" w:eastAsia="宋体" w:cs="Times New Roman"/>
      <w:sz w:val="18"/>
      <w:szCs w:val="18"/>
    </w:rPr>
  </w:style>
  <w:style w:type="paragraph" w:styleId="3">
    <w:name w:val="header"/>
    <w:basedOn w:val="1"/>
    <w:link w:val="1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character" w:customStyle="1" w:styleId="6">
    <w:name w:val="页脚 Char"/>
    <w:basedOn w:val="4"/>
    <w:link w:val="2"/>
    <w:semiHidden/>
    <w:uiPriority w:val="0"/>
    <w:rPr>
      <w:sz w:val="18"/>
      <w:szCs w:val="18"/>
    </w:rPr>
  </w:style>
  <w:style w:type="character" w:customStyle="1" w:styleId="7">
    <w:name w:val="页眉 Char"/>
    <w:basedOn w:val="4"/>
    <w:link w:val="3"/>
    <w:semiHidden/>
    <w:qFormat/>
    <w:uiPriority w:val="0"/>
    <w:rPr>
      <w:sz w:val="18"/>
      <w:szCs w:val="18"/>
    </w:rPr>
  </w:style>
  <w:style w:type="paragraph" w:customStyle="1" w:styleId="8">
    <w:name w:val="批注框文本1"/>
    <w:basedOn w:val="1"/>
    <w:link w:val="12"/>
    <w:qFormat/>
    <w:uiPriority w:val="0"/>
    <w:rPr>
      <w:rFonts w:ascii="Times New Roman" w:hAnsi="Times New Roman" w:eastAsia="宋体" w:cs="Times New Roman"/>
      <w:sz w:val="18"/>
      <w:szCs w:val="18"/>
    </w:rPr>
  </w:style>
  <w:style w:type="character" w:customStyle="1" w:styleId="9">
    <w:name w:val="page number"/>
    <w:basedOn w:val="4"/>
    <w:qFormat/>
    <w:uiPriority w:val="0"/>
  </w:style>
  <w:style w:type="character" w:customStyle="1" w:styleId="10">
    <w:name w:val="页脚 字符"/>
    <w:basedOn w:val="4"/>
    <w:link w:val="2"/>
    <w:semiHidden/>
    <w:qFormat/>
    <w:uiPriority w:val="0"/>
    <w:rPr>
      <w:rFonts w:ascii="Times New Roman" w:hAnsi="Times New Roman" w:eastAsia="宋体" w:cs="Times New Roman"/>
      <w:sz w:val="18"/>
      <w:szCs w:val="18"/>
    </w:rPr>
  </w:style>
  <w:style w:type="character" w:customStyle="1" w:styleId="11">
    <w:name w:val="页眉 字符"/>
    <w:basedOn w:val="4"/>
    <w:link w:val="3"/>
    <w:semiHidden/>
    <w:qFormat/>
    <w:uiPriority w:val="0"/>
    <w:rPr>
      <w:rFonts w:ascii="Times New Roman" w:hAnsi="Times New Roman" w:eastAsia="宋体" w:cs="Times New Roman"/>
      <w:sz w:val="18"/>
      <w:szCs w:val="18"/>
    </w:rPr>
  </w:style>
  <w:style w:type="character" w:customStyle="1" w:styleId="12">
    <w:name w:val="批注框文本 字符"/>
    <w:basedOn w:val="4"/>
    <w:link w:val="8"/>
    <w:semiHidden/>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117</Words>
  <Characters>671</Characters>
  <Lines>5</Lines>
  <Paragraphs>1</Paragraphs>
  <TotalTime>0</TotalTime>
  <ScaleCrop>false</ScaleCrop>
  <LinksUpToDate>false</LinksUpToDate>
  <CharactersWithSpaces>0</CharactersWithSpaces>
  <Application>WPS Office_10.8.0.5874_F1E327BC-269C-435d-A152-05C5408002CA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2020-03-10T01:49:00Z</dcterms:created>
  <dc:creator>pc</dc:creator>
  <cp:lastModifiedBy>钟雯</cp:lastModifiedBy>
  <dcterms:modified xsi:type="dcterms:W3CDTF">2020-11-16T06:40:18Z</dcterms:modified>
  <dc:title>zc</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ies>
</file>