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60" w:lineRule="auto"/>
        <w:jc w:val="center"/>
        <w:rPr>
          <w:rFonts w:hint="eastAsia" w:ascii="仿宋_GB2312" w:hAnsi="仿宋" w:eastAsia="仿宋_GB2312" w:cs="方正仿宋简体"/>
          <w:b/>
          <w:color w:val="000000" w:themeColor="text1"/>
          <w:sz w:val="36"/>
          <w:szCs w:val="36"/>
          <w14:textFill>
            <w14:solidFill>
              <w14:schemeClr w14:val="tx1"/>
            </w14:solidFill>
          </w14:textFill>
        </w:rPr>
      </w:pPr>
      <w:r>
        <w:rPr>
          <w:rFonts w:hint="eastAsia" w:ascii="仿宋_GB2312" w:hAnsi="仿宋" w:eastAsia="仿宋_GB2312" w:cs="方正仿宋简体"/>
          <w:b/>
          <w:color w:val="000000" w:themeColor="text1"/>
          <w:sz w:val="36"/>
          <w:szCs w:val="36"/>
          <w:lang w:val="en-US" w:eastAsia="zh-CN"/>
          <w14:textFill>
            <w14:solidFill>
              <w14:schemeClr w14:val="tx1"/>
            </w14:solidFill>
          </w14:textFill>
        </w:rPr>
        <w:t xml:space="preserve">  </w:t>
      </w:r>
      <w:r>
        <w:rPr>
          <w:rFonts w:hint="eastAsia" w:ascii="仿宋_GB2312" w:hAnsi="仿宋" w:eastAsia="仿宋_GB2312" w:cs="方正仿宋简体"/>
          <w:b/>
          <w:color w:val="000000" w:themeColor="text1"/>
          <w:sz w:val="36"/>
          <w:szCs w:val="36"/>
          <w14:textFill>
            <w14:solidFill>
              <w14:schemeClr w14:val="tx1"/>
            </w14:solidFill>
          </w14:textFill>
        </w:rPr>
        <w:t>唐山市产品质量监督抽查实施细则</w:t>
      </w:r>
    </w:p>
    <w:p>
      <w:pPr>
        <w:snapToGrid w:val="0"/>
        <w:spacing w:before="156" w:beforeLines="50" w:after="156" w:afterLines="50" w:line="360" w:lineRule="auto"/>
        <w:jc w:val="center"/>
        <w:rPr>
          <w:rFonts w:ascii="仿宋_GB2312" w:hAnsi="仿宋" w:eastAsia="仿宋_GB2312" w:cs="方正仿宋简体"/>
          <w:b/>
          <w:color w:val="000000" w:themeColor="text1"/>
          <w:sz w:val="36"/>
          <w:szCs w:val="36"/>
          <w14:textFill>
            <w14:solidFill>
              <w14:schemeClr w14:val="tx1"/>
            </w14:solidFill>
          </w14:textFill>
        </w:rPr>
      </w:pPr>
      <w:r>
        <w:rPr>
          <w:rFonts w:hint="eastAsia" w:ascii="仿宋_GB2312" w:hAnsi="仿宋" w:eastAsia="仿宋_GB2312" w:cs="方正仿宋简体"/>
          <w:b/>
          <w:color w:val="000000" w:themeColor="text1"/>
          <w:sz w:val="36"/>
          <w:szCs w:val="36"/>
          <w14:textFill>
            <w14:solidFill>
              <w14:schemeClr w14:val="tx1"/>
            </w14:solidFill>
          </w14:textFill>
        </w:rPr>
        <w:t>（</w:t>
      </w:r>
      <w:r>
        <w:rPr>
          <w:rFonts w:hint="eastAsia" w:ascii="仿宋_GB2312" w:hAnsi="仿宋" w:eastAsia="仿宋_GB2312" w:cs="方正仿宋简体"/>
          <w:b/>
          <w:color w:val="000000" w:themeColor="text1"/>
          <w:sz w:val="36"/>
          <w:szCs w:val="36"/>
          <w:lang w:val="en-US" w:eastAsia="zh-CN"/>
          <w14:textFill>
            <w14:solidFill>
              <w14:schemeClr w14:val="tx1"/>
            </w14:solidFill>
          </w14:textFill>
        </w:rPr>
        <w:t>贵金属饰品类</w:t>
      </w:r>
      <w:r>
        <w:rPr>
          <w:rFonts w:hint="eastAsia" w:ascii="仿宋_GB2312" w:hAnsi="仿宋" w:eastAsia="仿宋_GB2312" w:cs="方正仿宋简体"/>
          <w:b/>
          <w:color w:val="000000" w:themeColor="text1"/>
          <w:sz w:val="36"/>
          <w:szCs w:val="36"/>
          <w14:textFill>
            <w14:solidFill>
              <w14:schemeClr w14:val="tx1"/>
            </w14:solidFill>
          </w14:textFill>
        </w:rPr>
        <w:t>产品）</w:t>
      </w:r>
    </w:p>
    <w:p>
      <w:pPr>
        <w:snapToGrid w:val="0"/>
        <w:spacing w:line="360" w:lineRule="auto"/>
        <w:ind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1 抽样方法</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bCs/>
          <w:color w:val="000000" w:themeColor="text1"/>
          <w:sz w:val="28"/>
          <w:szCs w:val="28"/>
          <w14:textFill>
            <w14:solidFill>
              <w14:schemeClr w14:val="tx1"/>
            </w14:solidFill>
          </w14:textFill>
        </w:rPr>
        <w:t>以随机抽样的方式在被抽样生产者、销售者的待销产品中</w:t>
      </w:r>
      <w:r>
        <w:rPr>
          <w:rFonts w:hint="eastAsia" w:ascii="仿宋_GB2312" w:hAnsi="宋体" w:eastAsia="仿宋_GB2312"/>
          <w:bCs/>
          <w:color w:val="auto"/>
          <w:sz w:val="28"/>
          <w:szCs w:val="28"/>
          <w:lang w:val="en-US" w:eastAsia="zh-CN"/>
        </w:rPr>
        <w:t>抽取每批次1件。</w:t>
      </w:r>
    </w:p>
    <w:p>
      <w:pPr>
        <w:snapToGrid w:val="0"/>
        <w:spacing w:line="360" w:lineRule="auto"/>
        <w:ind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2 检验</w:t>
      </w:r>
      <w:r>
        <w:rPr>
          <w:rFonts w:hint="eastAsia" w:ascii="仿宋_GB2312" w:hAnsi="宋体" w:eastAsia="仿宋_GB2312"/>
          <w:b/>
          <w:bCs/>
          <w:color w:val="000000" w:themeColor="text1"/>
          <w:sz w:val="28"/>
          <w:szCs w:val="28"/>
          <w:lang w:val="en-US" w:eastAsia="zh-CN"/>
          <w14:textFill>
            <w14:solidFill>
              <w14:schemeClr w14:val="tx1"/>
            </w14:solidFill>
          </w14:textFill>
        </w:rPr>
        <w:t>检测</w:t>
      </w:r>
      <w:r>
        <w:rPr>
          <w:rFonts w:hint="eastAsia" w:ascii="仿宋_GB2312" w:hAnsi="宋体" w:eastAsia="仿宋_GB2312"/>
          <w:b/>
          <w:bCs/>
          <w:color w:val="000000" w:themeColor="text1"/>
          <w:sz w:val="28"/>
          <w:szCs w:val="28"/>
          <w14:textFill>
            <w14:solidFill>
              <w14:schemeClr w14:val="tx1"/>
            </w14:solidFill>
          </w14:textFill>
        </w:rPr>
        <w:t>依据</w:t>
      </w:r>
    </w:p>
    <w:p>
      <w:pPr>
        <w:snapToGrid w:val="0"/>
        <w:jc w:val="center"/>
        <w:rPr>
          <w:rFonts w:ascii="仿宋_GB2312" w:hAnsi="宋体" w:eastAsia="仿宋_GB2312"/>
          <w:bCs/>
          <w:color w:val="auto"/>
          <w:sz w:val="28"/>
          <w:szCs w:val="28"/>
        </w:rPr>
      </w:pPr>
      <w:r>
        <w:rPr>
          <w:rFonts w:hint="eastAsia" w:ascii="仿宋_GB2312" w:hAnsi="宋体" w:eastAsia="仿宋_GB2312"/>
          <w:bCs/>
          <w:color w:val="auto"/>
          <w:sz w:val="28"/>
          <w:szCs w:val="28"/>
        </w:rPr>
        <w:t>表1 执行</w:t>
      </w:r>
      <w:r>
        <w:rPr>
          <w:rFonts w:hint="eastAsia" w:ascii="仿宋_GB2312" w:hAnsi="宋体" w:eastAsia="仿宋_GB2312"/>
          <w:bCs/>
          <w:color w:val="auto"/>
          <w:sz w:val="28"/>
          <w:szCs w:val="28"/>
          <w:lang w:val="en-US" w:eastAsia="zh-CN"/>
        </w:rPr>
        <w:t>国家标准、行业</w:t>
      </w:r>
      <w:r>
        <w:rPr>
          <w:rFonts w:hint="eastAsia" w:ascii="仿宋_GB2312" w:hAnsi="宋体" w:eastAsia="仿宋_GB2312"/>
          <w:bCs/>
          <w:color w:val="auto"/>
          <w:sz w:val="28"/>
          <w:szCs w:val="28"/>
        </w:rPr>
        <w:t>标准检验</w:t>
      </w:r>
      <w:r>
        <w:rPr>
          <w:rFonts w:hint="eastAsia" w:ascii="仿宋_GB2312" w:hAnsi="宋体" w:eastAsia="仿宋_GB2312"/>
          <w:bCs/>
          <w:color w:val="auto"/>
          <w:sz w:val="28"/>
          <w:szCs w:val="28"/>
          <w:lang w:val="en-US" w:eastAsia="zh-CN"/>
        </w:rPr>
        <w:t>检测</w:t>
      </w:r>
      <w:r>
        <w:rPr>
          <w:rFonts w:hint="eastAsia" w:ascii="仿宋_GB2312" w:hAnsi="宋体" w:eastAsia="仿宋_GB2312"/>
          <w:bCs/>
          <w:color w:val="auto"/>
          <w:sz w:val="28"/>
          <w:szCs w:val="28"/>
        </w:rPr>
        <w:t>项目</w:t>
      </w:r>
    </w:p>
    <w:tbl>
      <w:tblPr>
        <w:tblStyle w:val="13"/>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721"/>
        <w:gridCol w:w="414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ascii="仿宋_GB2312" w:hAnsi="宋体" w:eastAsia="仿宋_GB2312"/>
                <w:bCs/>
                <w:color w:val="auto"/>
                <w:spacing w:val="-30"/>
                <w:kern w:val="0"/>
                <w:sz w:val="28"/>
                <w:szCs w:val="28"/>
              </w:rPr>
            </w:pPr>
            <w:r>
              <w:rPr>
                <w:rFonts w:hint="eastAsia" w:ascii="仿宋_GB2312" w:hAnsi="宋体" w:eastAsia="仿宋_GB2312"/>
                <w:bCs/>
                <w:color w:val="auto"/>
                <w:spacing w:val="-30"/>
                <w:kern w:val="0"/>
                <w:sz w:val="28"/>
                <w:szCs w:val="28"/>
              </w:rPr>
              <w:t>序号</w:t>
            </w:r>
          </w:p>
        </w:tc>
        <w:tc>
          <w:tcPr>
            <w:tcW w:w="2721" w:type="dxa"/>
            <w:vAlign w:val="center"/>
          </w:tcPr>
          <w:p>
            <w:pPr>
              <w:snapToGrid w:val="0"/>
              <w:jc w:val="center"/>
              <w:rPr>
                <w:rFonts w:ascii="仿宋_GB2312" w:hAnsi="宋体" w:eastAsia="仿宋_GB2312"/>
                <w:bCs/>
                <w:color w:val="auto"/>
                <w:kern w:val="0"/>
                <w:sz w:val="28"/>
                <w:szCs w:val="28"/>
              </w:rPr>
            </w:pPr>
            <w:r>
              <w:rPr>
                <w:rFonts w:hint="eastAsia" w:ascii="仿宋_GB2312" w:hAnsi="宋体" w:eastAsia="仿宋_GB2312"/>
                <w:bCs/>
                <w:color w:val="auto"/>
                <w:kern w:val="0"/>
                <w:sz w:val="28"/>
                <w:szCs w:val="28"/>
              </w:rPr>
              <w:t>检验</w:t>
            </w:r>
            <w:r>
              <w:rPr>
                <w:rFonts w:hint="eastAsia" w:ascii="仿宋_GB2312" w:hAnsi="宋体" w:eastAsia="仿宋_GB2312"/>
                <w:bCs/>
                <w:color w:val="auto"/>
                <w:kern w:val="0"/>
                <w:sz w:val="28"/>
                <w:szCs w:val="28"/>
                <w:lang w:val="en-US" w:eastAsia="zh-CN"/>
              </w:rPr>
              <w:t>检测</w:t>
            </w:r>
            <w:r>
              <w:rPr>
                <w:rFonts w:hint="eastAsia" w:ascii="仿宋_GB2312" w:hAnsi="宋体" w:eastAsia="仿宋_GB2312"/>
                <w:bCs/>
                <w:color w:val="auto"/>
                <w:kern w:val="0"/>
                <w:sz w:val="28"/>
                <w:szCs w:val="28"/>
              </w:rPr>
              <w:t>项目</w:t>
            </w:r>
          </w:p>
        </w:tc>
        <w:tc>
          <w:tcPr>
            <w:tcW w:w="4140" w:type="dxa"/>
            <w:vAlign w:val="center"/>
          </w:tcPr>
          <w:p>
            <w:pPr>
              <w:snapToGrid w:val="0"/>
              <w:jc w:val="center"/>
              <w:rPr>
                <w:rFonts w:ascii="仿宋_GB2312" w:hAnsi="宋体" w:eastAsia="仿宋_GB2312"/>
                <w:bCs/>
                <w:color w:val="auto"/>
                <w:kern w:val="0"/>
                <w:sz w:val="28"/>
                <w:szCs w:val="28"/>
              </w:rPr>
            </w:pPr>
            <w:r>
              <w:rPr>
                <w:rFonts w:hint="eastAsia" w:ascii="仿宋_GB2312" w:hAnsi="宋体" w:eastAsia="仿宋_GB2312"/>
                <w:bCs/>
                <w:color w:val="auto"/>
                <w:kern w:val="0"/>
                <w:sz w:val="28"/>
                <w:szCs w:val="28"/>
              </w:rPr>
              <w:t>检验</w:t>
            </w:r>
            <w:r>
              <w:rPr>
                <w:rFonts w:hint="eastAsia" w:ascii="仿宋_GB2312" w:hAnsi="宋体" w:eastAsia="仿宋_GB2312"/>
                <w:bCs/>
                <w:color w:val="auto"/>
                <w:kern w:val="0"/>
                <w:sz w:val="28"/>
                <w:szCs w:val="28"/>
                <w:lang w:val="en-US" w:eastAsia="zh-CN"/>
              </w:rPr>
              <w:t>检测</w:t>
            </w:r>
            <w:r>
              <w:rPr>
                <w:rFonts w:hint="eastAsia" w:ascii="仿宋_GB2312" w:hAnsi="宋体" w:eastAsia="仿宋_GB2312"/>
                <w:bCs/>
                <w:color w:val="auto"/>
                <w:kern w:val="0"/>
                <w:sz w:val="28"/>
                <w:szCs w:val="28"/>
              </w:rPr>
              <w:t>依据</w:t>
            </w:r>
          </w:p>
        </w:tc>
        <w:tc>
          <w:tcPr>
            <w:tcW w:w="1400" w:type="dxa"/>
            <w:vAlign w:val="center"/>
          </w:tcPr>
          <w:p>
            <w:pPr>
              <w:snapToGrid w:val="0"/>
              <w:jc w:val="center"/>
              <w:rPr>
                <w:rFonts w:ascii="仿宋_GB2312" w:hAnsi="宋体" w:eastAsia="仿宋_GB2312"/>
                <w:bCs/>
                <w:color w:val="auto"/>
                <w:kern w:val="0"/>
                <w:sz w:val="28"/>
                <w:szCs w:val="28"/>
              </w:rPr>
            </w:pPr>
            <w:r>
              <w:rPr>
                <w:rFonts w:hint="eastAsia" w:ascii="仿宋_GB2312" w:hAnsi="宋体" w:eastAsia="仿宋_GB2312"/>
                <w:bCs/>
                <w:color w:val="auto"/>
                <w:kern w:val="0"/>
                <w:sz w:val="28"/>
                <w:szCs w:val="28"/>
              </w:rPr>
              <w:t>检验</w:t>
            </w:r>
            <w:r>
              <w:rPr>
                <w:rFonts w:hint="eastAsia" w:ascii="仿宋_GB2312" w:hAnsi="宋体" w:eastAsia="仿宋_GB2312"/>
                <w:bCs/>
                <w:color w:val="auto"/>
                <w:kern w:val="0"/>
                <w:sz w:val="28"/>
                <w:szCs w:val="28"/>
                <w:lang w:val="en-US" w:eastAsia="zh-CN"/>
              </w:rPr>
              <w:t>检测</w:t>
            </w:r>
            <w:r>
              <w:rPr>
                <w:rFonts w:hint="eastAsia" w:ascii="仿宋_GB2312" w:hAnsi="宋体" w:eastAsia="仿宋_GB2312"/>
                <w:bCs/>
                <w:color w:val="auto"/>
                <w:kern w:val="0"/>
                <w:sz w:val="28"/>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eastAsia"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30"/>
                <w:kern w:val="0"/>
                <w:sz w:val="28"/>
                <w:szCs w:val="28"/>
                <w:lang w:val="en-US" w:eastAsia="zh-CN"/>
              </w:rPr>
              <w:t>1</w:t>
            </w:r>
          </w:p>
        </w:tc>
        <w:tc>
          <w:tcPr>
            <w:tcW w:w="2721" w:type="dxa"/>
            <w:vAlign w:val="center"/>
          </w:tcPr>
          <w:p>
            <w:pPr>
              <w:snapToGrid w:val="0"/>
              <w:jc w:val="center"/>
              <w:rPr>
                <w:rFonts w:hint="eastAsia" w:ascii="仿宋_GB2312" w:hAnsi="宋体" w:eastAsia="仿宋_GB2312"/>
                <w:bCs/>
                <w:color w:val="auto"/>
                <w:kern w:val="0"/>
                <w:sz w:val="28"/>
                <w:szCs w:val="28"/>
              </w:rPr>
            </w:pPr>
            <w:r>
              <w:rPr>
                <w:rFonts w:hint="eastAsia" w:ascii="仿宋_GB2312" w:eastAsia="仿宋_GB2312"/>
                <w:color w:val="auto"/>
                <w:lang w:val="en-US" w:eastAsia="zh-CN"/>
              </w:rPr>
              <w:t>质量/总质量</w:t>
            </w:r>
          </w:p>
        </w:tc>
        <w:tc>
          <w:tcPr>
            <w:tcW w:w="4140" w:type="dxa"/>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QB/T 1690-2004《贵金属饰品质量测量允差的规定》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GB/T 36128-2018《珠宝贵金属产品质量测量允差的规定》</w:t>
            </w:r>
          </w:p>
        </w:tc>
        <w:tc>
          <w:tcPr>
            <w:tcW w:w="1400" w:type="dxa"/>
            <w:vAlign w:val="center"/>
          </w:tcPr>
          <w:p>
            <w:pPr>
              <w:snapToGrid w:val="0"/>
              <w:jc w:val="center"/>
              <w:rPr>
                <w:rFonts w:hint="eastAsia" w:ascii="仿宋_GB2312" w:hAnsi="宋体" w:eastAsia="仿宋_GB2312"/>
                <w:bCs/>
                <w:color w:val="auto"/>
                <w:kern w:val="0"/>
                <w:sz w:val="28"/>
                <w:szCs w:val="28"/>
              </w:rPr>
            </w:pPr>
            <w:r>
              <w:rPr>
                <w:rFonts w:hint="eastAsia" w:ascii="仿宋_GB2312" w:hAnsi="宋体" w:eastAsia="仿宋_GB2312"/>
                <w:bCs/>
                <w:color w:val="auto"/>
                <w:spacing w:val="0"/>
                <w:kern w:val="0"/>
                <w:sz w:val="28"/>
                <w:szCs w:val="28"/>
                <w:lang w:val="en-US" w:eastAsia="zh-CN"/>
              </w:rPr>
              <w:t>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default"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30"/>
                <w:kern w:val="0"/>
                <w:sz w:val="28"/>
                <w:szCs w:val="28"/>
                <w:lang w:val="en-US" w:eastAsia="zh-CN"/>
              </w:rPr>
              <w:t>2</w:t>
            </w:r>
          </w:p>
        </w:tc>
        <w:tc>
          <w:tcPr>
            <w:tcW w:w="2721" w:type="dxa"/>
            <w:vAlign w:val="center"/>
          </w:tcPr>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贵金属含量</w:t>
            </w:r>
          </w:p>
        </w:tc>
        <w:tc>
          <w:tcPr>
            <w:tcW w:w="4140" w:type="dxa"/>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w:t>
            </w:r>
            <w:r>
              <w:rPr>
                <w:rFonts w:hint="eastAsia" w:ascii="仿宋_GB2312" w:eastAsia="仿宋_GB2312"/>
                <w:b w:val="0"/>
                <w:bCs w:val="0"/>
                <w:color w:val="auto"/>
                <w:lang w:val="en-US" w:eastAsia="zh-CN"/>
              </w:rPr>
              <w:t>（强制性标准）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贵金属纯度的规定及命名方法》第1号修改单（强制性标准）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GB/T 18043-2013《首饰 贵金属含量的测定 X</w:t>
            </w:r>
            <w:r>
              <w:rPr>
                <w:rFonts w:hint="default" w:ascii="仿宋_GB2312" w:eastAsia="仿宋_GB2312"/>
                <w:color w:val="auto"/>
                <w:lang w:val="en-US" w:eastAsia="zh-CN"/>
              </w:rPr>
              <w:t>射线荧光光谱法</w:t>
            </w:r>
            <w:r>
              <w:rPr>
                <w:rFonts w:hint="eastAsia" w:ascii="仿宋_GB2312" w:eastAsia="仿宋_GB2312"/>
                <w:color w:val="auto"/>
                <w:lang w:val="en-US" w:eastAsia="zh-CN"/>
              </w:rPr>
              <w:t>》</w:t>
            </w:r>
          </w:p>
        </w:tc>
        <w:tc>
          <w:tcPr>
            <w:tcW w:w="1400" w:type="dxa"/>
            <w:vAlign w:val="center"/>
          </w:tcPr>
          <w:p>
            <w:pPr>
              <w:snapToGrid w:val="0"/>
              <w:jc w:val="center"/>
              <w:rPr>
                <w:rFonts w:hint="eastAsia"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0"/>
                <w:kern w:val="0"/>
                <w:sz w:val="28"/>
                <w:szCs w:val="28"/>
                <w:lang w:val="en-US" w:eastAsia="zh-CN"/>
              </w:rPr>
              <w:t>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default"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30"/>
                <w:kern w:val="0"/>
                <w:sz w:val="28"/>
                <w:szCs w:val="28"/>
                <w:lang w:val="en-US" w:eastAsia="zh-CN"/>
              </w:rPr>
              <w:t>3</w:t>
            </w:r>
          </w:p>
        </w:tc>
        <w:tc>
          <w:tcPr>
            <w:tcW w:w="2721" w:type="dxa"/>
            <w:vAlign w:val="center"/>
          </w:tcPr>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印记</w:t>
            </w:r>
          </w:p>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（材料印记、</w:t>
            </w:r>
          </w:p>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含量印记、</w:t>
            </w:r>
          </w:p>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厂家代号印记）</w:t>
            </w:r>
          </w:p>
        </w:tc>
        <w:tc>
          <w:tcPr>
            <w:tcW w:w="4140" w:type="dxa"/>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贵金属纯度的规定及命名方法》（强制性标准）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贵金属纯度的规定及命名方法》第1号修改单（强制性标准）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GB/T 31912-2015《饰品 标识》</w:t>
            </w:r>
          </w:p>
        </w:tc>
        <w:tc>
          <w:tcPr>
            <w:tcW w:w="1400" w:type="dxa"/>
            <w:vAlign w:val="center"/>
          </w:tcPr>
          <w:p>
            <w:pPr>
              <w:snapToGrid w:val="0"/>
              <w:jc w:val="center"/>
              <w:rPr>
                <w:rFonts w:hint="eastAsia"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0"/>
                <w:kern w:val="0"/>
                <w:sz w:val="28"/>
                <w:szCs w:val="28"/>
                <w:lang w:val="en-US" w:eastAsia="zh-CN"/>
              </w:rPr>
              <w:t>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default"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30"/>
                <w:kern w:val="0"/>
                <w:sz w:val="28"/>
                <w:szCs w:val="28"/>
                <w:lang w:val="en-US" w:eastAsia="zh-CN"/>
              </w:rPr>
              <w:t>4</w:t>
            </w:r>
          </w:p>
        </w:tc>
        <w:tc>
          <w:tcPr>
            <w:tcW w:w="2721" w:type="dxa"/>
            <w:vAlign w:val="center"/>
          </w:tcPr>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名称</w:t>
            </w:r>
          </w:p>
        </w:tc>
        <w:tc>
          <w:tcPr>
            <w:tcW w:w="4140" w:type="dxa"/>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贵金属纯度的规定及命名方法》（强制性标准）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贵金属纯度的规定及命名方法》第1号修改单（强制性标准）</w:t>
            </w:r>
          </w:p>
        </w:tc>
        <w:tc>
          <w:tcPr>
            <w:tcW w:w="1400" w:type="dxa"/>
            <w:vAlign w:val="center"/>
          </w:tcPr>
          <w:p>
            <w:pPr>
              <w:snapToGrid w:val="0"/>
              <w:jc w:val="center"/>
              <w:rPr>
                <w:rFonts w:hint="eastAsia"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0"/>
                <w:kern w:val="0"/>
                <w:sz w:val="28"/>
                <w:szCs w:val="28"/>
                <w:lang w:val="en-US" w:eastAsia="zh-CN"/>
              </w:rPr>
              <w:t>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default"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30"/>
                <w:kern w:val="0"/>
                <w:sz w:val="28"/>
                <w:szCs w:val="28"/>
                <w:lang w:val="en-US" w:eastAsia="zh-CN"/>
              </w:rPr>
              <w:t>5</w:t>
            </w:r>
          </w:p>
        </w:tc>
        <w:tc>
          <w:tcPr>
            <w:tcW w:w="2721" w:type="dxa"/>
            <w:vAlign w:val="center"/>
          </w:tcPr>
          <w:p>
            <w:pPr>
              <w:snapToGrid w:val="0"/>
              <w:jc w:val="center"/>
              <w:rPr>
                <w:rFonts w:hint="eastAsia" w:ascii="仿宋_GB2312" w:eastAsia="仿宋_GB2312"/>
                <w:color w:val="auto"/>
                <w:lang w:val="en-US" w:eastAsia="zh-CN"/>
              </w:rPr>
            </w:pPr>
            <w:r>
              <w:rPr>
                <w:rFonts w:hint="eastAsia" w:ascii="仿宋_GB2312" w:eastAsia="仿宋_GB2312"/>
                <w:color w:val="auto"/>
                <w:lang w:val="en-US" w:eastAsia="zh-CN"/>
              </w:rPr>
              <w:t>标识标注</w:t>
            </w:r>
          </w:p>
        </w:tc>
        <w:tc>
          <w:tcPr>
            <w:tcW w:w="4140" w:type="dxa"/>
            <w:vAlign w:val="center"/>
          </w:tcPr>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贵金属纯度的规定及命名方法》（强制性标准）</w:t>
            </w:r>
          </w:p>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 11887-2012《首饰 贵金属纯度的规定及命名方法》第1号修改单（强制性标准）</w:t>
            </w:r>
          </w:p>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QB/T 1690-2004《贵金属饰品质量测量允差的规定》</w:t>
            </w:r>
          </w:p>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GB/T 36128-2018《珠宝贵金属产品质量测量允差的规定》</w:t>
            </w:r>
          </w:p>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QB/T 1689-2006《贵金属饰品术语》</w:t>
            </w:r>
          </w:p>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GB/T 31912-2015《饰品 标识》</w:t>
            </w:r>
          </w:p>
        </w:tc>
        <w:tc>
          <w:tcPr>
            <w:tcW w:w="1400" w:type="dxa"/>
            <w:vAlign w:val="center"/>
          </w:tcPr>
          <w:p>
            <w:pPr>
              <w:snapToGrid w:val="0"/>
              <w:jc w:val="center"/>
              <w:rPr>
                <w:rFonts w:hint="eastAsia"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0"/>
                <w:kern w:val="0"/>
                <w:sz w:val="28"/>
                <w:szCs w:val="28"/>
                <w:lang w:val="en-US" w:eastAsia="zh-CN"/>
              </w:rPr>
              <w:t>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eastAsia" w:ascii="仿宋_GB2312" w:hAnsi="宋体" w:eastAsia="仿宋_GB2312"/>
                <w:bCs/>
                <w:color w:val="auto"/>
                <w:kern w:val="0"/>
                <w:sz w:val="28"/>
                <w:szCs w:val="28"/>
                <w:lang w:val="en-US" w:eastAsia="zh-CN"/>
              </w:rPr>
            </w:pPr>
            <w:r>
              <w:rPr>
                <w:rFonts w:hint="eastAsia" w:ascii="仿宋_GB2312" w:hAnsi="宋体" w:eastAsia="仿宋_GB2312"/>
                <w:bCs/>
                <w:color w:val="auto"/>
                <w:kern w:val="0"/>
                <w:sz w:val="28"/>
                <w:szCs w:val="28"/>
                <w:lang w:val="en-US" w:eastAsia="zh-CN"/>
              </w:rPr>
              <w:t>6</w:t>
            </w:r>
          </w:p>
        </w:tc>
        <w:tc>
          <w:tcPr>
            <w:tcW w:w="2721" w:type="dxa"/>
            <w:vAlign w:val="center"/>
          </w:tcPr>
          <w:p>
            <w:pPr>
              <w:snapToGrid w:val="0"/>
              <w:jc w:val="center"/>
              <w:rPr>
                <w:rFonts w:hint="default" w:ascii="仿宋_GB2312" w:eastAsia="仿宋_GB2312"/>
                <w:color w:val="auto"/>
                <w:lang w:val="en-US" w:eastAsia="zh-CN"/>
              </w:rPr>
            </w:pPr>
            <w:r>
              <w:rPr>
                <w:rFonts w:hint="eastAsia" w:ascii="仿宋_GB2312" w:eastAsia="仿宋_GB2312"/>
                <w:color w:val="auto"/>
                <w:lang w:val="en-US" w:eastAsia="zh-CN"/>
              </w:rPr>
              <w:t>工艺质量</w:t>
            </w:r>
          </w:p>
        </w:tc>
        <w:tc>
          <w:tcPr>
            <w:tcW w:w="4140" w:type="dxa"/>
            <w:vAlign w:val="center"/>
          </w:tcPr>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_GB2312" w:eastAsia="仿宋_GB2312"/>
                <w:color w:val="auto"/>
                <w:lang w:val="en-US" w:eastAsia="zh-CN"/>
              </w:rPr>
            </w:pPr>
            <w:r>
              <w:rPr>
                <w:rFonts w:hint="eastAsia" w:ascii="仿宋_GB2312" w:eastAsia="仿宋_GB2312"/>
                <w:color w:val="auto"/>
                <w:lang w:val="en-US" w:eastAsia="zh-CN"/>
              </w:rPr>
              <w:t>QB/T 2062-2015《贵金属饰品》</w:t>
            </w:r>
          </w:p>
          <w:p>
            <w:pPr>
              <w:keepNext w:val="0"/>
              <w:keepLines w:val="0"/>
              <w:pageBreakBefore w:val="0"/>
              <w:kinsoku/>
              <w:wordWrap/>
              <w:overflowPunct/>
              <w:topLinePunct w:val="0"/>
              <w:autoSpaceDE/>
              <w:autoSpaceDN/>
              <w:bidi w:val="0"/>
              <w:adjustRightInd/>
              <w:snapToGrid w:val="0"/>
              <w:spacing w:before="157" w:beforeLines="50" w:after="157" w:afterLines="50" w:line="240" w:lineRule="exact"/>
              <w:jc w:val="both"/>
              <w:textAlignment w:val="auto"/>
              <w:rPr>
                <w:rFonts w:hint="eastAsia" w:ascii="仿宋" w:hAnsi="仿宋" w:eastAsia="仿宋"/>
                <w:color w:val="auto"/>
                <w:sz w:val="32"/>
                <w:szCs w:val="32"/>
                <w:lang w:val="en-US" w:eastAsia="zh-CN"/>
              </w:rPr>
            </w:pPr>
            <w:r>
              <w:rPr>
                <w:rFonts w:hint="eastAsia" w:ascii="仿宋_GB2312" w:eastAsia="仿宋_GB2312"/>
                <w:color w:val="auto"/>
                <w:lang w:val="en-US" w:eastAsia="zh-CN"/>
              </w:rPr>
              <w:t>QB/T 1689-2006《贵金属饰品术语》</w:t>
            </w:r>
          </w:p>
        </w:tc>
        <w:tc>
          <w:tcPr>
            <w:tcW w:w="1400" w:type="dxa"/>
            <w:vAlign w:val="center"/>
          </w:tcPr>
          <w:p>
            <w:pPr>
              <w:widowControl/>
              <w:jc w:val="center"/>
              <w:rPr>
                <w:rFonts w:hint="default" w:ascii="仿宋_GB2312" w:hAnsi="宋体" w:eastAsia="仿宋_GB2312"/>
                <w:bCs/>
                <w:color w:val="auto"/>
                <w:spacing w:val="-30"/>
                <w:kern w:val="0"/>
                <w:sz w:val="28"/>
                <w:szCs w:val="28"/>
                <w:lang w:val="en-US" w:eastAsia="zh-CN"/>
              </w:rPr>
            </w:pPr>
            <w:r>
              <w:rPr>
                <w:rFonts w:hint="eastAsia" w:ascii="仿宋_GB2312" w:hAnsi="宋体" w:eastAsia="仿宋_GB2312"/>
                <w:bCs/>
                <w:color w:val="auto"/>
                <w:spacing w:val="0"/>
                <w:kern w:val="0"/>
                <w:sz w:val="28"/>
                <w:szCs w:val="28"/>
                <w:lang w:val="en-US" w:eastAsia="zh-CN"/>
              </w:rPr>
              <w:t>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napToGrid w:val="0"/>
              <w:jc w:val="center"/>
              <w:rPr>
                <w:rFonts w:hint="eastAsia" w:ascii="仿宋_GB2312" w:hAnsi="宋体" w:eastAsia="仿宋_GB2312"/>
                <w:bCs/>
                <w:color w:val="auto"/>
                <w:kern w:val="0"/>
                <w:sz w:val="28"/>
                <w:szCs w:val="28"/>
                <w:lang w:val="en-US" w:eastAsia="zh-CN"/>
              </w:rPr>
            </w:pPr>
            <w:r>
              <w:rPr>
                <w:rFonts w:hint="eastAsia" w:ascii="仿宋_GB2312" w:hAnsi="宋体" w:eastAsia="仿宋_GB2312"/>
                <w:bCs/>
                <w:color w:val="auto"/>
                <w:kern w:val="0"/>
                <w:sz w:val="28"/>
                <w:szCs w:val="28"/>
                <w:lang w:val="en-US" w:eastAsia="zh-CN"/>
              </w:rPr>
              <w:t>7</w:t>
            </w:r>
          </w:p>
        </w:tc>
        <w:tc>
          <w:tcPr>
            <w:tcW w:w="2721" w:type="dxa"/>
            <w:vAlign w:val="center"/>
          </w:tcPr>
          <w:p>
            <w:pPr>
              <w:snapToGrid w:val="0"/>
              <w:jc w:val="center"/>
              <w:rPr>
                <w:rFonts w:hint="default" w:ascii="仿宋_GB2312" w:hAnsi="宋体" w:eastAsia="仿宋_GB2312"/>
                <w:bCs/>
                <w:color w:val="auto"/>
                <w:kern w:val="0"/>
                <w:sz w:val="28"/>
                <w:szCs w:val="28"/>
                <w:lang w:val="en-US" w:eastAsia="zh-CN"/>
              </w:rPr>
            </w:pPr>
            <w:r>
              <w:rPr>
                <w:rFonts w:hint="eastAsia" w:ascii="仿宋_GB2312" w:eastAsia="仿宋_GB2312"/>
                <w:color w:val="auto"/>
                <w:lang w:val="en-US" w:eastAsia="zh-CN"/>
              </w:rPr>
              <w:t>有害元素</w:t>
            </w:r>
          </w:p>
        </w:tc>
        <w:tc>
          <w:tcPr>
            <w:tcW w:w="4140" w:type="dxa"/>
            <w:vAlign w:val="center"/>
          </w:tcPr>
          <w:p>
            <w:pPr>
              <w:keepNext w:val="0"/>
              <w:keepLines w:val="0"/>
              <w:pageBreakBefore w:val="0"/>
              <w:widowControl/>
              <w:kinsoku/>
              <w:wordWrap/>
              <w:overflowPunct/>
              <w:topLinePunct w:val="0"/>
              <w:autoSpaceDE/>
              <w:autoSpaceDN/>
              <w:bidi w:val="0"/>
              <w:adjustRightInd/>
              <w:spacing w:before="157" w:beforeLines="50" w:after="157" w:afterLines="50" w:line="240" w:lineRule="exact"/>
              <w:jc w:val="both"/>
              <w:textAlignment w:val="auto"/>
              <w:rPr>
                <w:rFonts w:ascii="仿宋_GB2312" w:hAnsi="宋体" w:eastAsia="仿宋_GB2312"/>
                <w:bCs/>
                <w:color w:val="auto"/>
                <w:spacing w:val="-30"/>
                <w:kern w:val="0"/>
                <w:sz w:val="28"/>
                <w:szCs w:val="28"/>
              </w:rPr>
            </w:pPr>
            <w:r>
              <w:rPr>
                <w:rFonts w:hint="eastAsia" w:ascii="仿宋_GB2312" w:eastAsia="仿宋_GB2312"/>
                <w:color w:val="auto"/>
                <w:lang w:val="en-US" w:eastAsia="zh-CN"/>
              </w:rPr>
              <w:t>GB 28480-2012《饰品 有害元素限量的规定》</w:t>
            </w:r>
          </w:p>
        </w:tc>
        <w:tc>
          <w:tcPr>
            <w:tcW w:w="1400" w:type="dxa"/>
            <w:vAlign w:val="center"/>
          </w:tcPr>
          <w:p>
            <w:pPr>
              <w:widowControl/>
              <w:jc w:val="center"/>
              <w:rPr>
                <w:rFonts w:ascii="仿宋_GB2312" w:hAnsi="宋体" w:eastAsia="仿宋_GB2312"/>
                <w:bCs/>
                <w:color w:val="auto"/>
                <w:spacing w:val="-30"/>
                <w:kern w:val="0"/>
                <w:sz w:val="28"/>
                <w:szCs w:val="28"/>
              </w:rPr>
            </w:pPr>
            <w:r>
              <w:rPr>
                <w:rFonts w:hint="eastAsia" w:ascii="仿宋_GB2312" w:hAnsi="宋体" w:eastAsia="仿宋_GB2312"/>
                <w:bCs/>
                <w:color w:val="auto"/>
                <w:spacing w:val="0"/>
                <w:kern w:val="0"/>
                <w:sz w:val="28"/>
                <w:szCs w:val="28"/>
                <w:lang w:val="en-US" w:eastAsia="zh-CN"/>
              </w:rPr>
              <w:t>无损</w:t>
            </w:r>
          </w:p>
        </w:tc>
      </w:tr>
    </w:tbl>
    <w:p>
      <w:pPr>
        <w:snapToGrid w:val="0"/>
        <w:spacing w:line="360" w:lineRule="auto"/>
        <w:ind w:firstLine="560" w:firstLineChars="200"/>
        <w:jc w:val="both"/>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凡是注日期的文件，其随后所有的修改单（不包括勘误的内容）或修订版不适用于本细则。凡是不注日期的文件，其最新版本使用于本细则。</w:t>
      </w:r>
    </w:p>
    <w:p>
      <w:pPr>
        <w:snapToGrid w:val="0"/>
        <w:spacing w:line="360" w:lineRule="auto"/>
        <w:ind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3 判定规则</w:t>
      </w:r>
    </w:p>
    <w:p>
      <w:pPr>
        <w:snapToGrid w:val="0"/>
        <w:spacing w:line="360" w:lineRule="auto"/>
        <w:ind w:firstLine="560" w:firstLineChars="200"/>
        <w:jc w:val="left"/>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3.1依据标准</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 11887-2012《首饰 贵金属纯度的规定及命名方法》（强制性标准）</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 11887-2012《首饰 贵金属纯度的规定及命名方法》第1号修改单（强制性标准）</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GB/T 18043-2013《</w:t>
      </w:r>
      <w:r>
        <w:rPr>
          <w:rFonts w:hint="eastAsia" w:ascii="仿宋_GB2312" w:hAnsi="宋体" w:eastAsia="仿宋_GB2312"/>
          <w:bCs/>
          <w:color w:val="auto"/>
          <w:sz w:val="28"/>
          <w:szCs w:val="28"/>
        </w:rPr>
        <w:t>首饰</w:t>
      </w:r>
      <w:r>
        <w:rPr>
          <w:rFonts w:hint="eastAsia" w:ascii="仿宋_GB2312" w:hAnsi="宋体" w:eastAsia="仿宋_GB2312"/>
          <w:bCs/>
          <w:color w:val="auto"/>
          <w:sz w:val="28"/>
          <w:szCs w:val="28"/>
          <w:lang w:val="en-US" w:eastAsia="zh-CN"/>
        </w:rPr>
        <w:t xml:space="preserve"> </w:t>
      </w:r>
      <w:r>
        <w:rPr>
          <w:rFonts w:hint="eastAsia" w:ascii="仿宋_GB2312" w:hAnsi="宋体" w:eastAsia="仿宋_GB2312"/>
          <w:bCs/>
          <w:color w:val="auto"/>
          <w:sz w:val="28"/>
          <w:szCs w:val="28"/>
        </w:rPr>
        <w:t>贵金属含量的测定</w:t>
      </w:r>
      <w:r>
        <w:rPr>
          <w:rFonts w:hint="eastAsia" w:ascii="仿宋_GB2312" w:hAnsi="宋体" w:eastAsia="仿宋_GB2312"/>
          <w:bCs/>
          <w:color w:val="auto"/>
          <w:sz w:val="28"/>
          <w:szCs w:val="28"/>
          <w:lang w:val="en-US" w:eastAsia="zh-CN"/>
        </w:rPr>
        <w:t xml:space="preserve"> </w:t>
      </w:r>
      <w:r>
        <w:rPr>
          <w:rFonts w:hint="eastAsia" w:ascii="仿宋_GB2312" w:hAnsi="宋体" w:eastAsia="仿宋_GB2312"/>
          <w:bCs/>
          <w:color w:val="auto"/>
          <w:sz w:val="28"/>
          <w:szCs w:val="28"/>
        </w:rPr>
        <w:t>X</w:t>
      </w:r>
      <w:r>
        <w:rPr>
          <w:rFonts w:hint="default" w:ascii="仿宋_GB2312" w:hAnsi="宋体" w:eastAsia="仿宋_GB2312"/>
          <w:bCs/>
          <w:color w:val="auto"/>
          <w:sz w:val="28"/>
          <w:szCs w:val="28"/>
        </w:rPr>
        <w:t>射线荧光光谱法</w:t>
      </w:r>
      <w:r>
        <w:rPr>
          <w:rFonts w:hint="eastAsia" w:ascii="仿宋_GB2312" w:hAnsi="宋体" w:eastAsia="仿宋_GB2312"/>
          <w:bCs/>
          <w:color w:val="auto"/>
          <w:sz w:val="28"/>
          <w:szCs w:val="28"/>
          <w:lang w:val="en-US" w:eastAsia="zh-CN"/>
        </w:rPr>
        <w:t>》</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QB/T 1690-2004《贵金属饰品质量测量允差的规定》</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GB/T 36128-2018《珠宝贵金属产品质量测量允差的规定》</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QB/T 2062-2015《贵金属饰品》</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QB/T 1689-2006《贵金属饰品术语》</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GB/T 31912-2015《饰品 标识》</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GB/T 33541-2017《珠宝玉石及贵金属产品抽样检验合格判定准则》</w:t>
      </w:r>
    </w:p>
    <w:p>
      <w:pPr>
        <w:snapToGrid w:val="0"/>
        <w:spacing w:line="360" w:lineRule="auto"/>
        <w:ind w:firstLine="560" w:firstLineChars="200"/>
        <w:jc w:val="left"/>
        <w:rPr>
          <w:rFonts w:hint="eastAsia"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GB/T 14459-2006《贵金属饰品计数抽样检验规则》</w:t>
      </w:r>
    </w:p>
    <w:p>
      <w:pPr>
        <w:snapToGrid w:val="0"/>
        <w:spacing w:line="360" w:lineRule="auto"/>
        <w:ind w:firstLine="560" w:firstLineChars="200"/>
        <w:jc w:val="left"/>
        <w:rPr>
          <w:rFonts w:hint="default" w:ascii="仿宋_GB2312" w:hAnsi="宋体" w:eastAsia="仿宋_GB2312"/>
          <w:bCs/>
          <w:color w:val="auto"/>
          <w:sz w:val="28"/>
          <w:szCs w:val="28"/>
          <w:lang w:val="en-US" w:eastAsia="zh-CN"/>
        </w:rPr>
      </w:pPr>
      <w:r>
        <w:rPr>
          <w:rFonts w:hint="eastAsia" w:ascii="仿宋_GB2312" w:hAnsi="宋体" w:eastAsia="仿宋_GB2312"/>
          <w:bCs/>
          <w:color w:val="auto"/>
          <w:sz w:val="28"/>
          <w:szCs w:val="28"/>
          <w:lang w:val="en-US" w:eastAsia="zh-CN"/>
        </w:rPr>
        <w:t>GB 28480-2012《饰品 有害元素限量的规定》（强制性标准）</w:t>
      </w:r>
    </w:p>
    <w:p>
      <w:pPr>
        <w:snapToGrid w:val="0"/>
        <w:spacing w:line="360" w:lineRule="auto"/>
        <w:ind w:firstLine="560" w:firstLineChars="200"/>
        <w:jc w:val="left"/>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产品质量监督抽查管理暂行办法（国家市场监督管理总局令第18号）</w:t>
      </w:r>
    </w:p>
    <w:p>
      <w:pPr>
        <w:snapToGrid w:val="0"/>
        <w:spacing w:line="360" w:lineRule="auto"/>
        <w:ind w:firstLine="560" w:firstLineChars="200"/>
        <w:jc w:val="left"/>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经备案现行有效的企业标准及产品明示质量要求</w:t>
      </w:r>
    </w:p>
    <w:p>
      <w:pPr>
        <w:spacing w:line="600" w:lineRule="exact"/>
        <w:ind w:firstLine="560" w:firstLineChars="200"/>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3.2判定原则</w:t>
      </w:r>
    </w:p>
    <w:p>
      <w:pPr>
        <w:spacing w:line="600" w:lineRule="exact"/>
        <w:ind w:firstLine="560" w:firstLineChars="200"/>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经检验</w:t>
      </w:r>
      <w:r>
        <w:rPr>
          <w:rFonts w:hint="eastAsia" w:ascii="仿宋_GB2312" w:hAnsi="宋体" w:eastAsia="仿宋_GB2312"/>
          <w:bCs/>
          <w:color w:val="000000" w:themeColor="text1"/>
          <w:sz w:val="28"/>
          <w:szCs w:val="28"/>
          <w:lang w:val="en-US" w:eastAsia="zh-CN"/>
          <w14:textFill>
            <w14:solidFill>
              <w14:schemeClr w14:val="tx1"/>
            </w14:solidFill>
          </w14:textFill>
        </w:rPr>
        <w:t>检测</w:t>
      </w:r>
      <w:r>
        <w:rPr>
          <w:rFonts w:hint="eastAsia" w:ascii="仿宋_GB2312" w:hAnsi="宋体" w:eastAsia="仿宋_GB2312"/>
          <w:bCs/>
          <w:color w:val="000000" w:themeColor="text1"/>
          <w:sz w:val="28"/>
          <w:szCs w:val="28"/>
          <w14:textFill>
            <w14:solidFill>
              <w14:schemeClr w14:val="tx1"/>
            </w14:solidFill>
          </w14:textFill>
        </w:rPr>
        <w:t>，检验</w:t>
      </w:r>
      <w:r>
        <w:rPr>
          <w:rFonts w:hint="eastAsia" w:ascii="仿宋_GB2312" w:hAnsi="宋体" w:eastAsia="仿宋_GB2312"/>
          <w:bCs/>
          <w:color w:val="000000" w:themeColor="text1"/>
          <w:sz w:val="28"/>
          <w:szCs w:val="28"/>
          <w:lang w:val="en-US" w:eastAsia="zh-CN"/>
          <w14:textFill>
            <w14:solidFill>
              <w14:schemeClr w14:val="tx1"/>
            </w14:solidFill>
          </w14:textFill>
        </w:rPr>
        <w:t>检测</w:t>
      </w:r>
      <w:r>
        <w:rPr>
          <w:rFonts w:hint="eastAsia" w:ascii="仿宋_GB2312" w:hAnsi="宋体" w:eastAsia="仿宋_GB2312"/>
          <w:bCs/>
          <w:color w:val="000000" w:themeColor="text1"/>
          <w:sz w:val="28"/>
          <w:szCs w:val="28"/>
          <w14:textFill>
            <w14:solidFill>
              <w14:schemeClr w14:val="tx1"/>
            </w14:solidFill>
          </w14:textFill>
        </w:rPr>
        <w:t>项目全部合格，判定为被抽检产品合格；检验</w:t>
      </w:r>
      <w:r>
        <w:rPr>
          <w:rFonts w:hint="eastAsia" w:ascii="仿宋_GB2312" w:hAnsi="宋体" w:eastAsia="仿宋_GB2312"/>
          <w:bCs/>
          <w:color w:val="000000" w:themeColor="text1"/>
          <w:sz w:val="28"/>
          <w:szCs w:val="28"/>
          <w:lang w:val="en-US" w:eastAsia="zh-CN"/>
          <w14:textFill>
            <w14:solidFill>
              <w14:schemeClr w14:val="tx1"/>
            </w14:solidFill>
          </w14:textFill>
        </w:rPr>
        <w:t>检测</w:t>
      </w:r>
      <w:bookmarkStart w:id="0" w:name="_GoBack"/>
      <w:bookmarkEnd w:id="0"/>
      <w:r>
        <w:rPr>
          <w:rFonts w:hint="eastAsia" w:ascii="仿宋_GB2312" w:hAnsi="宋体" w:eastAsia="仿宋_GB2312"/>
          <w:bCs/>
          <w:color w:val="000000" w:themeColor="text1"/>
          <w:sz w:val="28"/>
          <w:szCs w:val="28"/>
          <w14:textFill>
            <w14:solidFill>
              <w14:schemeClr w14:val="tx1"/>
            </w14:solidFill>
          </w14:textFill>
        </w:rPr>
        <w:t>项目中任一项或一项以上不合格，判定为被抽检产品不合格。</w:t>
      </w:r>
    </w:p>
    <w:p>
      <w:pPr>
        <w:spacing w:line="600" w:lineRule="exact"/>
        <w:ind w:firstLine="560" w:firstLineChars="200"/>
        <w:rPr>
          <w:color w:val="auto"/>
          <w:sz w:val="30"/>
          <w:szCs w:val="30"/>
        </w:rPr>
      </w:pPr>
      <w:r>
        <w:rPr>
          <w:rFonts w:hint="eastAsia" w:ascii="仿宋_GB2312" w:hAnsi="宋体" w:eastAsia="仿宋_GB2312" w:cs="Times New Roman"/>
          <w:bCs/>
          <w:color w:val="auto"/>
          <w:sz w:val="28"/>
          <w:szCs w:val="28"/>
        </w:rPr>
        <w:t>依据国家法律、法规、强制性标准和其他有关规定进行</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rPr>
        <w:t>质量判定；</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lang w:val="en-US" w:eastAsia="zh-CN"/>
        </w:rPr>
        <w:t>标签</w:t>
      </w:r>
      <w:r>
        <w:rPr>
          <w:rFonts w:hint="eastAsia" w:ascii="仿宋_GB2312" w:hAnsi="宋体" w:eastAsia="仿宋_GB2312" w:cs="Times New Roman"/>
          <w:bCs/>
          <w:color w:val="auto"/>
          <w:sz w:val="28"/>
          <w:szCs w:val="28"/>
        </w:rPr>
        <w:t>明示采用企业标准或者作出质量承诺的，可以依据</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lang w:val="en-US" w:eastAsia="zh-CN"/>
        </w:rPr>
        <w:t>标签</w:t>
      </w:r>
      <w:r>
        <w:rPr>
          <w:rFonts w:hint="eastAsia" w:ascii="仿宋_GB2312" w:hAnsi="宋体" w:eastAsia="仿宋_GB2312" w:cs="Times New Roman"/>
          <w:bCs/>
          <w:color w:val="auto"/>
          <w:sz w:val="28"/>
          <w:szCs w:val="28"/>
        </w:rPr>
        <w:t>明示采用的企业标准或者质量承诺进行</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rPr>
        <w:t>质量判定。</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lang w:val="en-US" w:eastAsia="zh-CN"/>
        </w:rPr>
        <w:t>标签</w:t>
      </w:r>
      <w:r>
        <w:rPr>
          <w:rFonts w:hint="eastAsia" w:ascii="仿宋_GB2312" w:hAnsi="宋体" w:eastAsia="仿宋_GB2312" w:cs="Times New Roman"/>
          <w:bCs/>
          <w:color w:val="auto"/>
          <w:sz w:val="28"/>
          <w:szCs w:val="28"/>
        </w:rPr>
        <w:t>明示采用的企业标准或者作出的质量承诺低于强制性标准或者国家有关规定时，以强制性标准或者国家有关规定作为</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rPr>
        <w:t>质量判定依据。经营者未在规定时间内提供产品执行标准的，以相应的国家标准、行业标准作为</w:t>
      </w:r>
      <w:r>
        <w:rPr>
          <w:rFonts w:hint="eastAsia" w:ascii="仿宋_GB2312" w:hAnsi="宋体" w:eastAsia="仿宋_GB2312" w:cs="Times New Roman"/>
          <w:bCs/>
          <w:color w:val="auto"/>
          <w:sz w:val="28"/>
          <w:szCs w:val="28"/>
          <w:lang w:eastAsia="zh-CN"/>
        </w:rPr>
        <w:t>产品</w:t>
      </w:r>
      <w:r>
        <w:rPr>
          <w:rFonts w:hint="eastAsia" w:ascii="仿宋_GB2312" w:hAnsi="宋体" w:eastAsia="仿宋_GB2312" w:cs="Times New Roman"/>
          <w:bCs/>
          <w:color w:val="auto"/>
          <w:sz w:val="28"/>
          <w:szCs w:val="28"/>
        </w:rPr>
        <w:t>质量判定依据。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汉鼎简书宋二">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298557"/>
      <w:docPartObj>
        <w:docPartGallery w:val="autotext"/>
      </w:docPartObj>
    </w:sdtPr>
    <w:sdtContent>
      <w:p>
        <w:pPr>
          <w:pStyle w:val="7"/>
          <w:jc w:val="right"/>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DD"/>
    <w:rsid w:val="003D1958"/>
    <w:rsid w:val="004307EC"/>
    <w:rsid w:val="005870FE"/>
    <w:rsid w:val="006165B7"/>
    <w:rsid w:val="00617E44"/>
    <w:rsid w:val="00716FDD"/>
    <w:rsid w:val="008F747D"/>
    <w:rsid w:val="00963E4A"/>
    <w:rsid w:val="009F06EC"/>
    <w:rsid w:val="00AA6F00"/>
    <w:rsid w:val="00B626F6"/>
    <w:rsid w:val="00C701E5"/>
    <w:rsid w:val="00C72887"/>
    <w:rsid w:val="00C85106"/>
    <w:rsid w:val="00CC4ECB"/>
    <w:rsid w:val="00D07C8C"/>
    <w:rsid w:val="00D47CD9"/>
    <w:rsid w:val="00D665B5"/>
    <w:rsid w:val="00DF34C3"/>
    <w:rsid w:val="00E529E5"/>
    <w:rsid w:val="00E63992"/>
    <w:rsid w:val="00F678E2"/>
    <w:rsid w:val="00FC1191"/>
    <w:rsid w:val="06683F3F"/>
    <w:rsid w:val="0EC24B3B"/>
    <w:rsid w:val="11510959"/>
    <w:rsid w:val="165C0A8F"/>
    <w:rsid w:val="16CB11DC"/>
    <w:rsid w:val="170321A5"/>
    <w:rsid w:val="21031A30"/>
    <w:rsid w:val="218D221E"/>
    <w:rsid w:val="22E6763D"/>
    <w:rsid w:val="28E13C76"/>
    <w:rsid w:val="38F753A1"/>
    <w:rsid w:val="39D75A81"/>
    <w:rsid w:val="468013A0"/>
    <w:rsid w:val="47DF1167"/>
    <w:rsid w:val="4BC55167"/>
    <w:rsid w:val="4DB00707"/>
    <w:rsid w:val="4F325356"/>
    <w:rsid w:val="5597658C"/>
    <w:rsid w:val="58CD3BCD"/>
    <w:rsid w:val="6323309A"/>
    <w:rsid w:val="6AB00931"/>
    <w:rsid w:val="74A92656"/>
    <w:rsid w:val="759933DB"/>
    <w:rsid w:val="7D49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0"/>
    <w:semiHidden/>
    <w:qFormat/>
    <w:uiPriority w:val="0"/>
    <w:pPr>
      <w:jc w:val="left"/>
    </w:pPr>
  </w:style>
  <w:style w:type="paragraph" w:styleId="3">
    <w:name w:val="Block Text"/>
    <w:basedOn w:val="1"/>
    <w:qFormat/>
    <w:uiPriority w:val="0"/>
    <w:pPr>
      <w:spacing w:after="120"/>
      <w:ind w:left="1440" w:leftChars="700" w:right="1440" w:rightChars="700"/>
    </w:pPr>
  </w:style>
  <w:style w:type="paragraph" w:styleId="4">
    <w:name w:val="Plain Text"/>
    <w:basedOn w:val="1"/>
    <w:link w:val="22"/>
    <w:qFormat/>
    <w:uiPriority w:val="0"/>
    <w:rPr>
      <w:rFonts w:ascii="宋体" w:hAnsi="Courier New"/>
      <w:sz w:val="20"/>
      <w:szCs w:val="20"/>
    </w:rPr>
  </w:style>
  <w:style w:type="paragraph" w:styleId="5">
    <w:name w:val="Date"/>
    <w:basedOn w:val="1"/>
    <w:next w:val="1"/>
    <w:link w:val="25"/>
    <w:qFormat/>
    <w:uiPriority w:val="0"/>
    <w:pPr>
      <w:ind w:left="100" w:leftChars="2500"/>
    </w:pPr>
  </w:style>
  <w:style w:type="paragraph" w:styleId="6">
    <w:name w:val="Balloon Text"/>
    <w:basedOn w:val="1"/>
    <w:link w:val="24"/>
    <w:semiHidden/>
    <w:qFormat/>
    <w:uiPriority w:val="0"/>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link w:val="2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rPr>
  </w:style>
  <w:style w:type="paragraph" w:styleId="10">
    <w:name w:val="Normal (Web)"/>
    <w:qFormat/>
    <w:uiPriority w:val="99"/>
    <w:rPr>
      <w:rFonts w:ascii="Times New Roman" w:hAnsi="Times New Roman" w:eastAsia="宋体" w:cs="Times New Roman"/>
      <w:kern w:val="0"/>
      <w:sz w:val="24"/>
      <w:szCs w:val="20"/>
      <w:lang w:val="en-US" w:eastAsia="zh-CN" w:bidi="ar-SA"/>
    </w:rPr>
  </w:style>
  <w:style w:type="paragraph" w:styleId="11">
    <w:name w:val="annotation subject"/>
    <w:basedOn w:val="2"/>
    <w:next w:val="2"/>
    <w:link w:val="21"/>
    <w:semiHidden/>
    <w:qFormat/>
    <w:uiPriority w:val="0"/>
    <w:rPr>
      <w:b/>
      <w:bCs/>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qFormat/>
    <w:uiPriority w:val="0"/>
    <w:rPr>
      <w:rFonts w:cs="Times New Roman"/>
    </w:rPr>
  </w:style>
  <w:style w:type="character" w:styleId="16">
    <w:name w:val="Hyperlink"/>
    <w:qFormat/>
    <w:uiPriority w:val="0"/>
    <w:rPr>
      <w:color w:val="0000FF"/>
      <w:u w:val="single"/>
    </w:rPr>
  </w:style>
  <w:style w:type="character" w:styleId="17">
    <w:name w:val="annotation reference"/>
    <w:semiHidden/>
    <w:qFormat/>
    <w:uiPriority w:val="0"/>
    <w:rPr>
      <w:rFonts w:cs="Times New Roman"/>
      <w:sz w:val="21"/>
    </w:rPr>
  </w:style>
  <w:style w:type="character" w:customStyle="1" w:styleId="18">
    <w:name w:val="页眉 Char"/>
    <w:basedOn w:val="14"/>
    <w:link w:val="8"/>
    <w:qFormat/>
    <w:uiPriority w:val="0"/>
    <w:rPr>
      <w:sz w:val="18"/>
      <w:szCs w:val="18"/>
    </w:rPr>
  </w:style>
  <w:style w:type="character" w:customStyle="1" w:styleId="19">
    <w:name w:val="页脚 Char"/>
    <w:basedOn w:val="14"/>
    <w:link w:val="7"/>
    <w:qFormat/>
    <w:uiPriority w:val="99"/>
    <w:rPr>
      <w:sz w:val="18"/>
      <w:szCs w:val="18"/>
    </w:rPr>
  </w:style>
  <w:style w:type="character" w:customStyle="1" w:styleId="20">
    <w:name w:val="批注文字 Char"/>
    <w:link w:val="2"/>
    <w:semiHidden/>
    <w:qFormat/>
    <w:locked/>
    <w:uiPriority w:val="0"/>
    <w:rPr>
      <w:rFonts w:ascii="Times New Roman" w:hAnsi="Times New Roman" w:eastAsia="宋体" w:cs="Times New Roman"/>
      <w:sz w:val="24"/>
      <w:szCs w:val="24"/>
    </w:rPr>
  </w:style>
  <w:style w:type="character" w:customStyle="1" w:styleId="21">
    <w:name w:val="批注主题 Char"/>
    <w:link w:val="11"/>
    <w:semiHidden/>
    <w:qFormat/>
    <w:locked/>
    <w:uiPriority w:val="0"/>
    <w:rPr>
      <w:rFonts w:ascii="Times New Roman" w:hAnsi="Times New Roman" w:eastAsia="宋体" w:cs="Times New Roman"/>
      <w:b/>
      <w:bCs/>
      <w:sz w:val="24"/>
      <w:szCs w:val="24"/>
    </w:rPr>
  </w:style>
  <w:style w:type="character" w:customStyle="1" w:styleId="22">
    <w:name w:val="纯文本 Char"/>
    <w:link w:val="4"/>
    <w:qFormat/>
    <w:locked/>
    <w:uiPriority w:val="0"/>
    <w:rPr>
      <w:rFonts w:ascii="宋体" w:hAnsi="Courier New" w:eastAsia="宋体" w:cs="Times New Roman"/>
      <w:sz w:val="20"/>
      <w:szCs w:val="20"/>
    </w:rPr>
  </w:style>
  <w:style w:type="character" w:customStyle="1" w:styleId="23">
    <w:name w:val="HTML 预设格式 Char"/>
    <w:link w:val="9"/>
    <w:qFormat/>
    <w:uiPriority w:val="0"/>
    <w:rPr>
      <w:rFonts w:ascii="宋体" w:hAnsi="宋体" w:eastAsia="宋体"/>
      <w:sz w:val="24"/>
      <w:szCs w:val="24"/>
    </w:rPr>
  </w:style>
  <w:style w:type="character" w:customStyle="1" w:styleId="24">
    <w:name w:val="批注框文本 Char"/>
    <w:link w:val="6"/>
    <w:semiHidden/>
    <w:qFormat/>
    <w:locked/>
    <w:uiPriority w:val="0"/>
    <w:rPr>
      <w:rFonts w:ascii="Times New Roman" w:hAnsi="Times New Roman" w:eastAsia="宋体" w:cs="Times New Roman"/>
      <w:sz w:val="18"/>
      <w:szCs w:val="18"/>
    </w:rPr>
  </w:style>
  <w:style w:type="character" w:customStyle="1" w:styleId="25">
    <w:name w:val="日期 Char"/>
    <w:basedOn w:val="14"/>
    <w:link w:val="5"/>
    <w:qFormat/>
    <w:uiPriority w:val="0"/>
    <w:rPr>
      <w:rFonts w:ascii="Times New Roman" w:hAnsi="Times New Roman" w:eastAsia="宋体" w:cs="Times New Roman"/>
      <w:sz w:val="24"/>
      <w:szCs w:val="24"/>
    </w:rPr>
  </w:style>
  <w:style w:type="character" w:customStyle="1" w:styleId="26">
    <w:name w:val="纯文本 字符1"/>
    <w:basedOn w:val="14"/>
    <w:semiHidden/>
    <w:qFormat/>
    <w:uiPriority w:val="99"/>
    <w:rPr>
      <w:rFonts w:hAnsi="Courier New" w:cs="Courier New" w:asciiTheme="minorEastAsia"/>
      <w:sz w:val="24"/>
      <w:szCs w:val="24"/>
    </w:rPr>
  </w:style>
  <w:style w:type="character" w:customStyle="1" w:styleId="27">
    <w:name w:val="批注文字 字符1"/>
    <w:basedOn w:val="14"/>
    <w:semiHidden/>
    <w:qFormat/>
    <w:uiPriority w:val="99"/>
    <w:rPr>
      <w:rFonts w:ascii="Times New Roman" w:hAnsi="Times New Roman" w:eastAsia="宋体" w:cs="Times New Roman"/>
      <w:sz w:val="24"/>
      <w:szCs w:val="24"/>
    </w:rPr>
  </w:style>
  <w:style w:type="character" w:customStyle="1" w:styleId="28">
    <w:name w:val="批注主题 字符1"/>
    <w:basedOn w:val="27"/>
    <w:semiHidden/>
    <w:qFormat/>
    <w:uiPriority w:val="99"/>
    <w:rPr>
      <w:rFonts w:ascii="Times New Roman" w:hAnsi="Times New Roman" w:eastAsia="宋体" w:cs="Times New Roman"/>
      <w:b/>
      <w:bCs/>
      <w:sz w:val="24"/>
      <w:szCs w:val="24"/>
    </w:rPr>
  </w:style>
  <w:style w:type="character" w:customStyle="1" w:styleId="29">
    <w:name w:val="批注框文本 字符1"/>
    <w:basedOn w:val="14"/>
    <w:semiHidden/>
    <w:qFormat/>
    <w:uiPriority w:val="99"/>
    <w:rPr>
      <w:rFonts w:ascii="Times New Roman" w:hAnsi="Times New Roman" w:eastAsia="宋体" w:cs="Times New Roman"/>
      <w:sz w:val="18"/>
      <w:szCs w:val="18"/>
    </w:rPr>
  </w:style>
  <w:style w:type="character" w:customStyle="1" w:styleId="30">
    <w:name w:val="HTML 预设格式 字符1"/>
    <w:basedOn w:val="14"/>
    <w:semiHidden/>
    <w:qFormat/>
    <w:uiPriority w:val="99"/>
    <w:rPr>
      <w:rFonts w:ascii="Courier New" w:hAnsi="Courier New" w:eastAsia="宋体" w:cs="Courier New"/>
      <w:sz w:val="20"/>
      <w:szCs w:val="20"/>
    </w:rPr>
  </w:style>
  <w:style w:type="paragraph" w:customStyle="1" w:styleId="31">
    <w:name w:val="Char"/>
    <w:basedOn w:val="1"/>
    <w:qFormat/>
    <w:uiPriority w:val="0"/>
    <w:pPr>
      <w:widowControl/>
      <w:spacing w:after="160" w:line="320" w:lineRule="exact"/>
      <w:jc w:val="center"/>
    </w:pPr>
    <w:rPr>
      <w:rFonts w:ascii="Verdana" w:hAnsi="Verdana"/>
      <w:kern w:val="0"/>
      <w:sz w:val="18"/>
      <w:szCs w:val="20"/>
      <w:lang w:eastAsia="en-US"/>
    </w:rPr>
  </w:style>
  <w:style w:type="paragraph" w:customStyle="1" w:styleId="32">
    <w:name w:val="段"/>
    <w:qFormat/>
    <w:uiPriority w:val="0"/>
    <w:pPr>
      <w:autoSpaceDE w:val="0"/>
      <w:autoSpaceDN w:val="0"/>
      <w:adjustRightInd w:val="0"/>
      <w:snapToGrid w:val="0"/>
      <w:spacing w:line="500" w:lineRule="exact"/>
      <w:ind w:firstLine="560" w:firstLineChars="200"/>
    </w:pPr>
    <w:rPr>
      <w:rFonts w:ascii="仿宋_GB2312" w:hAnsi="宋体" w:eastAsia="仿宋_GB2312" w:cs="Times New Roman"/>
      <w:kern w:val="0"/>
      <w:sz w:val="28"/>
      <w:szCs w:val="28"/>
      <w:lang w:val="en-US" w:eastAsia="zh-CN" w:bidi="ar-SA"/>
    </w:rPr>
  </w:style>
  <w:style w:type="paragraph" w:customStyle="1" w:styleId="33">
    <w:name w:val="肥料正文"/>
    <w:basedOn w:val="1"/>
    <w:qFormat/>
    <w:uiPriority w:val="0"/>
    <w:pPr>
      <w:adjustRightInd w:val="0"/>
      <w:snapToGrid w:val="0"/>
      <w:spacing w:line="317" w:lineRule="auto"/>
      <w:ind w:firstLine="200" w:firstLineChars="200"/>
    </w:pPr>
    <w:rPr>
      <w:rFonts w:eastAsia="汉鼎简书宋二"/>
      <w:snapToGrid w:val="0"/>
      <w:spacing w:val="2"/>
      <w:kern w:val="0"/>
      <w:sz w:val="22"/>
    </w:rPr>
  </w:style>
  <w:style w:type="paragraph" w:styleId="34">
    <w:name w:val="List Paragraph"/>
    <w:basedOn w:val="1"/>
    <w:qFormat/>
    <w:uiPriority w:val="0"/>
    <w:pPr>
      <w:ind w:firstLine="420" w:firstLineChars="200"/>
    </w:pPr>
    <w:rPr>
      <w:sz w:val="21"/>
    </w:rPr>
  </w:style>
  <w:style w:type="paragraph" w:customStyle="1" w:styleId="35">
    <w:name w:val="Default"/>
    <w:qForma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939</Words>
  <Characters>5355</Characters>
  <Lines>44</Lines>
  <Paragraphs>12</Paragraphs>
  <TotalTime>1</TotalTime>
  <ScaleCrop>false</ScaleCrop>
  <LinksUpToDate>false</LinksUpToDate>
  <CharactersWithSpaces>6282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2020-04-27T01:30:00Z</dcterms:created>
  <dc:creator>dell</dc:creator>
  <cp:lastModifiedBy>Winsyc</cp:lastModifiedBy>
  <dcterms:modified xsi:type="dcterms:W3CDTF">2020-11-13T03:25:48Z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