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1AAE6" w14:textId="77777777" w:rsidR="00525C4A" w:rsidRDefault="00525C4A">
      <w:pPr>
        <w:spacing w:line="600" w:lineRule="exact"/>
        <w:ind w:firstLineChars="0" w:firstLine="0"/>
        <w:jc w:val="center"/>
        <w:rPr>
          <w:rFonts w:ascii="华文中宋" w:eastAsia="华文中宋" w:hAnsi="华文中宋"/>
          <w:sz w:val="44"/>
          <w:szCs w:val="44"/>
        </w:rPr>
      </w:pPr>
      <w:bookmarkStart w:id="0" w:name="_Hlk35771009"/>
      <w:bookmarkEnd w:id="0"/>
    </w:p>
    <w:p w14:paraId="1FF5FF04" w14:textId="77777777" w:rsidR="00525C4A" w:rsidRDefault="00525C4A">
      <w:pPr>
        <w:spacing w:line="600" w:lineRule="exact"/>
        <w:ind w:firstLineChars="0" w:firstLine="0"/>
        <w:jc w:val="center"/>
        <w:rPr>
          <w:rFonts w:ascii="华文中宋" w:eastAsia="华文中宋" w:hAnsi="华文中宋"/>
          <w:sz w:val="44"/>
          <w:szCs w:val="44"/>
        </w:rPr>
      </w:pPr>
    </w:p>
    <w:p w14:paraId="3B44FE8A" w14:textId="77777777" w:rsidR="00525C4A" w:rsidRDefault="00525C4A">
      <w:pPr>
        <w:spacing w:line="600" w:lineRule="exact"/>
        <w:ind w:firstLineChars="0" w:firstLine="0"/>
        <w:jc w:val="center"/>
        <w:rPr>
          <w:rFonts w:ascii="华文中宋" w:eastAsia="华文中宋" w:hAnsi="华文中宋"/>
          <w:sz w:val="44"/>
          <w:szCs w:val="44"/>
        </w:rPr>
      </w:pPr>
    </w:p>
    <w:p w14:paraId="60E5D5EA" w14:textId="77777777" w:rsidR="00525C4A" w:rsidRDefault="00525C4A">
      <w:pPr>
        <w:spacing w:line="600" w:lineRule="exact"/>
        <w:ind w:firstLineChars="0" w:firstLine="0"/>
        <w:jc w:val="center"/>
        <w:rPr>
          <w:rFonts w:ascii="华文中宋" w:eastAsia="华文中宋" w:hAnsi="华文中宋"/>
          <w:sz w:val="44"/>
          <w:szCs w:val="44"/>
        </w:rPr>
      </w:pPr>
    </w:p>
    <w:p w14:paraId="6C4C4D6B" w14:textId="77777777" w:rsidR="00525C4A" w:rsidRDefault="004041B3">
      <w:pPr>
        <w:spacing w:line="600" w:lineRule="exact"/>
        <w:ind w:firstLineChars="0" w:firstLine="0"/>
        <w:jc w:val="center"/>
        <w:rPr>
          <w:rFonts w:ascii="方正小标宋_GBK" w:eastAsia="方正小标宋_GBK" w:hAnsi="方正小标宋_GBK" w:cs="方正小标宋_GBK"/>
          <w:sz w:val="50"/>
          <w:szCs w:val="50"/>
        </w:rPr>
      </w:pPr>
      <w:r>
        <w:rPr>
          <w:rFonts w:ascii="方正小标宋_GBK" w:eastAsia="方正小标宋_GBK" w:hAnsi="方正小标宋_GBK" w:cs="方正小标宋_GBK" w:hint="eastAsia"/>
          <w:spacing w:val="11"/>
          <w:sz w:val="50"/>
          <w:szCs w:val="50"/>
        </w:rPr>
        <w:t>广东知识产权证券化蓝皮书</w:t>
      </w:r>
    </w:p>
    <w:p w14:paraId="4642F2CA" w14:textId="77777777" w:rsidR="00525C4A" w:rsidRDefault="00525C4A">
      <w:pPr>
        <w:spacing w:line="600" w:lineRule="exact"/>
        <w:ind w:firstLineChars="0" w:firstLine="0"/>
        <w:jc w:val="center"/>
        <w:rPr>
          <w:rFonts w:ascii="楷体" w:eastAsia="楷体" w:hAnsi="楷体"/>
          <w:sz w:val="32"/>
          <w:szCs w:val="32"/>
        </w:rPr>
      </w:pPr>
    </w:p>
    <w:p w14:paraId="1168FF09" w14:textId="77777777" w:rsidR="00525C4A" w:rsidRDefault="00525C4A">
      <w:pPr>
        <w:spacing w:line="600" w:lineRule="exact"/>
        <w:ind w:firstLineChars="0" w:firstLine="0"/>
        <w:jc w:val="center"/>
        <w:rPr>
          <w:rFonts w:ascii="楷体" w:eastAsia="楷体" w:hAnsi="楷体"/>
          <w:sz w:val="32"/>
          <w:szCs w:val="32"/>
        </w:rPr>
      </w:pPr>
    </w:p>
    <w:p w14:paraId="040CB2F9" w14:textId="77777777" w:rsidR="00525C4A" w:rsidRDefault="00525C4A">
      <w:pPr>
        <w:spacing w:line="600" w:lineRule="exact"/>
        <w:ind w:firstLineChars="0" w:firstLine="0"/>
        <w:jc w:val="center"/>
        <w:rPr>
          <w:rFonts w:ascii="楷体" w:eastAsia="楷体" w:hAnsi="楷体"/>
          <w:sz w:val="32"/>
          <w:szCs w:val="32"/>
        </w:rPr>
      </w:pPr>
    </w:p>
    <w:p w14:paraId="763A9E7F" w14:textId="77777777" w:rsidR="00525C4A" w:rsidRDefault="00525C4A">
      <w:pPr>
        <w:spacing w:line="600" w:lineRule="exact"/>
        <w:ind w:firstLineChars="0" w:firstLine="0"/>
        <w:jc w:val="center"/>
        <w:rPr>
          <w:rFonts w:ascii="楷体" w:eastAsia="楷体" w:hAnsi="楷体"/>
          <w:sz w:val="32"/>
          <w:szCs w:val="32"/>
        </w:rPr>
      </w:pPr>
    </w:p>
    <w:p w14:paraId="41DF5623" w14:textId="77777777" w:rsidR="00525C4A" w:rsidRDefault="00525C4A">
      <w:pPr>
        <w:spacing w:line="600" w:lineRule="exact"/>
        <w:ind w:firstLineChars="0" w:firstLine="0"/>
        <w:jc w:val="center"/>
        <w:rPr>
          <w:rFonts w:ascii="楷体" w:eastAsia="楷体" w:hAnsi="楷体"/>
          <w:sz w:val="32"/>
          <w:szCs w:val="32"/>
        </w:rPr>
      </w:pPr>
    </w:p>
    <w:p w14:paraId="2FF85B0D" w14:textId="77777777" w:rsidR="00525C4A" w:rsidRDefault="00525C4A">
      <w:pPr>
        <w:spacing w:line="600" w:lineRule="exact"/>
        <w:ind w:firstLineChars="0" w:firstLine="0"/>
        <w:jc w:val="center"/>
        <w:rPr>
          <w:rFonts w:ascii="楷体" w:eastAsia="楷体" w:hAnsi="楷体"/>
          <w:sz w:val="32"/>
          <w:szCs w:val="32"/>
        </w:rPr>
      </w:pPr>
    </w:p>
    <w:p w14:paraId="65C9CF7F" w14:textId="77777777" w:rsidR="00525C4A" w:rsidRDefault="004041B3">
      <w:pPr>
        <w:spacing w:line="600" w:lineRule="exact"/>
        <w:ind w:firstLineChars="300" w:firstLine="840"/>
        <w:rPr>
          <w:rFonts w:ascii="楷体_GB2312" w:eastAsia="楷体_GB2312" w:hAnsi="楷体_GB2312" w:cs="楷体_GB2312"/>
          <w:sz w:val="28"/>
          <w:szCs w:val="28"/>
        </w:rPr>
      </w:pPr>
      <w:r>
        <w:rPr>
          <w:rFonts w:ascii="楷体_GB2312" w:eastAsia="楷体_GB2312" w:hAnsi="楷体_GB2312" w:cs="楷体_GB2312" w:hint="eastAsia"/>
          <w:sz w:val="28"/>
          <w:szCs w:val="28"/>
        </w:rPr>
        <w:t>指导单位：广东省市场监督管理局（知识产权局）</w:t>
      </w:r>
    </w:p>
    <w:p w14:paraId="0A2A29CF" w14:textId="77777777" w:rsidR="00525C4A" w:rsidRDefault="004041B3">
      <w:pPr>
        <w:spacing w:line="600" w:lineRule="exact"/>
        <w:ind w:firstLineChars="300" w:firstLine="840"/>
        <w:rPr>
          <w:rFonts w:ascii="楷体_GB2312" w:eastAsia="楷体_GB2312" w:hAnsi="楷体_GB2312" w:cs="楷体_GB2312"/>
          <w:sz w:val="28"/>
          <w:szCs w:val="28"/>
        </w:rPr>
      </w:pPr>
      <w:r>
        <w:rPr>
          <w:rFonts w:ascii="楷体_GB2312" w:eastAsia="楷体_GB2312" w:hAnsi="楷体_GB2312" w:cs="楷体_GB2312" w:hint="eastAsia"/>
          <w:sz w:val="28"/>
          <w:szCs w:val="28"/>
        </w:rPr>
        <w:t>编制单位：广东中金</w:t>
      </w:r>
      <w:proofErr w:type="gramStart"/>
      <w:r>
        <w:rPr>
          <w:rFonts w:ascii="楷体_GB2312" w:eastAsia="楷体_GB2312" w:hAnsi="楷体_GB2312" w:cs="楷体_GB2312" w:hint="eastAsia"/>
          <w:sz w:val="28"/>
          <w:szCs w:val="28"/>
        </w:rPr>
        <w:t>浩</w:t>
      </w:r>
      <w:proofErr w:type="gramEnd"/>
      <w:r>
        <w:rPr>
          <w:rFonts w:ascii="楷体_GB2312" w:eastAsia="楷体_GB2312" w:hAnsi="楷体_GB2312" w:cs="楷体_GB2312" w:hint="eastAsia"/>
          <w:sz w:val="28"/>
          <w:szCs w:val="28"/>
        </w:rPr>
        <w:t>资产评估有限公司</w:t>
      </w:r>
    </w:p>
    <w:p w14:paraId="0E92A88B" w14:textId="77777777" w:rsidR="00525C4A" w:rsidRDefault="004041B3">
      <w:pPr>
        <w:spacing w:line="600" w:lineRule="exact"/>
        <w:ind w:firstLineChars="800" w:firstLine="2240"/>
        <w:rPr>
          <w:rFonts w:ascii="楷体_GB2312" w:eastAsia="楷体_GB2312" w:hAnsi="楷体_GB2312" w:cs="楷体_GB2312"/>
          <w:sz w:val="28"/>
          <w:szCs w:val="28"/>
        </w:rPr>
      </w:pPr>
      <w:r>
        <w:rPr>
          <w:rFonts w:ascii="楷体_GB2312" w:eastAsia="楷体_GB2312" w:hAnsi="楷体_GB2312" w:cs="楷体_GB2312" w:hint="eastAsia"/>
          <w:sz w:val="28"/>
          <w:szCs w:val="28"/>
        </w:rPr>
        <w:t>兴业证券经济与金融研究院</w:t>
      </w:r>
    </w:p>
    <w:p w14:paraId="2B5894C5" w14:textId="77777777" w:rsidR="00525C4A" w:rsidRDefault="004041B3">
      <w:pPr>
        <w:spacing w:line="600" w:lineRule="exact"/>
        <w:ind w:firstLineChars="800" w:firstLine="2240"/>
        <w:rPr>
          <w:rFonts w:ascii="楷体_GB2312" w:eastAsia="楷体_GB2312" w:hAnsi="楷体_GB2312" w:cs="楷体_GB2312"/>
          <w:sz w:val="28"/>
          <w:szCs w:val="28"/>
        </w:rPr>
      </w:pPr>
      <w:r>
        <w:rPr>
          <w:rFonts w:ascii="楷体_GB2312" w:eastAsia="楷体_GB2312" w:hAnsi="楷体_GB2312" w:cs="楷体_GB2312" w:hint="eastAsia"/>
          <w:sz w:val="28"/>
          <w:szCs w:val="28"/>
        </w:rPr>
        <w:t>北京智慧财富知识产权金融研究院</w:t>
      </w:r>
    </w:p>
    <w:p w14:paraId="00500CDB" w14:textId="77777777" w:rsidR="00525C4A" w:rsidRDefault="00525C4A">
      <w:pPr>
        <w:spacing w:line="600" w:lineRule="exact"/>
        <w:ind w:firstLineChars="0" w:firstLine="0"/>
        <w:rPr>
          <w:rFonts w:ascii="楷体" w:eastAsia="楷体" w:hAnsi="楷体"/>
          <w:sz w:val="28"/>
          <w:szCs w:val="28"/>
        </w:rPr>
      </w:pPr>
    </w:p>
    <w:p w14:paraId="1A09E562" w14:textId="77777777" w:rsidR="00525C4A" w:rsidRDefault="00525C4A">
      <w:pPr>
        <w:pStyle w:val="3"/>
        <w:ind w:firstLine="482"/>
      </w:pPr>
    </w:p>
    <w:p w14:paraId="08B1A072" w14:textId="77777777" w:rsidR="00525C4A" w:rsidRDefault="004041B3">
      <w:pPr>
        <w:spacing w:line="600" w:lineRule="exact"/>
        <w:ind w:firstLineChars="0" w:firstLine="0"/>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2020年4月</w:t>
      </w:r>
    </w:p>
    <w:p w14:paraId="2164EDF8" w14:textId="77777777" w:rsidR="00525C4A" w:rsidRDefault="004041B3">
      <w:pPr>
        <w:spacing w:line="600" w:lineRule="exact"/>
        <w:ind w:firstLineChars="0" w:firstLine="0"/>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广州</w:t>
      </w:r>
    </w:p>
    <w:p w14:paraId="380A03BD" w14:textId="77777777" w:rsidR="00525C4A" w:rsidRDefault="004041B3">
      <w:pPr>
        <w:widowControl/>
        <w:ind w:firstLineChars="0" w:firstLine="0"/>
        <w:rPr>
          <w:rFonts w:ascii="楷体" w:eastAsia="楷体" w:hAnsi="楷体"/>
          <w:sz w:val="32"/>
          <w:szCs w:val="32"/>
        </w:rPr>
      </w:pPr>
      <w:r>
        <w:rPr>
          <w:rFonts w:ascii="楷体" w:eastAsia="楷体" w:hAnsi="楷体"/>
          <w:sz w:val="32"/>
          <w:szCs w:val="32"/>
        </w:rPr>
        <w:br w:type="page"/>
      </w:r>
    </w:p>
    <w:p w14:paraId="733E41FF" w14:textId="77777777" w:rsidR="00525C4A" w:rsidRDefault="00525C4A">
      <w:pPr>
        <w:spacing w:line="600" w:lineRule="exact"/>
        <w:ind w:firstLineChars="0" w:firstLine="0"/>
        <w:rPr>
          <w:rFonts w:ascii="楷体" w:eastAsia="楷体" w:hAnsi="楷体"/>
          <w:sz w:val="32"/>
          <w:szCs w:val="32"/>
        </w:rPr>
      </w:pPr>
    </w:p>
    <w:p w14:paraId="3676D9C2" w14:textId="77777777" w:rsidR="00525C4A" w:rsidRDefault="00525C4A">
      <w:pPr>
        <w:spacing w:line="600" w:lineRule="exact"/>
        <w:ind w:firstLineChars="0" w:firstLine="0"/>
        <w:rPr>
          <w:rFonts w:ascii="楷体" w:eastAsia="楷体" w:hAnsi="楷体"/>
          <w:sz w:val="32"/>
          <w:szCs w:val="32"/>
        </w:rPr>
      </w:pPr>
    </w:p>
    <w:p w14:paraId="088CC6B7" w14:textId="77777777" w:rsidR="00525C4A" w:rsidRDefault="004041B3">
      <w:pPr>
        <w:spacing w:line="600" w:lineRule="exact"/>
        <w:ind w:firstLineChars="0" w:firstLine="0"/>
        <w:rPr>
          <w:rFonts w:ascii="楷体_GB2312" w:eastAsia="楷体_GB2312" w:hAnsi="楷体_GB2312" w:cs="楷体_GB2312"/>
          <w:sz w:val="28"/>
          <w:szCs w:val="28"/>
        </w:rPr>
      </w:pPr>
      <w:r>
        <w:rPr>
          <w:rFonts w:ascii="楷体_GB2312" w:eastAsia="楷体_GB2312" w:hAnsi="楷体_GB2312" w:cs="楷体_GB2312" w:hint="eastAsia"/>
          <w:sz w:val="28"/>
          <w:szCs w:val="28"/>
        </w:rPr>
        <w:t>编写组成员：</w:t>
      </w:r>
    </w:p>
    <w:p w14:paraId="1BB008CA" w14:textId="77777777" w:rsidR="00525C4A" w:rsidRDefault="00525C4A">
      <w:pPr>
        <w:ind w:firstLine="480"/>
        <w:rPr>
          <w:rFonts w:ascii="楷体_GB2312" w:eastAsia="楷体_GB2312" w:hAnsi="楷体_GB2312" w:cs="楷体_GB2312"/>
        </w:rPr>
      </w:pPr>
    </w:p>
    <w:p w14:paraId="4B4DEA99" w14:textId="77777777" w:rsidR="00525C4A" w:rsidRDefault="004041B3">
      <w:pPr>
        <w:spacing w:line="600" w:lineRule="exact"/>
        <w:ind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 xml:space="preserve">廖伟吉 </w:t>
      </w:r>
      <w:proofErr w:type="gramStart"/>
      <w:r>
        <w:rPr>
          <w:rFonts w:ascii="楷体_GB2312" w:eastAsia="楷体_GB2312" w:hAnsi="楷体_GB2312" w:cs="楷体_GB2312" w:hint="eastAsia"/>
          <w:sz w:val="28"/>
          <w:szCs w:val="28"/>
        </w:rPr>
        <w:t>谢恒</w:t>
      </w:r>
      <w:proofErr w:type="gramEnd"/>
      <w:r>
        <w:rPr>
          <w:rFonts w:ascii="楷体_GB2312" w:eastAsia="楷体_GB2312" w:hAnsi="楷体_GB2312" w:cs="楷体_GB2312" w:hint="eastAsia"/>
          <w:sz w:val="28"/>
          <w:szCs w:val="28"/>
        </w:rPr>
        <w:t xml:space="preserve"> 丁</w:t>
      </w:r>
      <w:proofErr w:type="gramStart"/>
      <w:r>
        <w:rPr>
          <w:rFonts w:ascii="楷体_GB2312" w:eastAsia="楷体_GB2312" w:hAnsi="楷体_GB2312" w:cs="楷体_GB2312" w:hint="eastAsia"/>
          <w:sz w:val="28"/>
          <w:szCs w:val="28"/>
        </w:rPr>
        <w:t>坚</w:t>
      </w:r>
      <w:proofErr w:type="gramEnd"/>
      <w:r>
        <w:rPr>
          <w:rFonts w:ascii="楷体_GB2312" w:eastAsia="楷体_GB2312" w:hAnsi="楷体_GB2312" w:cs="楷体_GB2312" w:hint="eastAsia"/>
          <w:sz w:val="28"/>
          <w:szCs w:val="28"/>
        </w:rPr>
        <w:t xml:space="preserve"> 马新明 刘凯达 </w:t>
      </w:r>
      <w:proofErr w:type="gramStart"/>
      <w:r>
        <w:rPr>
          <w:rFonts w:ascii="楷体_GB2312" w:eastAsia="楷体_GB2312" w:hAnsi="楷体_GB2312" w:cs="楷体_GB2312" w:hint="eastAsia"/>
          <w:sz w:val="28"/>
          <w:szCs w:val="28"/>
        </w:rPr>
        <w:t>池艳秋</w:t>
      </w:r>
      <w:proofErr w:type="gramEnd"/>
    </w:p>
    <w:p w14:paraId="072DD8C9" w14:textId="77777777" w:rsidR="00525C4A" w:rsidRDefault="004041B3">
      <w:pPr>
        <w:widowControl/>
        <w:ind w:firstLineChars="0" w:firstLine="0"/>
        <w:rPr>
          <w:rFonts w:ascii="华文中宋" w:eastAsia="华文中宋" w:hAnsi="华文中宋"/>
          <w:sz w:val="28"/>
          <w:szCs w:val="28"/>
        </w:rPr>
      </w:pPr>
      <w:r>
        <w:rPr>
          <w:rFonts w:ascii="华文中宋" w:eastAsia="华文中宋" w:hAnsi="华文中宋"/>
          <w:sz w:val="28"/>
          <w:szCs w:val="28"/>
        </w:rPr>
        <w:br w:type="page"/>
      </w:r>
    </w:p>
    <w:p w14:paraId="04E24B66" w14:textId="77777777" w:rsidR="00525C4A" w:rsidRDefault="004041B3">
      <w:pPr>
        <w:pStyle w:val="TOC1"/>
        <w:tabs>
          <w:tab w:val="right" w:leader="dot" w:pos="9637"/>
        </w:tabs>
        <w:spacing w:before="240" w:after="240" w:line="560" w:lineRule="exact"/>
        <w:ind w:firstLineChars="0" w:firstLine="0"/>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目  录</w:t>
      </w:r>
    </w:p>
    <w:p w14:paraId="78733A41" w14:textId="77777777" w:rsidR="00525C4A" w:rsidRDefault="004041B3">
      <w:pPr>
        <w:pStyle w:val="TOC1"/>
        <w:tabs>
          <w:tab w:val="right" w:leader="dot" w:pos="7980"/>
          <w:tab w:val="right" w:leader="dot" w:pos="8296"/>
        </w:tabs>
        <w:spacing w:before="60" w:after="60"/>
        <w:ind w:left="720" w:hangingChars="200" w:hanging="720"/>
        <w:rPr>
          <w:rFonts w:ascii="宋体" w:hAnsi="宋体" w:cs="宋体"/>
          <w:szCs w:val="24"/>
        </w:rPr>
      </w:pPr>
      <w:r>
        <w:rPr>
          <w:rFonts w:asciiTheme="minorEastAsia" w:hAnsiTheme="minorEastAsia"/>
          <w:sz w:val="36"/>
          <w:szCs w:val="36"/>
        </w:rPr>
        <w:fldChar w:fldCharType="begin"/>
      </w:r>
      <w:r>
        <w:rPr>
          <w:rFonts w:asciiTheme="minorEastAsia" w:hAnsiTheme="minorEastAsia"/>
          <w:sz w:val="36"/>
          <w:szCs w:val="36"/>
        </w:rPr>
        <w:instrText xml:space="preserve"> TOC \o "1-3" \h \z \u </w:instrText>
      </w:r>
      <w:r>
        <w:rPr>
          <w:rFonts w:asciiTheme="minorEastAsia" w:hAnsiTheme="minorEastAsia"/>
          <w:sz w:val="36"/>
          <w:szCs w:val="36"/>
        </w:rPr>
        <w:fldChar w:fldCharType="separate"/>
      </w:r>
      <w:hyperlink w:anchor="_Toc36378069" w:history="1">
        <w:r>
          <w:rPr>
            <w:rStyle w:val="ac"/>
            <w:rFonts w:ascii="宋体" w:hAnsi="宋体" w:cs="宋体" w:hint="eastAsia"/>
            <w:szCs w:val="24"/>
          </w:rPr>
          <w:t>前  言</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_Toc36378069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w:t>
        </w:r>
        <w:r>
          <w:rPr>
            <w:rFonts w:ascii="宋体" w:hAnsi="宋体" w:cs="宋体" w:hint="eastAsia"/>
            <w:szCs w:val="24"/>
          </w:rPr>
          <w:fldChar w:fldCharType="end"/>
        </w:r>
      </w:hyperlink>
    </w:p>
    <w:p w14:paraId="778EC446"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070" w:history="1">
        <w:r>
          <w:rPr>
            <w:rStyle w:val="ac"/>
            <w:rFonts w:ascii="宋体" w:hAnsi="宋体" w:cs="宋体" w:hint="eastAsia"/>
            <w:szCs w:val="24"/>
          </w:rPr>
          <w:t>一、概述</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_Toc36378070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w:t>
        </w:r>
        <w:r>
          <w:rPr>
            <w:rFonts w:ascii="宋体" w:hAnsi="宋体" w:cs="宋体" w:hint="eastAsia"/>
            <w:szCs w:val="24"/>
          </w:rPr>
          <w:fldChar w:fldCharType="end"/>
        </w:r>
      </w:hyperlink>
    </w:p>
    <w:p w14:paraId="3B0CAA97"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71" w:history="1">
        <w:r>
          <w:rPr>
            <w:rStyle w:val="ac"/>
            <w:rFonts w:ascii="宋体" w:hAnsi="宋体" w:cs="宋体" w:hint="eastAsia"/>
            <w:szCs w:val="24"/>
          </w:rPr>
          <w:t>（一）知识产权概念</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_Toc36378071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w:t>
        </w:r>
        <w:r>
          <w:rPr>
            <w:rFonts w:ascii="宋体" w:hAnsi="宋体" w:cs="宋体" w:hint="eastAsia"/>
            <w:szCs w:val="24"/>
          </w:rPr>
          <w:fldChar w:fldCharType="end"/>
        </w:r>
      </w:hyperlink>
    </w:p>
    <w:p w14:paraId="6FF931C1"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72" w:history="1">
        <w:r>
          <w:rPr>
            <w:rStyle w:val="ac"/>
            <w:rFonts w:ascii="宋体" w:hAnsi="宋体" w:cs="宋体" w:hint="eastAsia"/>
            <w:szCs w:val="24"/>
          </w:rPr>
          <w:t>（二）知识产权资产属性</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_Toc36378072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w:t>
        </w:r>
        <w:r>
          <w:rPr>
            <w:rFonts w:ascii="宋体" w:hAnsi="宋体" w:cs="宋体" w:hint="eastAsia"/>
            <w:szCs w:val="24"/>
          </w:rPr>
          <w:fldChar w:fldCharType="end"/>
        </w:r>
      </w:hyperlink>
    </w:p>
    <w:p w14:paraId="45F69D38"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73" w:history="1">
        <w:r>
          <w:rPr>
            <w:rStyle w:val="ac"/>
            <w:rFonts w:ascii="宋体" w:hAnsi="宋体" w:cs="宋体" w:hint="eastAsia"/>
            <w:szCs w:val="24"/>
          </w:rPr>
          <w:t>（三）知识产权作为基础资产的适用性</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_Toc36378073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w:t>
        </w:r>
        <w:r>
          <w:rPr>
            <w:rFonts w:ascii="宋体" w:hAnsi="宋体" w:cs="宋体" w:hint="eastAsia"/>
            <w:szCs w:val="24"/>
          </w:rPr>
          <w:fldChar w:fldCharType="end"/>
        </w:r>
      </w:hyperlink>
    </w:p>
    <w:p w14:paraId="20FA3A99"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074" w:history="1">
        <w:r>
          <w:rPr>
            <w:rStyle w:val="ac"/>
            <w:rFonts w:ascii="宋体" w:hAnsi="宋体" w:cs="宋体" w:hint="eastAsia"/>
            <w:szCs w:val="24"/>
          </w:rPr>
          <w:t>二、知识产权融资模式简介</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_Toc36378074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w:t>
        </w:r>
        <w:r>
          <w:rPr>
            <w:rFonts w:ascii="宋体" w:hAnsi="宋体" w:cs="宋体" w:hint="eastAsia"/>
            <w:szCs w:val="24"/>
          </w:rPr>
          <w:fldChar w:fldCharType="end"/>
        </w:r>
      </w:hyperlink>
    </w:p>
    <w:p w14:paraId="3AA6BD79"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75" w:history="1">
        <w:r>
          <w:rPr>
            <w:rStyle w:val="ac"/>
            <w:rFonts w:ascii="宋体" w:hAnsi="宋体" w:cs="宋体" w:hint="eastAsia"/>
            <w:szCs w:val="24"/>
          </w:rPr>
          <w:t>（一）传统的知识产权融资模式</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_Toc36378075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w:t>
        </w:r>
        <w:r>
          <w:rPr>
            <w:rFonts w:ascii="宋体" w:hAnsi="宋体" w:cs="宋体" w:hint="eastAsia"/>
            <w:szCs w:val="24"/>
          </w:rPr>
          <w:fldChar w:fldCharType="end"/>
        </w:r>
      </w:hyperlink>
    </w:p>
    <w:p w14:paraId="29BFA625"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76" w:history="1">
        <w:r>
          <w:rPr>
            <w:rStyle w:val="ac"/>
            <w:rFonts w:ascii="宋体" w:hAnsi="宋体" w:cs="宋体" w:hint="eastAsia"/>
            <w:szCs w:val="24"/>
          </w:rPr>
          <w:t>（二）知识产权证券化</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_Toc36378076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w:t>
        </w:r>
        <w:r>
          <w:rPr>
            <w:rFonts w:ascii="宋体" w:hAnsi="宋体" w:cs="宋体" w:hint="eastAsia"/>
            <w:szCs w:val="24"/>
          </w:rPr>
          <w:fldChar w:fldCharType="end"/>
        </w:r>
      </w:hyperlink>
    </w:p>
    <w:p w14:paraId="3855B574"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77" w:history="1">
        <w:r>
          <w:rPr>
            <w:rStyle w:val="ac"/>
            <w:rFonts w:ascii="宋体" w:hAnsi="宋体" w:cs="宋体" w:hint="eastAsia"/>
            <w:szCs w:val="24"/>
          </w:rPr>
          <w:t>1、知识产权证券化定义</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_Toc36378077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w:t>
        </w:r>
        <w:r>
          <w:rPr>
            <w:rFonts w:ascii="宋体" w:hAnsi="宋体" w:cs="宋体" w:hint="eastAsia"/>
            <w:szCs w:val="24"/>
          </w:rPr>
          <w:fldChar w:fldCharType="end"/>
        </w:r>
      </w:hyperlink>
    </w:p>
    <w:p w14:paraId="4B1EFF14"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78" w:history="1">
        <w:r>
          <w:rPr>
            <w:rStyle w:val="ac"/>
            <w:rFonts w:ascii="宋体" w:hAnsi="宋体" w:cs="宋体" w:hint="eastAsia"/>
            <w:szCs w:val="24"/>
          </w:rPr>
          <w:t>2、知识产权证券化意义</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_Toc36378078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5</w:t>
        </w:r>
        <w:r>
          <w:rPr>
            <w:rFonts w:ascii="宋体" w:hAnsi="宋体" w:cs="宋体" w:hint="eastAsia"/>
            <w:szCs w:val="24"/>
          </w:rPr>
          <w:fldChar w:fldCharType="end"/>
        </w:r>
      </w:hyperlink>
    </w:p>
    <w:p w14:paraId="7F2C773B"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79" w:history="1">
        <w:r>
          <w:rPr>
            <w:rStyle w:val="ac"/>
            <w:rFonts w:ascii="宋体" w:hAnsi="宋体" w:cs="宋体" w:hint="eastAsia"/>
            <w:szCs w:val="24"/>
          </w:rPr>
          <w:t>3、知识产权证券化的特征</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_Toc36378079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5</w:t>
        </w:r>
        <w:r>
          <w:rPr>
            <w:rFonts w:ascii="宋体" w:hAnsi="宋体" w:cs="宋体" w:hint="eastAsia"/>
            <w:szCs w:val="24"/>
          </w:rPr>
          <w:fldChar w:fldCharType="end"/>
        </w:r>
      </w:hyperlink>
    </w:p>
    <w:p w14:paraId="67E711E2"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080" w:history="1">
        <w:r>
          <w:rPr>
            <w:rStyle w:val="ac"/>
            <w:rFonts w:ascii="宋体" w:hAnsi="宋体" w:cs="宋体" w:hint="eastAsia"/>
            <w:szCs w:val="24"/>
          </w:rPr>
          <w:t>三、国内外知识产权证券化研究与实践简介</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_Toc36378080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8</w:t>
        </w:r>
        <w:r>
          <w:rPr>
            <w:rFonts w:ascii="宋体" w:hAnsi="宋体" w:cs="宋体" w:hint="eastAsia"/>
            <w:szCs w:val="24"/>
          </w:rPr>
          <w:fldChar w:fldCharType="end"/>
        </w:r>
      </w:hyperlink>
    </w:p>
    <w:p w14:paraId="26A60A42"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81" w:history="1">
        <w:r>
          <w:rPr>
            <w:rStyle w:val="ac"/>
            <w:rFonts w:ascii="宋体" w:hAnsi="宋体" w:cs="宋体" w:hint="eastAsia"/>
            <w:szCs w:val="24"/>
          </w:rPr>
          <w:t>（一）美国知识产权证券化发展历程</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_Toc36378081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8</w:t>
        </w:r>
        <w:r>
          <w:rPr>
            <w:rFonts w:ascii="宋体" w:hAnsi="宋体" w:cs="宋体" w:hint="eastAsia"/>
            <w:szCs w:val="24"/>
          </w:rPr>
          <w:fldChar w:fldCharType="end"/>
        </w:r>
      </w:hyperlink>
    </w:p>
    <w:p w14:paraId="4AE442D1"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82" w:history="1">
        <w:r>
          <w:rPr>
            <w:rStyle w:val="ac"/>
            <w:rFonts w:ascii="宋体" w:hAnsi="宋体" w:cs="宋体" w:hint="eastAsia"/>
            <w:szCs w:val="24"/>
          </w:rPr>
          <w:t>（二）日本知识产权证券化发展历程</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_Toc36378082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9</w:t>
        </w:r>
        <w:r>
          <w:rPr>
            <w:rFonts w:ascii="宋体" w:hAnsi="宋体" w:cs="宋体" w:hint="eastAsia"/>
            <w:szCs w:val="24"/>
          </w:rPr>
          <w:fldChar w:fldCharType="end"/>
        </w:r>
      </w:hyperlink>
    </w:p>
    <w:p w14:paraId="31E438A6"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83" w:history="1">
        <w:r>
          <w:rPr>
            <w:rStyle w:val="ac"/>
            <w:rFonts w:ascii="宋体" w:hAnsi="宋体" w:cs="宋体" w:hint="eastAsia"/>
            <w:szCs w:val="24"/>
          </w:rPr>
          <w:t>（三）欧盟知识产权证券化发展历程</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_Toc36378083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10</w:t>
        </w:r>
        <w:r>
          <w:rPr>
            <w:rFonts w:ascii="宋体" w:hAnsi="宋体" w:cs="宋体" w:hint="eastAsia"/>
            <w:szCs w:val="24"/>
          </w:rPr>
          <w:fldChar w:fldCharType="end"/>
        </w:r>
      </w:hyperlink>
    </w:p>
    <w:p w14:paraId="1B5E014A"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84" w:history="1">
        <w:r>
          <w:rPr>
            <w:rStyle w:val="ac"/>
            <w:rFonts w:ascii="宋体" w:hAnsi="宋体" w:cs="宋体" w:hint="eastAsia"/>
            <w:szCs w:val="24"/>
          </w:rPr>
          <w:t>（四）国内知识产权证券化现况</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_Toc36378084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10</w:t>
        </w:r>
        <w:r>
          <w:rPr>
            <w:rFonts w:ascii="宋体" w:hAnsi="宋体" w:cs="宋体" w:hint="eastAsia"/>
            <w:szCs w:val="24"/>
          </w:rPr>
          <w:fldChar w:fldCharType="end"/>
        </w:r>
      </w:hyperlink>
    </w:p>
    <w:p w14:paraId="00642437"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85" w:history="1">
        <w:r>
          <w:rPr>
            <w:rStyle w:val="ac"/>
            <w:rFonts w:ascii="宋体" w:hAnsi="宋体" w:cs="宋体" w:hint="eastAsia"/>
            <w:szCs w:val="24"/>
          </w:rPr>
          <w:t>1、政策支持</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_Toc36378085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10</w:t>
        </w:r>
        <w:r>
          <w:rPr>
            <w:rFonts w:ascii="宋体" w:hAnsi="宋体" w:cs="宋体" w:hint="eastAsia"/>
            <w:szCs w:val="24"/>
          </w:rPr>
          <w:fldChar w:fldCharType="end"/>
        </w:r>
      </w:hyperlink>
    </w:p>
    <w:p w14:paraId="1CCE0B87"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86" w:history="1">
        <w:r>
          <w:rPr>
            <w:rStyle w:val="ac"/>
            <w:rFonts w:ascii="宋体" w:hAnsi="宋体" w:cs="宋体" w:hint="eastAsia"/>
            <w:szCs w:val="24"/>
          </w:rPr>
          <w:t>2、国内实践</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_Toc36378086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12</w:t>
        </w:r>
        <w:r>
          <w:rPr>
            <w:rFonts w:ascii="宋体" w:hAnsi="宋体" w:cs="宋体" w:hint="eastAsia"/>
            <w:szCs w:val="24"/>
          </w:rPr>
          <w:fldChar w:fldCharType="end"/>
        </w:r>
      </w:hyperlink>
    </w:p>
    <w:p w14:paraId="279D00B4"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87" w:history="1">
        <w:r>
          <w:rPr>
            <w:rStyle w:val="ac"/>
            <w:rFonts w:ascii="宋体" w:hAnsi="宋体" w:cs="宋体" w:hint="eastAsia"/>
            <w:szCs w:val="24"/>
          </w:rPr>
          <w:t>（五）国内外知识产权证券化发展趋势</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_Toc36378087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14</w:t>
        </w:r>
        <w:r>
          <w:rPr>
            <w:rFonts w:ascii="宋体" w:hAnsi="宋体" w:cs="宋体" w:hint="eastAsia"/>
            <w:szCs w:val="24"/>
          </w:rPr>
          <w:fldChar w:fldCharType="end"/>
        </w:r>
      </w:hyperlink>
    </w:p>
    <w:p w14:paraId="4D30C644"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088" w:history="1">
        <w:r>
          <w:rPr>
            <w:rStyle w:val="ac"/>
            <w:rFonts w:ascii="宋体" w:hAnsi="宋体" w:cs="宋体" w:hint="eastAsia"/>
            <w:szCs w:val="24"/>
          </w:rPr>
          <w:t>四、广东省知识产权证券化试点实践</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_Toc36378088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15</w:t>
        </w:r>
        <w:r>
          <w:rPr>
            <w:rFonts w:ascii="宋体" w:hAnsi="宋体" w:cs="宋体" w:hint="eastAsia"/>
            <w:szCs w:val="24"/>
          </w:rPr>
          <w:fldChar w:fldCharType="end"/>
        </w:r>
      </w:hyperlink>
    </w:p>
    <w:p w14:paraId="6333067A"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89" w:history="1">
        <w:r>
          <w:rPr>
            <w:rStyle w:val="ac"/>
            <w:rFonts w:ascii="宋体" w:hAnsi="宋体" w:cs="宋体" w:hint="eastAsia"/>
            <w:szCs w:val="24"/>
          </w:rPr>
          <w:t>（一）兴业圆融——广州开发区专利许可资产支持计划</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_Toc36378089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15</w:t>
        </w:r>
        <w:r>
          <w:rPr>
            <w:rFonts w:ascii="宋体" w:hAnsi="宋体" w:cs="宋体" w:hint="eastAsia"/>
            <w:szCs w:val="24"/>
          </w:rPr>
          <w:fldChar w:fldCharType="end"/>
        </w:r>
      </w:hyperlink>
    </w:p>
    <w:p w14:paraId="378C661D"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90" w:history="1">
        <w:r>
          <w:rPr>
            <w:rStyle w:val="ac"/>
            <w:rFonts w:ascii="宋体" w:hAnsi="宋体" w:cs="宋体" w:hint="eastAsia"/>
            <w:szCs w:val="24"/>
          </w:rPr>
          <w:t>1、产品要素、基础资产构建流程及交易机构</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_Toc36378090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15</w:t>
        </w:r>
        <w:r>
          <w:rPr>
            <w:rFonts w:ascii="宋体" w:hAnsi="宋体" w:cs="宋体" w:hint="eastAsia"/>
            <w:szCs w:val="24"/>
          </w:rPr>
          <w:fldChar w:fldCharType="end"/>
        </w:r>
      </w:hyperlink>
    </w:p>
    <w:p w14:paraId="203640AD"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91" w:history="1">
        <w:r>
          <w:rPr>
            <w:rStyle w:val="ac"/>
            <w:rFonts w:ascii="宋体" w:hAnsi="宋体" w:cs="宋体" w:hint="eastAsia"/>
            <w:szCs w:val="24"/>
          </w:rPr>
          <w:t>2、文科租赁、奇艺世纪、兴业圆融三类知识产权产品对比分析</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_Toc36378091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18</w:t>
        </w:r>
        <w:r>
          <w:rPr>
            <w:rFonts w:ascii="宋体" w:hAnsi="宋体" w:cs="宋体" w:hint="eastAsia"/>
            <w:szCs w:val="24"/>
          </w:rPr>
          <w:fldChar w:fldCharType="end"/>
        </w:r>
      </w:hyperlink>
    </w:p>
    <w:p w14:paraId="5C5BF407"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92" w:history="1">
        <w:r>
          <w:rPr>
            <w:rStyle w:val="ac"/>
            <w:rFonts w:ascii="宋体" w:hAnsi="宋体" w:cs="宋体" w:hint="eastAsia"/>
            <w:szCs w:val="24"/>
          </w:rPr>
          <w:t>（二）平安证券-高新投知识产权1号资产支持专项计划</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_Toc36378092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21</w:t>
        </w:r>
        <w:r>
          <w:rPr>
            <w:rFonts w:ascii="宋体" w:hAnsi="宋体" w:cs="宋体" w:hint="eastAsia"/>
            <w:szCs w:val="24"/>
          </w:rPr>
          <w:fldChar w:fldCharType="end"/>
        </w:r>
      </w:hyperlink>
    </w:p>
    <w:p w14:paraId="4EAD9FD0"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93" w:history="1">
        <w:r>
          <w:rPr>
            <w:rStyle w:val="ac"/>
            <w:rFonts w:ascii="宋体" w:hAnsi="宋体" w:cs="宋体" w:hint="eastAsia"/>
            <w:szCs w:val="24"/>
          </w:rPr>
          <w:t>（三）南</w:t>
        </w:r>
        <w:r>
          <w:rPr>
            <w:rStyle w:val="ac"/>
            <w:rFonts w:ascii="宋体" w:hAnsi="宋体" w:cs="宋体" w:hint="eastAsia"/>
            <w:spacing w:val="-6"/>
            <w:szCs w:val="24"/>
          </w:rPr>
          <w:t>山区-中山证券-高新投知识产</w:t>
        </w:r>
        <w:r>
          <w:rPr>
            <w:rStyle w:val="ac"/>
            <w:rFonts w:ascii="宋体" w:hAnsi="宋体" w:cs="宋体" w:hint="eastAsia"/>
            <w:spacing w:val="-11"/>
            <w:szCs w:val="24"/>
          </w:rPr>
          <w:t>权1</w:t>
        </w:r>
        <w:r>
          <w:rPr>
            <w:rStyle w:val="ac"/>
            <w:rFonts w:ascii="宋体" w:hAnsi="宋体" w:cs="宋体" w:hint="eastAsia"/>
            <w:spacing w:val="-6"/>
            <w:szCs w:val="24"/>
          </w:rPr>
          <w:t>期资产支持计</w:t>
        </w:r>
        <w:r>
          <w:rPr>
            <w:rStyle w:val="ac"/>
            <w:rFonts w:ascii="宋体" w:hAnsi="宋体" w:cs="宋体" w:hint="eastAsia"/>
            <w:spacing w:val="-45"/>
            <w:szCs w:val="24"/>
          </w:rPr>
          <w:t>划</w:t>
        </w:r>
        <w:r>
          <w:rPr>
            <w:rStyle w:val="ac"/>
            <w:rFonts w:ascii="宋体" w:hAnsi="宋体" w:cs="宋体" w:hint="eastAsia"/>
            <w:spacing w:val="-6"/>
            <w:szCs w:val="24"/>
          </w:rPr>
          <w:t>（疫情防控</w:t>
        </w:r>
        <w:r>
          <w:rPr>
            <w:rStyle w:val="ac"/>
            <w:rFonts w:ascii="宋体" w:hAnsi="宋体" w:cs="宋体" w:hint="eastAsia"/>
            <w:spacing w:val="-57"/>
            <w:szCs w:val="24"/>
          </w:rPr>
          <w:t>）</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_Toc36378093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24</w:t>
        </w:r>
        <w:r>
          <w:rPr>
            <w:rFonts w:ascii="宋体" w:hAnsi="宋体" w:cs="宋体" w:hint="eastAsia"/>
            <w:szCs w:val="24"/>
          </w:rPr>
          <w:fldChar w:fldCharType="end"/>
        </w:r>
      </w:hyperlink>
    </w:p>
    <w:p w14:paraId="75D8BE49"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094" w:history="1">
        <w:r>
          <w:rPr>
            <w:rStyle w:val="ac"/>
            <w:rFonts w:ascii="宋体" w:hAnsi="宋体" w:cs="宋体" w:hint="eastAsia"/>
            <w:szCs w:val="24"/>
          </w:rPr>
          <w:t>五、广东知识产权证券化操作指引</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_Toc36378094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27</w:t>
        </w:r>
        <w:r>
          <w:rPr>
            <w:rFonts w:ascii="宋体" w:hAnsi="宋体" w:cs="宋体" w:hint="eastAsia"/>
            <w:szCs w:val="24"/>
          </w:rPr>
          <w:fldChar w:fldCharType="end"/>
        </w:r>
      </w:hyperlink>
    </w:p>
    <w:p w14:paraId="1708DA8D"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095" w:history="1">
        <w:r>
          <w:rPr>
            <w:rStyle w:val="ac"/>
            <w:rFonts w:ascii="宋体" w:hAnsi="宋体" w:cs="宋体" w:hint="eastAsia"/>
            <w:szCs w:val="24"/>
          </w:rPr>
          <w:t>（一）开展知识产权证券化的基础条件</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_Toc36378095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27</w:t>
        </w:r>
        <w:r>
          <w:rPr>
            <w:rFonts w:ascii="宋体" w:hAnsi="宋体" w:cs="宋体" w:hint="eastAsia"/>
            <w:szCs w:val="24"/>
          </w:rPr>
          <w:fldChar w:fldCharType="end"/>
        </w:r>
      </w:hyperlink>
    </w:p>
    <w:p w14:paraId="49B51994"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96" w:history="1">
        <w:r>
          <w:rPr>
            <w:rStyle w:val="ac"/>
            <w:rFonts w:ascii="宋体" w:hAnsi="宋体" w:cs="宋体" w:hint="eastAsia"/>
            <w:szCs w:val="24"/>
          </w:rPr>
          <w:t>1、企业基础</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_Toc36378096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27</w:t>
        </w:r>
        <w:r>
          <w:rPr>
            <w:rFonts w:ascii="宋体" w:hAnsi="宋体" w:cs="宋体" w:hint="eastAsia"/>
            <w:szCs w:val="24"/>
          </w:rPr>
          <w:fldChar w:fldCharType="end"/>
        </w:r>
      </w:hyperlink>
    </w:p>
    <w:p w14:paraId="43A3321C"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97" w:history="1">
        <w:r>
          <w:rPr>
            <w:rStyle w:val="ac"/>
            <w:rFonts w:ascii="宋体" w:hAnsi="宋体" w:cs="宋体" w:hint="eastAsia"/>
            <w:szCs w:val="24"/>
          </w:rPr>
          <w:t>2、产业基础</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_Toc36378097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27</w:t>
        </w:r>
        <w:r>
          <w:rPr>
            <w:rFonts w:ascii="宋体" w:hAnsi="宋体" w:cs="宋体" w:hint="eastAsia"/>
            <w:szCs w:val="24"/>
          </w:rPr>
          <w:fldChar w:fldCharType="end"/>
        </w:r>
      </w:hyperlink>
    </w:p>
    <w:p w14:paraId="66C632DD"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98" w:history="1">
        <w:r>
          <w:rPr>
            <w:rStyle w:val="ac"/>
            <w:rFonts w:ascii="宋体" w:hAnsi="宋体" w:cs="宋体" w:hint="eastAsia"/>
            <w:szCs w:val="24"/>
          </w:rPr>
          <w:t>3、资产基础</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_Toc36378098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27</w:t>
        </w:r>
        <w:r>
          <w:rPr>
            <w:rFonts w:ascii="宋体" w:hAnsi="宋体" w:cs="宋体" w:hint="eastAsia"/>
            <w:szCs w:val="24"/>
          </w:rPr>
          <w:fldChar w:fldCharType="end"/>
        </w:r>
      </w:hyperlink>
    </w:p>
    <w:p w14:paraId="5C9A2831"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099" w:history="1">
        <w:r>
          <w:rPr>
            <w:rStyle w:val="ac"/>
            <w:rFonts w:ascii="宋体" w:hAnsi="宋体" w:cs="宋体" w:hint="eastAsia"/>
            <w:szCs w:val="24"/>
          </w:rPr>
          <w:t>4、市场基础</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_Toc36378099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28</w:t>
        </w:r>
        <w:r>
          <w:rPr>
            <w:rFonts w:ascii="宋体" w:hAnsi="宋体" w:cs="宋体" w:hint="eastAsia"/>
            <w:szCs w:val="24"/>
          </w:rPr>
          <w:fldChar w:fldCharType="end"/>
        </w:r>
      </w:hyperlink>
    </w:p>
    <w:p w14:paraId="2104CCD3"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00" w:history="1">
        <w:r>
          <w:rPr>
            <w:rStyle w:val="ac"/>
            <w:rFonts w:ascii="宋体" w:hAnsi="宋体" w:cs="宋体" w:hint="eastAsia"/>
            <w:szCs w:val="24"/>
          </w:rPr>
          <w:t>（二）知识产权证券化的难点和风险点</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_Toc36378100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29</w:t>
        </w:r>
        <w:r>
          <w:rPr>
            <w:rFonts w:ascii="宋体" w:hAnsi="宋体" w:cs="宋体" w:hint="eastAsia"/>
            <w:szCs w:val="24"/>
          </w:rPr>
          <w:fldChar w:fldCharType="end"/>
        </w:r>
      </w:hyperlink>
    </w:p>
    <w:p w14:paraId="50327924" w14:textId="77777777" w:rsidR="00525C4A" w:rsidRDefault="004041B3">
      <w:pPr>
        <w:pStyle w:val="TOC2"/>
        <w:tabs>
          <w:tab w:val="right" w:leader="dot" w:pos="7980"/>
          <w:tab w:val="right" w:leader="dot" w:pos="8296"/>
        </w:tabs>
        <w:spacing w:before="60" w:after="60"/>
        <w:ind w:leftChars="405" w:left="1452" w:hangingChars="200" w:hanging="480"/>
        <w:rPr>
          <w:rFonts w:ascii="宋体" w:hAnsi="宋体" w:cs="宋体"/>
          <w:szCs w:val="24"/>
        </w:rPr>
      </w:pPr>
      <w:hyperlink w:anchor="_Toc36378101" w:history="1">
        <w:r>
          <w:rPr>
            <w:rStyle w:val="ac"/>
            <w:rFonts w:ascii="宋体" w:hAnsi="宋体" w:cs="宋体" w:hint="eastAsia"/>
            <w:szCs w:val="24"/>
          </w:rPr>
          <w:t>1、知识产权证券化难点</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_Toc36378101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29</w:t>
        </w:r>
        <w:r>
          <w:rPr>
            <w:rFonts w:ascii="宋体" w:hAnsi="宋体" w:cs="宋体" w:hint="eastAsia"/>
            <w:szCs w:val="24"/>
          </w:rPr>
          <w:fldChar w:fldCharType="end"/>
        </w:r>
      </w:hyperlink>
    </w:p>
    <w:p w14:paraId="3B5E46A6" w14:textId="77777777" w:rsidR="00525C4A" w:rsidRDefault="004041B3">
      <w:pPr>
        <w:pStyle w:val="TOC2"/>
        <w:tabs>
          <w:tab w:val="right" w:leader="dot" w:pos="7980"/>
          <w:tab w:val="right" w:leader="dot" w:pos="8296"/>
        </w:tabs>
        <w:spacing w:before="60" w:after="60"/>
        <w:ind w:leftChars="405" w:left="1452" w:hangingChars="200" w:hanging="480"/>
        <w:rPr>
          <w:rFonts w:ascii="宋体" w:hAnsi="宋体" w:cs="宋体"/>
          <w:szCs w:val="24"/>
        </w:rPr>
      </w:pPr>
      <w:hyperlink w:anchor="_Toc36378102" w:history="1">
        <w:r>
          <w:rPr>
            <w:rStyle w:val="ac"/>
            <w:rFonts w:ascii="宋体" w:hAnsi="宋体" w:cs="宋体" w:hint="eastAsia"/>
            <w:szCs w:val="24"/>
          </w:rPr>
          <w:t>2、知识产权证券化风险点</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_Toc36378102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30</w:t>
        </w:r>
        <w:r>
          <w:rPr>
            <w:rFonts w:ascii="宋体" w:hAnsi="宋体" w:cs="宋体" w:hint="eastAsia"/>
            <w:szCs w:val="24"/>
          </w:rPr>
          <w:fldChar w:fldCharType="end"/>
        </w:r>
      </w:hyperlink>
    </w:p>
    <w:p w14:paraId="2AC92FB7"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03" w:history="1">
        <w:r>
          <w:rPr>
            <w:rStyle w:val="ac"/>
            <w:rFonts w:ascii="宋体" w:hAnsi="宋体" w:cs="宋体" w:hint="eastAsia"/>
            <w:szCs w:val="24"/>
          </w:rPr>
          <w:t>（三）知识产权证券化操作实务</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_Toc36378103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31</w:t>
        </w:r>
        <w:r>
          <w:rPr>
            <w:rFonts w:ascii="宋体" w:hAnsi="宋体" w:cs="宋体" w:hint="eastAsia"/>
            <w:szCs w:val="24"/>
          </w:rPr>
          <w:fldChar w:fldCharType="end"/>
        </w:r>
      </w:hyperlink>
    </w:p>
    <w:p w14:paraId="0338380E"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104" w:history="1">
        <w:r>
          <w:rPr>
            <w:rStyle w:val="ac"/>
            <w:rFonts w:ascii="宋体" w:hAnsi="宋体" w:cs="宋体" w:hint="eastAsia"/>
            <w:szCs w:val="24"/>
          </w:rPr>
          <w:t>1、知识产权证券化架构</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_Toc36378104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31</w:t>
        </w:r>
        <w:r>
          <w:rPr>
            <w:rFonts w:ascii="宋体" w:hAnsi="宋体" w:cs="宋体" w:hint="eastAsia"/>
            <w:szCs w:val="24"/>
          </w:rPr>
          <w:fldChar w:fldCharType="end"/>
        </w:r>
      </w:hyperlink>
    </w:p>
    <w:p w14:paraId="1ECB29E2"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105" w:history="1">
        <w:r>
          <w:rPr>
            <w:rStyle w:val="ac"/>
            <w:rFonts w:ascii="宋体" w:hAnsi="宋体" w:cs="宋体" w:hint="eastAsia"/>
            <w:szCs w:val="24"/>
          </w:rPr>
          <w:t>2、知识产权证券化流程</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_Toc36378105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32</w:t>
        </w:r>
        <w:r>
          <w:rPr>
            <w:rFonts w:ascii="宋体" w:hAnsi="宋体" w:cs="宋体" w:hint="eastAsia"/>
            <w:szCs w:val="24"/>
          </w:rPr>
          <w:fldChar w:fldCharType="end"/>
        </w:r>
      </w:hyperlink>
    </w:p>
    <w:p w14:paraId="731290CD"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106" w:history="1">
        <w:r>
          <w:rPr>
            <w:rStyle w:val="ac"/>
            <w:rFonts w:ascii="宋体" w:hAnsi="宋体" w:cs="宋体" w:hint="eastAsia"/>
            <w:szCs w:val="24"/>
          </w:rPr>
          <w:t>3、知识产权评估方法</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_Toc36378106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36</w:t>
        </w:r>
        <w:r>
          <w:rPr>
            <w:rFonts w:ascii="宋体" w:hAnsi="宋体" w:cs="宋体" w:hint="eastAsia"/>
            <w:szCs w:val="24"/>
          </w:rPr>
          <w:fldChar w:fldCharType="end"/>
        </w:r>
      </w:hyperlink>
    </w:p>
    <w:p w14:paraId="2A4A072E" w14:textId="77777777" w:rsidR="00525C4A" w:rsidRDefault="004041B3">
      <w:pPr>
        <w:pStyle w:val="TOC3"/>
        <w:tabs>
          <w:tab w:val="right" w:leader="dot" w:pos="7980"/>
          <w:tab w:val="right" w:leader="dot" w:pos="8296"/>
        </w:tabs>
        <w:spacing w:before="60" w:after="60"/>
        <w:ind w:left="1440" w:hangingChars="200" w:hanging="480"/>
        <w:rPr>
          <w:rFonts w:ascii="宋体" w:hAnsi="宋体" w:cs="宋体"/>
          <w:szCs w:val="24"/>
        </w:rPr>
      </w:pPr>
      <w:hyperlink w:anchor="_Toc36378107" w:history="1">
        <w:r>
          <w:rPr>
            <w:rStyle w:val="ac"/>
            <w:rFonts w:ascii="宋体" w:hAnsi="宋体" w:cs="宋体" w:hint="eastAsia"/>
            <w:szCs w:val="24"/>
          </w:rPr>
          <w:t>4、知识产权证券化涉及的税收制度</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_Toc36378107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38</w:t>
        </w:r>
        <w:r>
          <w:rPr>
            <w:rFonts w:ascii="宋体" w:hAnsi="宋体" w:cs="宋体" w:hint="eastAsia"/>
            <w:szCs w:val="24"/>
          </w:rPr>
          <w:fldChar w:fldCharType="end"/>
        </w:r>
      </w:hyperlink>
    </w:p>
    <w:p w14:paraId="7502292E"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108" w:history="1">
        <w:r>
          <w:rPr>
            <w:rStyle w:val="ac"/>
            <w:rFonts w:ascii="宋体" w:hAnsi="宋体" w:cs="宋体" w:hint="eastAsia"/>
            <w:szCs w:val="24"/>
          </w:rPr>
          <w:t>六、推进广东知识产权证券化建议</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_Toc36378108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40</w:t>
        </w:r>
        <w:r>
          <w:rPr>
            <w:rFonts w:ascii="宋体" w:hAnsi="宋体" w:cs="宋体" w:hint="eastAsia"/>
            <w:szCs w:val="24"/>
          </w:rPr>
          <w:fldChar w:fldCharType="end"/>
        </w:r>
      </w:hyperlink>
    </w:p>
    <w:p w14:paraId="6EF2AFC3"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09" w:history="1">
        <w:r>
          <w:rPr>
            <w:rStyle w:val="ac"/>
            <w:rFonts w:ascii="宋体" w:hAnsi="宋体" w:cs="宋体" w:hint="eastAsia"/>
            <w:szCs w:val="24"/>
          </w:rPr>
          <w:t>（一）政策层面</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_Toc36378109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40</w:t>
        </w:r>
        <w:r>
          <w:rPr>
            <w:rFonts w:ascii="宋体" w:hAnsi="宋体" w:cs="宋体" w:hint="eastAsia"/>
            <w:szCs w:val="24"/>
          </w:rPr>
          <w:fldChar w:fldCharType="end"/>
        </w:r>
      </w:hyperlink>
    </w:p>
    <w:p w14:paraId="6F4DB4F6"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10" w:history="1">
        <w:r>
          <w:rPr>
            <w:rStyle w:val="ac"/>
            <w:rFonts w:ascii="宋体" w:hAnsi="宋体" w:cs="宋体" w:hint="eastAsia"/>
            <w:szCs w:val="24"/>
          </w:rPr>
          <w:t>（二）实际操作层面</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_Toc36378110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41</w:t>
        </w:r>
        <w:r>
          <w:rPr>
            <w:rFonts w:ascii="宋体" w:hAnsi="宋体" w:cs="宋体" w:hint="eastAsia"/>
            <w:szCs w:val="24"/>
          </w:rPr>
          <w:fldChar w:fldCharType="end"/>
        </w:r>
      </w:hyperlink>
    </w:p>
    <w:p w14:paraId="13243B94" w14:textId="77777777" w:rsidR="00525C4A" w:rsidRDefault="004041B3">
      <w:pPr>
        <w:pStyle w:val="TOC1"/>
        <w:tabs>
          <w:tab w:val="right" w:leader="dot" w:pos="7980"/>
          <w:tab w:val="right" w:leader="dot" w:pos="8296"/>
        </w:tabs>
        <w:spacing w:before="60" w:after="60"/>
        <w:ind w:left="480" w:hangingChars="200" w:hanging="480"/>
        <w:rPr>
          <w:rFonts w:ascii="宋体" w:hAnsi="宋体" w:cs="宋体"/>
          <w:szCs w:val="24"/>
        </w:rPr>
      </w:pPr>
      <w:hyperlink w:anchor="_Toc36378111" w:history="1">
        <w:r>
          <w:rPr>
            <w:rStyle w:val="ac"/>
            <w:rFonts w:ascii="宋体" w:hAnsi="宋体" w:cs="宋体" w:hint="eastAsia"/>
            <w:szCs w:val="24"/>
          </w:rPr>
          <w:t>七、开展知识产权证券化实操指引</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_Toc36378111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43</w:t>
        </w:r>
        <w:r>
          <w:rPr>
            <w:rFonts w:ascii="宋体" w:hAnsi="宋体" w:cs="宋体" w:hint="eastAsia"/>
            <w:szCs w:val="24"/>
          </w:rPr>
          <w:fldChar w:fldCharType="end"/>
        </w:r>
      </w:hyperlink>
    </w:p>
    <w:p w14:paraId="700E5A21"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12" w:history="1">
        <w:r>
          <w:rPr>
            <w:rStyle w:val="ac"/>
            <w:rFonts w:ascii="宋体" w:hAnsi="宋体" w:cs="宋体" w:hint="eastAsia"/>
            <w:szCs w:val="24"/>
          </w:rPr>
          <w:t>（一）企业层面</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_Toc36378112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43</w:t>
        </w:r>
        <w:r>
          <w:rPr>
            <w:rFonts w:ascii="宋体" w:hAnsi="宋体" w:cs="宋体" w:hint="eastAsia"/>
            <w:szCs w:val="24"/>
          </w:rPr>
          <w:fldChar w:fldCharType="end"/>
        </w:r>
      </w:hyperlink>
    </w:p>
    <w:p w14:paraId="71A49B1F"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13" w:history="1">
        <w:r>
          <w:rPr>
            <w:rStyle w:val="ac"/>
            <w:rFonts w:ascii="宋体" w:hAnsi="宋体" w:cs="宋体" w:hint="eastAsia"/>
            <w:szCs w:val="24"/>
          </w:rPr>
          <w:t>（二）金融机构层面</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_Toc36378113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43</w:t>
        </w:r>
        <w:r>
          <w:rPr>
            <w:rFonts w:ascii="宋体" w:hAnsi="宋体" w:cs="宋体" w:hint="eastAsia"/>
            <w:szCs w:val="24"/>
          </w:rPr>
          <w:fldChar w:fldCharType="end"/>
        </w:r>
      </w:hyperlink>
    </w:p>
    <w:p w14:paraId="52DFED45" w14:textId="77777777" w:rsidR="00525C4A" w:rsidRDefault="004041B3">
      <w:pPr>
        <w:pStyle w:val="TOC2"/>
        <w:tabs>
          <w:tab w:val="right" w:leader="dot" w:pos="7980"/>
          <w:tab w:val="right" w:leader="dot" w:pos="8296"/>
        </w:tabs>
        <w:spacing w:before="60" w:after="60"/>
        <w:ind w:left="960" w:hangingChars="200" w:hanging="480"/>
        <w:rPr>
          <w:rFonts w:ascii="宋体" w:hAnsi="宋体" w:cs="宋体"/>
          <w:szCs w:val="24"/>
        </w:rPr>
      </w:pPr>
      <w:hyperlink w:anchor="_Toc36378114" w:history="1">
        <w:r>
          <w:rPr>
            <w:rStyle w:val="ac"/>
            <w:rFonts w:ascii="宋体" w:hAnsi="宋体" w:cs="宋体" w:hint="eastAsia"/>
            <w:szCs w:val="24"/>
          </w:rPr>
          <w:t>（三）政府层面</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_Toc36378114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44</w:t>
        </w:r>
        <w:r>
          <w:rPr>
            <w:rFonts w:ascii="宋体" w:hAnsi="宋体" w:cs="宋体" w:hint="eastAsia"/>
            <w:szCs w:val="24"/>
          </w:rPr>
          <w:fldChar w:fldCharType="end"/>
        </w:r>
      </w:hyperlink>
    </w:p>
    <w:p w14:paraId="739E5764" w14:textId="77777777" w:rsidR="00525C4A" w:rsidRDefault="004041B3">
      <w:pPr>
        <w:pStyle w:val="TOC1"/>
        <w:tabs>
          <w:tab w:val="right" w:leader="dot" w:pos="7980"/>
          <w:tab w:val="right" w:leader="dot" w:pos="8296"/>
        </w:tabs>
        <w:spacing w:before="60" w:after="60"/>
        <w:ind w:left="480" w:hangingChars="200" w:hanging="480"/>
        <w:rPr>
          <w:rFonts w:asciiTheme="minorEastAsia" w:hAnsiTheme="minorEastAsia"/>
          <w:sz w:val="22"/>
          <w:szCs w:val="24"/>
        </w:rPr>
      </w:pPr>
      <w:hyperlink w:anchor="_Toc36378115" w:history="1">
        <w:r>
          <w:rPr>
            <w:rStyle w:val="ac"/>
            <w:rFonts w:ascii="宋体" w:hAnsi="宋体" w:cs="宋体" w:hint="eastAsia"/>
            <w:szCs w:val="24"/>
          </w:rPr>
          <w:t>八、结论</w:t>
        </w:r>
        <w:r>
          <w:rPr>
            <w:rFonts w:ascii="宋体" w:hAnsi="宋体" w:cs="宋体" w:hint="eastAsia"/>
            <w:szCs w:val="24"/>
          </w:rPr>
          <w:tab/>
        </w:r>
        <w:r>
          <w:rPr>
            <w:rFonts w:ascii="宋体" w:hAnsi="宋体" w:cs="宋体" w:hint="eastAsia"/>
            <w:szCs w:val="24"/>
          </w:rPr>
          <w:fldChar w:fldCharType="begin"/>
        </w:r>
        <w:r>
          <w:rPr>
            <w:rFonts w:ascii="宋体" w:hAnsi="宋体" w:cs="宋体" w:hint="eastAsia"/>
            <w:szCs w:val="24"/>
          </w:rPr>
          <w:instrText xml:space="preserve"> PAGEREF _Toc36378115 \h </w:instrText>
        </w:r>
        <w:r>
          <w:rPr>
            <w:rFonts w:ascii="宋体" w:hAnsi="宋体" w:cs="宋体" w:hint="eastAsia"/>
            <w:szCs w:val="24"/>
          </w:rPr>
        </w:r>
        <w:r>
          <w:rPr>
            <w:rFonts w:ascii="宋体" w:hAnsi="宋体" w:cs="宋体" w:hint="eastAsia"/>
            <w:szCs w:val="24"/>
          </w:rPr>
          <w:fldChar w:fldCharType="separate"/>
        </w:r>
        <w:r>
          <w:rPr>
            <w:rFonts w:ascii="宋体" w:hAnsi="宋体" w:cs="宋体" w:hint="eastAsia"/>
            <w:szCs w:val="24"/>
          </w:rPr>
          <w:t>46</w:t>
        </w:r>
        <w:r>
          <w:rPr>
            <w:rFonts w:ascii="宋体" w:hAnsi="宋体" w:cs="宋体" w:hint="eastAsia"/>
            <w:szCs w:val="24"/>
          </w:rPr>
          <w:fldChar w:fldCharType="end"/>
        </w:r>
      </w:hyperlink>
    </w:p>
    <w:p w14:paraId="1C8B83AD" w14:textId="77777777" w:rsidR="00525C4A" w:rsidRDefault="004041B3">
      <w:pPr>
        <w:ind w:firstLine="720"/>
        <w:rPr>
          <w:rFonts w:asciiTheme="minorEastAsia" w:hAnsiTheme="minorEastAsia"/>
          <w:sz w:val="36"/>
          <w:szCs w:val="36"/>
        </w:rPr>
        <w:sectPr w:rsidR="00525C4A">
          <w:headerReference w:type="even" r:id="rId10"/>
          <w:headerReference w:type="default" r:id="rId11"/>
          <w:footerReference w:type="even" r:id="rId12"/>
          <w:footerReference w:type="default" r:id="rId13"/>
          <w:headerReference w:type="first" r:id="rId14"/>
          <w:footerReference w:type="first" r:id="rId15"/>
          <w:pgSz w:w="10488" w:h="14740"/>
          <w:pgMar w:top="1417" w:right="1247" w:bottom="1417" w:left="1247" w:header="851" w:footer="992" w:gutter="0"/>
          <w:cols w:space="0"/>
          <w:docGrid w:type="lines" w:linePitch="317"/>
        </w:sectPr>
      </w:pPr>
      <w:r>
        <w:rPr>
          <w:rFonts w:asciiTheme="minorEastAsia" w:hAnsiTheme="minorEastAsia"/>
          <w:sz w:val="36"/>
          <w:szCs w:val="36"/>
        </w:rPr>
        <w:fldChar w:fldCharType="end"/>
      </w:r>
    </w:p>
    <w:p w14:paraId="2F475080" w14:textId="77777777" w:rsidR="00525C4A" w:rsidRDefault="004041B3">
      <w:pPr>
        <w:pStyle w:val="1"/>
        <w:jc w:val="center"/>
        <w:rPr>
          <w:rFonts w:ascii="方正小标宋_GBK" w:eastAsia="方正小标宋_GBK" w:hAnsi="方正小标宋_GBK" w:cs="方正小标宋_GBK"/>
          <w:sz w:val="36"/>
          <w:szCs w:val="36"/>
        </w:rPr>
      </w:pPr>
      <w:bookmarkStart w:id="1" w:name="_Toc36378069"/>
      <w:r>
        <w:rPr>
          <w:rFonts w:ascii="方正小标宋_GBK" w:eastAsia="方正小标宋_GBK" w:hAnsi="方正小标宋_GBK" w:cs="方正小标宋_GBK" w:hint="eastAsia"/>
          <w:sz w:val="36"/>
          <w:szCs w:val="36"/>
        </w:rPr>
        <w:lastRenderedPageBreak/>
        <w:t>前  言</w:t>
      </w:r>
      <w:bookmarkEnd w:id="1"/>
    </w:p>
    <w:p w14:paraId="5DE8115F" w14:textId="77777777" w:rsidR="00525C4A" w:rsidRDefault="004041B3">
      <w:pPr>
        <w:ind w:firstLine="480"/>
      </w:pPr>
      <w:r>
        <w:rPr>
          <w:rFonts w:hint="eastAsia"/>
        </w:rPr>
        <w:t>当前，我国进入了经济发展新常态，经济社会高速发展，知识产权强国建设持续推进，对进一步提升各</w:t>
      </w:r>
      <w:proofErr w:type="gramStart"/>
      <w:r>
        <w:rPr>
          <w:rFonts w:hint="eastAsia"/>
        </w:rPr>
        <w:t>类创新</w:t>
      </w:r>
      <w:proofErr w:type="gramEnd"/>
      <w:r>
        <w:rPr>
          <w:rFonts w:hint="eastAsia"/>
        </w:rPr>
        <w:t>主体的知识产权综合能力、实现巨大知识产权存量价值、更好地支撑创新驱动发展和经济转型升级提出了更高更新的要求。</w:t>
      </w:r>
    </w:p>
    <w:p w14:paraId="2AEF3F4E" w14:textId="77777777" w:rsidR="00525C4A" w:rsidRDefault="004041B3">
      <w:pPr>
        <w:ind w:firstLine="480"/>
      </w:pPr>
      <w:r>
        <w:rPr>
          <w:rFonts w:hint="eastAsia"/>
        </w:rPr>
        <w:t>作为改革开放先行者的广东省，拥有令人瞩目的创新能力及发展势头。近年来，广东通过政策导向不断推动全省创新能力的发展，成绩斐然，</w:t>
      </w:r>
      <w:r>
        <w:rPr>
          <w:rFonts w:hint="eastAsia"/>
        </w:rPr>
        <w:t>2013</w:t>
      </w:r>
      <w:r>
        <w:rPr>
          <w:rFonts w:hint="eastAsia"/>
        </w:rPr>
        <w:t>至</w:t>
      </w:r>
      <w:r>
        <w:rPr>
          <w:rFonts w:hint="eastAsia"/>
        </w:rPr>
        <w:t>2019</w:t>
      </w:r>
      <w:r>
        <w:rPr>
          <w:rFonts w:hint="eastAsia"/>
        </w:rPr>
        <w:t>年广东专利申请量及授权量高速增长，专利申请量由</w:t>
      </w:r>
      <w:r>
        <w:rPr>
          <w:rFonts w:hint="eastAsia"/>
        </w:rPr>
        <w:t>26.4</w:t>
      </w:r>
      <w:r>
        <w:rPr>
          <w:rFonts w:hint="eastAsia"/>
        </w:rPr>
        <w:t>万件攀升至</w:t>
      </w:r>
      <w:r>
        <w:rPr>
          <w:rFonts w:hint="eastAsia"/>
        </w:rPr>
        <w:t>80.8</w:t>
      </w:r>
      <w:r>
        <w:rPr>
          <w:rFonts w:hint="eastAsia"/>
        </w:rPr>
        <w:t>万件，专利授权量则由</w:t>
      </w:r>
      <w:r>
        <w:rPr>
          <w:rFonts w:hint="eastAsia"/>
        </w:rPr>
        <w:t>17</w:t>
      </w:r>
      <w:r>
        <w:rPr>
          <w:rFonts w:hint="eastAsia"/>
        </w:rPr>
        <w:t>万件增长至</w:t>
      </w:r>
      <w:r>
        <w:rPr>
          <w:rFonts w:hint="eastAsia"/>
        </w:rPr>
        <w:t>52.7</w:t>
      </w:r>
      <w:r>
        <w:rPr>
          <w:rFonts w:hint="eastAsia"/>
        </w:rPr>
        <w:t>万件。广东专利申请及授权量全国占比保持在</w:t>
      </w:r>
      <w:r>
        <w:rPr>
          <w:rFonts w:hint="eastAsia"/>
        </w:rPr>
        <w:t>17%-20%</w:t>
      </w:r>
      <w:r>
        <w:rPr>
          <w:rFonts w:hint="eastAsia"/>
        </w:rPr>
        <w:t>，显著高于其他省市。</w:t>
      </w:r>
      <w:r>
        <w:rPr>
          <w:rFonts w:hint="eastAsia"/>
        </w:rPr>
        <w:t>2019</w:t>
      </w:r>
      <w:r>
        <w:rPr>
          <w:rFonts w:hint="eastAsia"/>
        </w:rPr>
        <w:t>年广东省专利授权量</w:t>
      </w:r>
      <w:r>
        <w:rPr>
          <w:rFonts w:hint="eastAsia"/>
        </w:rPr>
        <w:t>527389</w:t>
      </w:r>
      <w:r>
        <w:rPr>
          <w:rFonts w:hint="eastAsia"/>
        </w:rPr>
        <w:t>件，同比增长</w:t>
      </w:r>
      <w:r>
        <w:rPr>
          <w:rFonts w:hint="eastAsia"/>
        </w:rPr>
        <w:t>10.31%</w:t>
      </w:r>
      <w:r>
        <w:rPr>
          <w:rFonts w:hint="eastAsia"/>
        </w:rPr>
        <w:t>，增速保持全国首位。特别是一大批科技型企业崛起，支撑起广东知识产权新的增长。但同时，由于知识产权收益获取期限长、影响知识产权价值的不确定因素较多、企业难以快速收回研发成本等原因，企业知识产权价值实现效果仍有待提升。因此，拓宽企业知识产权融资渠道，完善风险投资机制，创新知识产权融资模式，最大程度实现知识产权价值，促进创新成果资本化、产业化成为了广东知识产权事业发展的一项重要课题。</w:t>
      </w:r>
    </w:p>
    <w:p w14:paraId="375C6C5A" w14:textId="77777777" w:rsidR="00525C4A" w:rsidRDefault="004041B3">
      <w:pPr>
        <w:pStyle w:val="1"/>
      </w:pPr>
      <w:bookmarkStart w:id="2" w:name="_Toc36378070"/>
      <w:r>
        <w:rPr>
          <w:rFonts w:hint="eastAsia"/>
        </w:rPr>
        <w:lastRenderedPageBreak/>
        <w:t>一、概述</w:t>
      </w:r>
      <w:bookmarkEnd w:id="2"/>
    </w:p>
    <w:p w14:paraId="6FB58A71" w14:textId="77777777" w:rsidR="00525C4A" w:rsidRDefault="004041B3">
      <w:pPr>
        <w:pStyle w:val="2"/>
      </w:pPr>
      <w:bookmarkStart w:id="3" w:name="_Toc36378071"/>
      <w:r>
        <w:rPr>
          <w:rFonts w:hint="eastAsia"/>
        </w:rPr>
        <w:t>（一）知识产权概念</w:t>
      </w:r>
      <w:bookmarkEnd w:id="3"/>
    </w:p>
    <w:p w14:paraId="228CF169" w14:textId="77777777" w:rsidR="00525C4A" w:rsidRDefault="004041B3">
      <w:pPr>
        <w:ind w:firstLine="480"/>
      </w:pPr>
      <w:r>
        <w:rPr>
          <w:rFonts w:hint="eastAsia"/>
        </w:rPr>
        <w:t>知识产权是指人们就其智力劳动成果所依法享有的专有权利，通常是国家赋予创造者对其智力成果在一定时期内享有的专有权或独占权。知识产权从本质上说是一种无形财产权，他的客体是智力成果或是知识产品，是一种无形财产或者一种没有形体的精神财富，是创造性的智力劳动所创造的劳动成果。</w:t>
      </w:r>
    </w:p>
    <w:p w14:paraId="14161367" w14:textId="77777777" w:rsidR="00525C4A" w:rsidRDefault="004041B3">
      <w:pPr>
        <w:ind w:firstLine="480"/>
      </w:pPr>
      <w:r>
        <w:rPr>
          <w:rFonts w:hint="eastAsia"/>
        </w:rPr>
        <w:t>知识产权是智力劳动产生的成果所有权，它是依照各国法律赋予符合条件的著作者以及发明者或成果拥有者在一定期限内享有的独占权利。它有两类：一类是著作权（也称为版权、文学产权），另一类是工业产权（也称为产业产权）。</w:t>
      </w:r>
    </w:p>
    <w:p w14:paraId="2DF30A1F" w14:textId="77777777" w:rsidR="00525C4A" w:rsidRDefault="004041B3">
      <w:pPr>
        <w:ind w:firstLine="480"/>
      </w:pPr>
      <w:r>
        <w:rPr>
          <w:rFonts w:hint="eastAsia"/>
        </w:rPr>
        <w:t>著作权又称版权。狭义的著作权是指自然人、法人或者其他组织作为文学、艺术和科学作品的创作者依法享有的人身权和财产权的总称。广义的著作权还包含作品传播者在传播作品时享有的邻接权。</w:t>
      </w:r>
    </w:p>
    <w:p w14:paraId="5FD80779" w14:textId="77777777" w:rsidR="00525C4A" w:rsidRDefault="004041B3">
      <w:pPr>
        <w:ind w:firstLine="480"/>
      </w:pPr>
      <w:r>
        <w:rPr>
          <w:rFonts w:hint="eastAsia"/>
        </w:rPr>
        <w:t>工业产权，是发明专利、实用新型专利、外观设计专利、商标的所有权的统称，指工商业领域里的创造性构思或区别性标志或记号的专有权利。</w:t>
      </w:r>
    </w:p>
    <w:p w14:paraId="7DA3A058" w14:textId="77777777" w:rsidR="00525C4A" w:rsidRDefault="004041B3">
      <w:pPr>
        <w:pStyle w:val="2"/>
      </w:pPr>
      <w:bookmarkStart w:id="4" w:name="_Toc36378072"/>
      <w:r>
        <w:rPr>
          <w:rFonts w:hint="eastAsia"/>
        </w:rPr>
        <w:t>（二）知识产权资产属性</w:t>
      </w:r>
      <w:bookmarkEnd w:id="4"/>
    </w:p>
    <w:p w14:paraId="094B45AF" w14:textId="77777777" w:rsidR="00525C4A" w:rsidRDefault="004041B3">
      <w:pPr>
        <w:ind w:firstLine="480"/>
      </w:pPr>
      <w:r>
        <w:rPr>
          <w:rFonts w:hint="eastAsia"/>
        </w:rPr>
        <w:t>知识产权由人身权利和财产权利两部分构成。所谓财产权是指智力成果被法律承认以后，权利人可利用这些智力成果取得报酬或者得到奖励的权利，这种权利也称之为经济权利。它是指智力创造性劳动取得的成果，并且是由智力劳动者对其成果依法享有的一种权利。可以说，知识产权具备资产属性。对企业而言，出于技术开发的补偿性和增效性，作为知识产权权利人对专利技术享有法定的有限垄断权，同时企业拥有的知识产权能够为其创造现实的经济价值。企业的知识产权能够带来长期收益，使企业获得高于行业一般利润水平的能力，故知识产权不仅是一种权利，还具备资产属性，是企业无形资产的重要组成部分。</w:t>
      </w:r>
    </w:p>
    <w:p w14:paraId="27BD0BD7" w14:textId="77777777" w:rsidR="00525C4A" w:rsidRDefault="004041B3">
      <w:pPr>
        <w:pStyle w:val="2"/>
      </w:pPr>
      <w:bookmarkStart w:id="5" w:name="_Toc36378073"/>
      <w:r>
        <w:rPr>
          <w:rFonts w:hint="eastAsia"/>
        </w:rPr>
        <w:lastRenderedPageBreak/>
        <w:t>（三）知识产权作为基础资产的适用性</w:t>
      </w:r>
      <w:bookmarkEnd w:id="5"/>
    </w:p>
    <w:p w14:paraId="1A7BF29A" w14:textId="77777777" w:rsidR="00525C4A" w:rsidRDefault="004041B3">
      <w:pPr>
        <w:ind w:firstLine="480"/>
      </w:pPr>
      <w:r>
        <w:rPr>
          <w:rFonts w:hint="eastAsia"/>
        </w:rPr>
        <w:t>根据《证券公司资产证券化业务管理规定》，基础资产既可以是不动产财产，也可以是财产权利。资产证券化基础资产的标准：能够产生独立、可预测的现金流。</w:t>
      </w:r>
    </w:p>
    <w:p w14:paraId="2016B9F7" w14:textId="77777777" w:rsidR="00525C4A" w:rsidRDefault="004041B3">
      <w:pPr>
        <w:ind w:firstLine="480"/>
      </w:pPr>
      <w:r>
        <w:rPr>
          <w:rFonts w:hint="eastAsia"/>
        </w:rPr>
        <w:t>知识产权具有财产权的属性，知识产权权利人事实上享有知识产权的占有、使用、收益、处分四项权利。虽然知识产权本身带有强烈的专用性特征，在使用知识产权本身计算能否产生现金流以及未来现金流的预测上存在困难，但通过对知识产权进行运营后所产生的现金流以及未来收益，完全符合知识产权证券化的基础资产标准。</w:t>
      </w:r>
    </w:p>
    <w:p w14:paraId="22E8FF2A" w14:textId="77777777" w:rsidR="00525C4A" w:rsidRDefault="004041B3">
      <w:pPr>
        <w:pStyle w:val="1"/>
      </w:pPr>
      <w:bookmarkStart w:id="6" w:name="_Toc36378074"/>
      <w:r>
        <w:rPr>
          <w:rFonts w:hint="eastAsia"/>
        </w:rPr>
        <w:lastRenderedPageBreak/>
        <w:t>二、知识产权融资模式简介</w:t>
      </w:r>
      <w:bookmarkEnd w:id="6"/>
    </w:p>
    <w:p w14:paraId="5F91BE34" w14:textId="77777777" w:rsidR="00525C4A" w:rsidRDefault="004041B3">
      <w:pPr>
        <w:pStyle w:val="2"/>
      </w:pPr>
      <w:bookmarkStart w:id="7" w:name="_Toc36378075"/>
      <w:r>
        <w:rPr>
          <w:rFonts w:hint="eastAsia"/>
        </w:rPr>
        <w:t>（一）传统的知识产权融资模式</w:t>
      </w:r>
      <w:bookmarkEnd w:id="7"/>
    </w:p>
    <w:p w14:paraId="753AC9D2" w14:textId="77777777" w:rsidR="00525C4A" w:rsidRDefault="004041B3">
      <w:pPr>
        <w:ind w:firstLine="480"/>
      </w:pPr>
      <w:r>
        <w:rPr>
          <w:rFonts w:hint="eastAsia"/>
        </w:rPr>
        <w:t>传统上，知识产权的融资行为包括：质押贷款、知识产权引资、技术入股、融资租赁等。</w:t>
      </w:r>
    </w:p>
    <w:p w14:paraId="6B5D83EF" w14:textId="77777777" w:rsidR="00525C4A" w:rsidRDefault="004041B3">
      <w:pPr>
        <w:ind w:firstLine="480"/>
      </w:pPr>
      <w:r>
        <w:rPr>
          <w:rFonts w:hint="eastAsia"/>
        </w:rPr>
        <w:t>1</w:t>
      </w:r>
      <w:r>
        <w:rPr>
          <w:rFonts w:hint="eastAsia"/>
        </w:rPr>
        <w:t>、质押贷款：是指企业或个人以合法拥有的专利权、商标权、著作权中的财产权经评估后作为质押物，向银行申请融资。</w:t>
      </w:r>
    </w:p>
    <w:p w14:paraId="7D9B5165" w14:textId="77777777" w:rsidR="00525C4A" w:rsidRDefault="004041B3">
      <w:pPr>
        <w:ind w:firstLine="480"/>
      </w:pPr>
      <w:r>
        <w:rPr>
          <w:rFonts w:hint="eastAsia"/>
        </w:rPr>
        <w:t>2</w:t>
      </w:r>
      <w:r>
        <w:rPr>
          <w:rFonts w:hint="eastAsia"/>
        </w:rPr>
        <w:t>、知识产权引资：指企业通过知识产权吸引合作第三方投资，企业通过出让股权换取第三方资金，共同获利。</w:t>
      </w:r>
    </w:p>
    <w:p w14:paraId="4A8E8D59" w14:textId="77777777" w:rsidR="00525C4A" w:rsidRDefault="004041B3">
      <w:pPr>
        <w:ind w:firstLine="480"/>
      </w:pPr>
      <w:r>
        <w:rPr>
          <w:rFonts w:hint="eastAsia"/>
        </w:rPr>
        <w:t>3</w:t>
      </w:r>
      <w:r>
        <w:rPr>
          <w:rFonts w:hint="eastAsia"/>
        </w:rPr>
        <w:t>、技术入股：是指拥有专利技术</w:t>
      </w:r>
      <w:r>
        <w:rPr>
          <w:rFonts w:hint="eastAsia"/>
        </w:rPr>
        <w:t>/</w:t>
      </w:r>
      <w:r>
        <w:rPr>
          <w:rFonts w:hint="eastAsia"/>
        </w:rPr>
        <w:t>专有技术的企业或者个人，通过知识产权的价值评估后，与拥有资金的第三方机构合作成立新公司的一种方式，使得拥有专利技术</w:t>
      </w:r>
      <w:r>
        <w:rPr>
          <w:rFonts w:hint="eastAsia"/>
        </w:rPr>
        <w:t>/</w:t>
      </w:r>
      <w:r>
        <w:rPr>
          <w:rFonts w:hint="eastAsia"/>
        </w:rPr>
        <w:t>专有技术的企业或者个人获得企业股权；也指企业股东或者法人将自主拥有的专利</w:t>
      </w:r>
      <w:r>
        <w:rPr>
          <w:rFonts w:hint="eastAsia"/>
        </w:rPr>
        <w:t>/</w:t>
      </w:r>
      <w:r>
        <w:rPr>
          <w:rFonts w:hint="eastAsia"/>
        </w:rPr>
        <w:t>专有技术，通过知识产权的价值评估后，转让到企业，从而增加其持有的股权。</w:t>
      </w:r>
    </w:p>
    <w:p w14:paraId="59D15A56" w14:textId="77777777" w:rsidR="00525C4A" w:rsidRDefault="004041B3">
      <w:pPr>
        <w:ind w:firstLine="480"/>
      </w:pPr>
      <w:r>
        <w:rPr>
          <w:rFonts w:hint="eastAsia"/>
        </w:rPr>
        <w:t>4</w:t>
      </w:r>
      <w:r>
        <w:rPr>
          <w:rFonts w:hint="eastAsia"/>
        </w:rPr>
        <w:t>、知识产权融资租赁：与传统行业中的设备融资租赁具有类似性，在租赁期间，承租方获得知识产权的除所有权外的全部权利，包括各类使用权和排他的诉讼权。租赁期满，若知识产权尚未超出其有效期，根据承租方与出租方的合同约定，确定知识产权所有权的归属。</w:t>
      </w:r>
    </w:p>
    <w:p w14:paraId="4F836843" w14:textId="77777777" w:rsidR="00525C4A" w:rsidRDefault="004041B3">
      <w:pPr>
        <w:ind w:firstLine="480"/>
      </w:pPr>
      <w:r>
        <w:rPr>
          <w:rFonts w:hint="eastAsia"/>
        </w:rPr>
        <w:t>上述四种方式中，第二、第三种涉及股权变化。若不涉及股权变化，一般选用质押贷款或融资租赁。但目前国内对于知识产权等无形资产是否可以进行融资租赁，法律、政策界限尚不够清晰，以无形资产为租赁物的融资租赁实践较少，知识产权融资仍主要以质押贷款为主。</w:t>
      </w:r>
    </w:p>
    <w:p w14:paraId="7F43B611" w14:textId="77777777" w:rsidR="00525C4A" w:rsidRDefault="004041B3">
      <w:pPr>
        <w:pStyle w:val="2"/>
      </w:pPr>
      <w:bookmarkStart w:id="8" w:name="_Toc36378076"/>
      <w:r>
        <w:rPr>
          <w:rFonts w:hint="eastAsia"/>
        </w:rPr>
        <w:t>（二）知识产权证券化</w:t>
      </w:r>
      <w:bookmarkEnd w:id="8"/>
    </w:p>
    <w:p w14:paraId="63ACA14F" w14:textId="77777777" w:rsidR="00525C4A" w:rsidRDefault="004041B3">
      <w:pPr>
        <w:ind w:firstLine="480"/>
      </w:pPr>
      <w:r>
        <w:rPr>
          <w:rFonts w:hint="eastAsia"/>
        </w:rPr>
        <w:t>知识产权证券化是知识产权融资的高级形式，属于资产证券化范畴。</w:t>
      </w:r>
    </w:p>
    <w:p w14:paraId="70B54CB5" w14:textId="77777777" w:rsidR="00525C4A" w:rsidRDefault="004041B3">
      <w:pPr>
        <w:pStyle w:val="3"/>
        <w:ind w:firstLine="482"/>
      </w:pPr>
      <w:bookmarkStart w:id="9" w:name="_Toc36378077"/>
      <w:r>
        <w:rPr>
          <w:rFonts w:hint="eastAsia"/>
        </w:rPr>
        <w:t>1</w:t>
      </w:r>
      <w:r>
        <w:rPr>
          <w:rFonts w:hint="eastAsia"/>
        </w:rPr>
        <w:t>、知识产权证券化定义</w:t>
      </w:r>
      <w:bookmarkEnd w:id="9"/>
    </w:p>
    <w:p w14:paraId="764CA301" w14:textId="77777777" w:rsidR="00525C4A" w:rsidRDefault="004041B3">
      <w:pPr>
        <w:ind w:firstLine="480"/>
      </w:pPr>
      <w:r>
        <w:rPr>
          <w:rFonts w:hint="eastAsia"/>
        </w:rPr>
        <w:t>知识产权证券化，属于资产支持证券（</w:t>
      </w:r>
      <w:r>
        <w:rPr>
          <w:rFonts w:hint="eastAsia"/>
        </w:rPr>
        <w:t>Asset-Backed Security</w:t>
      </w:r>
      <w:r>
        <w:rPr>
          <w:rFonts w:hint="eastAsia"/>
        </w:rPr>
        <w:t>，简称</w:t>
      </w:r>
      <w:r>
        <w:rPr>
          <w:rFonts w:hint="eastAsia"/>
        </w:rPr>
        <w:t>ABS</w:t>
      </w:r>
      <w:r>
        <w:rPr>
          <w:rFonts w:hint="eastAsia"/>
        </w:rPr>
        <w:t>）</w:t>
      </w:r>
      <w:r>
        <w:rPr>
          <w:rFonts w:hint="eastAsia"/>
        </w:rPr>
        <w:lastRenderedPageBreak/>
        <w:t>的形式之一，是金融机构利用企业特定资产设计成可流通证券的一种创新融资工具。</w:t>
      </w:r>
    </w:p>
    <w:p w14:paraId="751642E3" w14:textId="77777777" w:rsidR="00525C4A" w:rsidRDefault="004041B3">
      <w:pPr>
        <w:ind w:firstLine="480"/>
      </w:pPr>
      <w:r>
        <w:rPr>
          <w:rFonts w:hint="eastAsia"/>
        </w:rPr>
        <w:t>知识产权证券化是一种表外融资，不计入发起人（原始权益人）的资产负债表。同时，通过特殊目的机构（</w:t>
      </w:r>
      <w:r>
        <w:rPr>
          <w:rFonts w:hint="eastAsia"/>
        </w:rPr>
        <w:t>SPV</w:t>
      </w:r>
      <w:r>
        <w:rPr>
          <w:rFonts w:hint="eastAsia"/>
        </w:rPr>
        <w:t>），可以有效地进行风险隔离，降低投资者风险，进而降低融资成本。与质押融资等融资方式相比，证券化的融资规模更大，更有利于专利权人获得充足的资金。</w:t>
      </w:r>
    </w:p>
    <w:p w14:paraId="72110376" w14:textId="77777777" w:rsidR="00525C4A" w:rsidRDefault="004041B3">
      <w:pPr>
        <w:pStyle w:val="3"/>
        <w:ind w:firstLine="482"/>
      </w:pPr>
      <w:bookmarkStart w:id="10" w:name="_Toc36378078"/>
      <w:r>
        <w:rPr>
          <w:rFonts w:hint="eastAsia"/>
        </w:rPr>
        <w:t>2</w:t>
      </w:r>
      <w:r>
        <w:rPr>
          <w:rFonts w:hint="eastAsia"/>
        </w:rPr>
        <w:t>、知识产权证券化意义</w:t>
      </w:r>
      <w:bookmarkEnd w:id="10"/>
    </w:p>
    <w:p w14:paraId="11BEAF98" w14:textId="77777777" w:rsidR="00525C4A" w:rsidRDefault="004041B3">
      <w:pPr>
        <w:ind w:firstLine="480"/>
      </w:pPr>
      <w:r>
        <w:rPr>
          <w:rFonts w:hint="eastAsia"/>
        </w:rPr>
        <w:t>资产证券化的目的在于将缺乏流动性的资产提前变现，解决流动性风险。知识产权证券化突破了传统融资方式的限制，通过把</w:t>
      </w:r>
      <w:proofErr w:type="gramStart"/>
      <w:r>
        <w:rPr>
          <w:rFonts w:hint="eastAsia"/>
        </w:rPr>
        <w:t>各基础</w:t>
      </w:r>
      <w:proofErr w:type="gramEnd"/>
      <w:r>
        <w:rPr>
          <w:rFonts w:hint="eastAsia"/>
        </w:rPr>
        <w:t>交易制度进行功能性组合搭配，实现融资方式创新，目的就是使知识产权的价值在资产负债表中展现，提高知识产权证券化产品发起人（原始权益人）的评级，吸引更多投资者购买知识产权证券化产品。</w:t>
      </w:r>
    </w:p>
    <w:p w14:paraId="5B631915" w14:textId="77777777" w:rsidR="00525C4A" w:rsidRDefault="004041B3">
      <w:pPr>
        <w:ind w:firstLine="480"/>
      </w:pPr>
      <w:r>
        <w:rPr>
          <w:rFonts w:hint="eastAsia"/>
        </w:rPr>
        <w:t>拥有自主知识产权的创新型企业通过知识产权证券化，获得把知识产权转化为可销售产品和服务的足够资金，不仅能解决融资难题，还能实现知识产权商品化、产业化，进而提高知识产权转化率和收益。有了资金的支持和丰厚收益的激励，企业就有动力在原有知识产权的基础上进行进一步的研究和开发，继续新的发明创造，使技术创造活动走向良性循环，提高企业的自主创新能力，推动科技进步。</w:t>
      </w:r>
    </w:p>
    <w:p w14:paraId="03C623AF" w14:textId="77777777" w:rsidR="00525C4A" w:rsidRDefault="004041B3">
      <w:pPr>
        <w:pStyle w:val="3"/>
        <w:ind w:firstLine="482"/>
      </w:pPr>
      <w:bookmarkStart w:id="11" w:name="_Toc36378079"/>
      <w:r>
        <w:rPr>
          <w:rFonts w:hint="eastAsia"/>
        </w:rPr>
        <w:t>3</w:t>
      </w:r>
      <w:r>
        <w:rPr>
          <w:rFonts w:hint="eastAsia"/>
        </w:rPr>
        <w:t>、知识产权证券化的特征</w:t>
      </w:r>
      <w:bookmarkEnd w:id="11"/>
    </w:p>
    <w:p w14:paraId="63539703" w14:textId="77777777" w:rsidR="00525C4A" w:rsidRDefault="004041B3">
      <w:pPr>
        <w:ind w:firstLine="480"/>
      </w:pPr>
      <w:r>
        <w:rPr>
          <w:rFonts w:hint="eastAsia"/>
        </w:rPr>
        <w:t>知识产权证券化是对资产证券化的创新。与传统资产证券化相比，它的最大区别在于基础资产是以知识产权经过运营后获得的现金流以及未来收益作为偿债基础形成的应收债权。相较于传统融资工具，知识产权证券化融资具有以下特征：</w:t>
      </w:r>
    </w:p>
    <w:p w14:paraId="18D52EE6" w14:textId="77777777" w:rsidR="00525C4A" w:rsidRDefault="004041B3">
      <w:pPr>
        <w:ind w:firstLine="480"/>
      </w:pPr>
      <w:r>
        <w:rPr>
          <w:rFonts w:hint="eastAsia"/>
        </w:rPr>
        <w:t>一是知识产权证券化可以增加知识产权流动性。证券化过程是将流动性低的知识产权转换成为流动性高的金融证券商品，相较于传统银行贷款，这一过程使得权利金的流动性提升，从而提升知识产权的价值，获贷成功率较高。此外，证券到期期限相较于传统银行贷款长，在证券化的存续期间内，利</w:t>
      </w:r>
      <w:r>
        <w:rPr>
          <w:rFonts w:hint="eastAsia"/>
        </w:rPr>
        <w:lastRenderedPageBreak/>
        <w:t>率计算采用固定费率，可降低未来收益的不确定风险。</w:t>
      </w:r>
    </w:p>
    <w:p w14:paraId="4574FB1B" w14:textId="77777777" w:rsidR="00525C4A" w:rsidRDefault="004041B3">
      <w:pPr>
        <w:ind w:firstLine="480"/>
      </w:pPr>
      <w:r>
        <w:rPr>
          <w:rFonts w:hint="eastAsia"/>
        </w:rPr>
        <w:t>二是知识产权证券化可以改善企业资产负债比率。知识产权证券化可帮助企业迅速获取大量资金，相较于知识产权许可费收入，获得资金的时间大大缩短。同时，可获得的资金也远远大于其以该知识产权质押担保获得的贷款数额，从而改善企业资产负债比率。</w:t>
      </w:r>
    </w:p>
    <w:p w14:paraId="33D21493" w14:textId="77777777" w:rsidR="00525C4A" w:rsidRDefault="004041B3">
      <w:pPr>
        <w:ind w:firstLine="480"/>
      </w:pPr>
      <w:r>
        <w:rPr>
          <w:rFonts w:hint="eastAsia"/>
        </w:rPr>
        <w:t>三是知识产权证券化可以为企业取得安全且较低成本的资金。资产证券化使投资人丧失了向发起人（原始权益人）无限追索的权利，而且已购买证券的投资者不可抽回，实际上，就对许可费的未来价值形成了事实上的保险。此外，知识产权证券化较为完善的交易结构、信用增</w:t>
      </w:r>
      <w:proofErr w:type="gramStart"/>
      <w:r>
        <w:rPr>
          <w:rFonts w:hint="eastAsia"/>
        </w:rPr>
        <w:t>级机制</w:t>
      </w:r>
      <w:proofErr w:type="gramEnd"/>
      <w:r>
        <w:rPr>
          <w:rFonts w:hint="eastAsia"/>
        </w:rPr>
        <w:t>和以知识产权这种优质资产作为资产支持证券还本付息的基础，从而达到较高的信用等级，投资风险相应降低，一般情况下，知识产权证券利率相对降低，有效地降低了企业融资成本。</w:t>
      </w:r>
    </w:p>
    <w:p w14:paraId="1D6C161C" w14:textId="77777777" w:rsidR="00525C4A" w:rsidRDefault="004041B3">
      <w:pPr>
        <w:ind w:firstLine="480"/>
      </w:pPr>
      <w:r>
        <w:rPr>
          <w:rFonts w:hint="eastAsia"/>
        </w:rPr>
        <w:t>四是知识产权证券化可以提升企业资本报酬率。因为企业将知识产权等证券化标的转移给特殊目的机构（</w:t>
      </w:r>
      <w:r>
        <w:rPr>
          <w:rFonts w:hint="eastAsia"/>
        </w:rPr>
        <w:t>SPV</w:t>
      </w:r>
      <w:r>
        <w:rPr>
          <w:rFonts w:hint="eastAsia"/>
        </w:rPr>
        <w:t>）藉此获取现金，企业利用未来收益作为担保提前变现收取现金，可抒解创始机构资金周转压力。</w:t>
      </w:r>
    </w:p>
    <w:p w14:paraId="5698E751" w14:textId="77777777" w:rsidR="00525C4A" w:rsidRDefault="004041B3">
      <w:pPr>
        <w:ind w:firstLine="480"/>
      </w:pPr>
      <w:r>
        <w:rPr>
          <w:rFonts w:hint="eastAsia"/>
        </w:rPr>
        <w:t>五是知识产权证券化可以避免稀释股权。对创新型企业而言，因为权益融资将稀释未来可能获得的巨大利益，因此，对于引入风险投资基金或股票市场资金持谨慎态度。而证券化过程是将证券化资产移转或出售给特殊目的机构（</w:t>
      </w:r>
      <w:r>
        <w:rPr>
          <w:rFonts w:hint="eastAsia"/>
        </w:rPr>
        <w:t>SPV</w:t>
      </w:r>
      <w:r>
        <w:rPr>
          <w:rFonts w:hint="eastAsia"/>
        </w:rPr>
        <w:t>），证券化基础资产的现金流和未来收益与发起人（原始权益人）本身的财务风险已完全切割，可以降低融资企业因破产或不利因素对知识产权资产带来的负面影响，对于投资人的风险大幅降低。同时，投资人又可以直接参与知识产权所代表的技术与利基市场，享受知识产权所带来的效益。</w:t>
      </w:r>
    </w:p>
    <w:p w14:paraId="42EF02A4" w14:textId="77777777" w:rsidR="00525C4A" w:rsidRDefault="004041B3">
      <w:pPr>
        <w:ind w:firstLine="480"/>
      </w:pPr>
      <w:r>
        <w:rPr>
          <w:rFonts w:hint="eastAsia"/>
        </w:rPr>
        <w:t>六是知识产权证券化可以保有产权自主性。由于知识产权证券化的基础资产可以是知识产权的授权合同或其权利金收益，而可以不是知识产权本身，因此，通过证券化，知识产权权利人仍然能够掌握和利用知识产权，也可以保留部分知识产权许可产生的现金收益。相较于知识产权转让，知识产权证券化只是知识产权主体放弃未来一段时间内专利许可使用的收益，并不会导致对知识产权所有权的丧失，可以有效提高企业的技术优势和信心竞争力。</w:t>
      </w:r>
    </w:p>
    <w:tbl>
      <w:tblPr>
        <w:tblpPr w:leftFromText="180" w:rightFromText="180" w:vertAnchor="text" w:horzAnchor="page" w:tblpXSpec="center" w:tblpY="136"/>
        <w:tblOverlap w:val="neve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482"/>
        <w:gridCol w:w="3224"/>
      </w:tblGrid>
      <w:tr w:rsidR="00525C4A" w14:paraId="0C7B6C1A" w14:textId="77777777">
        <w:trPr>
          <w:trHeight w:val="177"/>
          <w:jc w:val="center"/>
        </w:trPr>
        <w:tc>
          <w:tcPr>
            <w:tcW w:w="1231" w:type="dxa"/>
            <w:tcBorders>
              <w:bottom w:val="single" w:sz="4" w:space="0" w:color="auto"/>
            </w:tcBorders>
            <w:shd w:val="clear" w:color="auto" w:fill="002060"/>
            <w:vAlign w:val="center"/>
          </w:tcPr>
          <w:p w14:paraId="66451CDA" w14:textId="77777777" w:rsidR="00525C4A" w:rsidRDefault="00525C4A">
            <w:pPr>
              <w:spacing w:line="300" w:lineRule="exact"/>
              <w:ind w:firstLineChars="0" w:firstLine="0"/>
              <w:jc w:val="center"/>
              <w:rPr>
                <w:rFonts w:ascii="Times New Roman" w:eastAsia="楷体_GB2312" w:hAnsi="Times New Roman" w:cs="Times New Roman"/>
                <w:b/>
                <w:bCs/>
                <w:i/>
                <w:iCs/>
                <w:color w:val="FFFFFF"/>
                <w:sz w:val="18"/>
                <w:szCs w:val="18"/>
              </w:rPr>
            </w:pPr>
          </w:p>
        </w:tc>
        <w:tc>
          <w:tcPr>
            <w:tcW w:w="3482" w:type="dxa"/>
            <w:tcBorders>
              <w:bottom w:val="single" w:sz="4" w:space="0" w:color="auto"/>
            </w:tcBorders>
            <w:shd w:val="clear" w:color="auto" w:fill="002060"/>
            <w:vAlign w:val="center"/>
          </w:tcPr>
          <w:p w14:paraId="0470B7C8" w14:textId="259D80A1" w:rsidR="00525C4A" w:rsidRDefault="004041B3">
            <w:pPr>
              <w:spacing w:line="300" w:lineRule="exact"/>
              <w:ind w:firstLineChars="0" w:firstLine="0"/>
              <w:jc w:val="center"/>
              <w:rPr>
                <w:rFonts w:ascii="Times New Roman" w:eastAsia="楷体_GB2312" w:hAnsi="Times New Roman" w:cs="Times New Roman"/>
                <w:b/>
                <w:bCs/>
                <w:color w:val="FFFFFF"/>
                <w:sz w:val="18"/>
                <w:szCs w:val="18"/>
              </w:rPr>
            </w:pPr>
            <w:r>
              <w:rPr>
                <w:rFonts w:ascii="Times New Roman" w:eastAsia="楷体_GB2312" w:hAnsi="Times New Roman" w:cs="Times New Roman"/>
                <w:b/>
                <w:bCs/>
                <w:color w:val="FFFFFF"/>
                <w:sz w:val="18"/>
                <w:szCs w:val="18"/>
              </w:rPr>
              <w:t>知识产权为</w:t>
            </w:r>
            <w:r w:rsidR="00F46818">
              <w:rPr>
                <w:rFonts w:ascii="Times New Roman" w:eastAsia="楷体_GB2312" w:hAnsi="Times New Roman" w:cs="Times New Roman" w:hint="eastAsia"/>
                <w:b/>
                <w:bCs/>
                <w:color w:val="FFFFFF"/>
                <w:sz w:val="18"/>
                <w:szCs w:val="18"/>
              </w:rPr>
              <w:t>基础</w:t>
            </w:r>
            <w:r>
              <w:rPr>
                <w:rFonts w:ascii="Times New Roman" w:eastAsia="楷体_GB2312" w:hAnsi="Times New Roman" w:cs="Times New Roman"/>
                <w:b/>
                <w:bCs/>
                <w:color w:val="FFFFFF"/>
                <w:sz w:val="18"/>
                <w:szCs w:val="18"/>
              </w:rPr>
              <w:t>资产的企业</w:t>
            </w:r>
            <w:r>
              <w:rPr>
                <w:rFonts w:ascii="Times New Roman" w:eastAsia="楷体_GB2312" w:hAnsi="Times New Roman" w:cs="Times New Roman"/>
                <w:b/>
                <w:bCs/>
                <w:color w:val="FFFFFF"/>
                <w:sz w:val="18"/>
                <w:szCs w:val="18"/>
              </w:rPr>
              <w:t>ABS</w:t>
            </w:r>
          </w:p>
        </w:tc>
        <w:tc>
          <w:tcPr>
            <w:tcW w:w="3224" w:type="dxa"/>
            <w:tcBorders>
              <w:bottom w:val="single" w:sz="4" w:space="0" w:color="auto"/>
            </w:tcBorders>
            <w:shd w:val="clear" w:color="auto" w:fill="002060"/>
            <w:vAlign w:val="center"/>
          </w:tcPr>
          <w:p w14:paraId="73472C4D" w14:textId="77777777" w:rsidR="00525C4A" w:rsidRDefault="004041B3">
            <w:pPr>
              <w:spacing w:line="300" w:lineRule="exact"/>
              <w:ind w:firstLineChars="0" w:firstLine="0"/>
              <w:jc w:val="center"/>
              <w:rPr>
                <w:rFonts w:ascii="Times New Roman" w:eastAsia="楷体_GB2312" w:hAnsi="Times New Roman" w:cs="Times New Roman"/>
                <w:b/>
                <w:bCs/>
                <w:color w:val="FFFFFF"/>
                <w:sz w:val="18"/>
                <w:szCs w:val="18"/>
              </w:rPr>
            </w:pPr>
            <w:r>
              <w:rPr>
                <w:rFonts w:ascii="Times New Roman" w:eastAsia="楷体_GB2312" w:hAnsi="Times New Roman" w:cs="Times New Roman"/>
                <w:b/>
                <w:bCs/>
                <w:color w:val="FFFFFF"/>
                <w:sz w:val="18"/>
                <w:szCs w:val="18"/>
              </w:rPr>
              <w:t>一般的企业资产支持证券</w:t>
            </w:r>
          </w:p>
        </w:tc>
      </w:tr>
      <w:tr w:rsidR="00525C4A" w14:paraId="18F63FF9" w14:textId="77777777">
        <w:trPr>
          <w:trHeight w:val="343"/>
          <w:jc w:val="center"/>
        </w:trPr>
        <w:tc>
          <w:tcPr>
            <w:tcW w:w="1231" w:type="dxa"/>
            <w:shd w:val="clear" w:color="auto" w:fill="auto"/>
            <w:vAlign w:val="center"/>
          </w:tcPr>
          <w:p w14:paraId="75EEEB19" w14:textId="77777777" w:rsidR="00525C4A" w:rsidRDefault="004041B3">
            <w:pPr>
              <w:spacing w:line="300" w:lineRule="exact"/>
              <w:ind w:firstLineChars="0" w:firstLine="0"/>
              <w:jc w:val="center"/>
              <w:rPr>
                <w:rFonts w:ascii="Times New Roman" w:eastAsia="楷体_GB2312" w:hAnsi="Times New Roman" w:cs="Times New Roman"/>
                <w:b/>
                <w:bCs/>
                <w:i/>
                <w:iCs/>
                <w:color w:val="000000"/>
                <w:sz w:val="18"/>
                <w:szCs w:val="18"/>
              </w:rPr>
            </w:pPr>
            <w:r>
              <w:rPr>
                <w:rFonts w:ascii="Times New Roman" w:eastAsia="楷体_GB2312" w:hAnsi="Times New Roman" w:cs="Times New Roman"/>
                <w:b/>
                <w:bCs/>
                <w:color w:val="231F20"/>
                <w:sz w:val="18"/>
                <w:szCs w:val="18"/>
              </w:rPr>
              <w:t>发起人（原始权益人）</w:t>
            </w:r>
          </w:p>
        </w:tc>
        <w:tc>
          <w:tcPr>
            <w:tcW w:w="3482" w:type="dxa"/>
            <w:shd w:val="clear" w:color="auto" w:fill="auto"/>
            <w:vAlign w:val="center"/>
          </w:tcPr>
          <w:p w14:paraId="69BE0D20" w14:textId="77777777" w:rsidR="00525C4A" w:rsidRDefault="004041B3">
            <w:pPr>
              <w:spacing w:line="300" w:lineRule="exact"/>
              <w:ind w:firstLineChars="0" w:firstLine="0"/>
              <w:rPr>
                <w:rFonts w:ascii="Times New Roman" w:eastAsia="楷体_GB2312" w:hAnsi="Times New Roman" w:cs="Times New Roman"/>
                <w:color w:val="000000"/>
                <w:sz w:val="18"/>
                <w:szCs w:val="18"/>
              </w:rPr>
            </w:pPr>
            <w:r>
              <w:rPr>
                <w:rFonts w:ascii="Times New Roman" w:eastAsia="楷体_GB2312" w:hAnsi="Times New Roman" w:cs="Times New Roman"/>
                <w:color w:val="231F20"/>
                <w:sz w:val="18"/>
                <w:szCs w:val="18"/>
              </w:rPr>
              <w:t>初创型、科技型企业</w:t>
            </w:r>
            <w:r>
              <w:rPr>
                <w:rFonts w:ascii="Times New Roman" w:eastAsia="楷体_GB2312" w:hAnsi="Times New Roman" w:cs="Times New Roman"/>
                <w:color w:val="000000"/>
                <w:sz w:val="18"/>
                <w:szCs w:val="24"/>
              </w:rPr>
              <w:t>或知识产权运营机构</w:t>
            </w:r>
          </w:p>
        </w:tc>
        <w:tc>
          <w:tcPr>
            <w:tcW w:w="3224" w:type="dxa"/>
            <w:shd w:val="clear" w:color="auto" w:fill="auto"/>
            <w:vAlign w:val="center"/>
          </w:tcPr>
          <w:p w14:paraId="3B0A65F5" w14:textId="77777777" w:rsidR="00525C4A" w:rsidRDefault="004041B3">
            <w:pPr>
              <w:spacing w:line="300" w:lineRule="exact"/>
              <w:ind w:firstLineChars="0" w:firstLine="0"/>
              <w:rPr>
                <w:rFonts w:ascii="Times New Roman" w:eastAsia="楷体_GB2312" w:hAnsi="Times New Roman" w:cs="Times New Roman"/>
                <w:color w:val="000000"/>
                <w:sz w:val="18"/>
                <w:szCs w:val="18"/>
              </w:rPr>
            </w:pPr>
            <w:r>
              <w:rPr>
                <w:rFonts w:ascii="Times New Roman" w:eastAsia="楷体_GB2312" w:hAnsi="Times New Roman" w:cs="Times New Roman"/>
                <w:color w:val="231F20"/>
                <w:sz w:val="18"/>
                <w:szCs w:val="18"/>
              </w:rPr>
              <w:t>未明确规定，目前实践中主要是非金融企业、小额贷款公司、金融租赁公司等</w:t>
            </w:r>
          </w:p>
        </w:tc>
      </w:tr>
      <w:tr w:rsidR="00525C4A" w14:paraId="5728EFD1" w14:textId="77777777">
        <w:trPr>
          <w:trHeight w:val="254"/>
          <w:jc w:val="center"/>
        </w:trPr>
        <w:tc>
          <w:tcPr>
            <w:tcW w:w="1231" w:type="dxa"/>
            <w:shd w:val="clear" w:color="auto" w:fill="auto"/>
            <w:vAlign w:val="center"/>
          </w:tcPr>
          <w:p w14:paraId="3A00F060" w14:textId="77777777" w:rsidR="00525C4A" w:rsidRDefault="004041B3">
            <w:pPr>
              <w:spacing w:line="300" w:lineRule="exact"/>
              <w:ind w:firstLineChars="0" w:firstLine="0"/>
              <w:jc w:val="center"/>
              <w:rPr>
                <w:rFonts w:ascii="Times New Roman" w:eastAsia="楷体_GB2312" w:hAnsi="Times New Roman" w:cs="Times New Roman"/>
                <w:b/>
                <w:bCs/>
                <w:i/>
                <w:iCs/>
                <w:color w:val="000000"/>
                <w:sz w:val="18"/>
                <w:szCs w:val="18"/>
              </w:rPr>
            </w:pPr>
            <w:r>
              <w:rPr>
                <w:rFonts w:ascii="Times New Roman" w:eastAsia="楷体_GB2312" w:hAnsi="Times New Roman" w:cs="Times New Roman"/>
                <w:b/>
                <w:bCs/>
                <w:color w:val="231F20"/>
                <w:sz w:val="18"/>
                <w:szCs w:val="18"/>
              </w:rPr>
              <w:t>基础资产</w:t>
            </w:r>
          </w:p>
        </w:tc>
        <w:tc>
          <w:tcPr>
            <w:tcW w:w="3482" w:type="dxa"/>
            <w:shd w:val="clear" w:color="auto" w:fill="auto"/>
            <w:vAlign w:val="center"/>
          </w:tcPr>
          <w:p w14:paraId="51126033" w14:textId="77777777" w:rsidR="00525C4A" w:rsidRDefault="004041B3">
            <w:pPr>
              <w:spacing w:line="300" w:lineRule="exact"/>
              <w:ind w:firstLineChars="0" w:firstLine="0"/>
              <w:rPr>
                <w:rFonts w:ascii="Times New Roman" w:eastAsia="楷体_GB2312" w:hAnsi="Times New Roman" w:cs="Times New Roman"/>
                <w:color w:val="000000"/>
                <w:sz w:val="18"/>
                <w:szCs w:val="18"/>
              </w:rPr>
            </w:pPr>
            <w:r>
              <w:rPr>
                <w:rFonts w:ascii="Times New Roman" w:eastAsia="楷体_GB2312" w:hAnsi="Times New Roman" w:cs="Times New Roman"/>
                <w:color w:val="231F20"/>
                <w:sz w:val="18"/>
                <w:szCs w:val="18"/>
              </w:rPr>
              <w:t>知识产权证券化的基础资产包括专利、商标和版权，以这些知识产权未来经营现金流为偿债基础形成的应收债权等</w:t>
            </w:r>
          </w:p>
        </w:tc>
        <w:tc>
          <w:tcPr>
            <w:tcW w:w="3224" w:type="dxa"/>
            <w:shd w:val="clear" w:color="auto" w:fill="auto"/>
            <w:vAlign w:val="center"/>
          </w:tcPr>
          <w:p w14:paraId="49016FC0" w14:textId="77777777" w:rsidR="00525C4A" w:rsidRDefault="004041B3">
            <w:pPr>
              <w:spacing w:line="300" w:lineRule="exact"/>
              <w:ind w:firstLineChars="0" w:firstLine="0"/>
              <w:rPr>
                <w:rFonts w:ascii="Times New Roman" w:eastAsia="楷体_GB2312" w:hAnsi="Times New Roman" w:cs="Times New Roman"/>
                <w:color w:val="231F20"/>
                <w:sz w:val="18"/>
                <w:szCs w:val="18"/>
              </w:rPr>
            </w:pPr>
            <w:r>
              <w:rPr>
                <w:rFonts w:ascii="Times New Roman" w:eastAsia="楷体_GB2312" w:hAnsi="Times New Roman" w:cs="Times New Roman"/>
                <w:color w:val="231F20"/>
                <w:sz w:val="18"/>
                <w:szCs w:val="18"/>
              </w:rPr>
              <w:t>能够产生可预期的稳定现金流的资产，主要是企业债权、融资融券债权、商业房地产抵押贷款、小额贷款、信托受益权、应收账款、租赁租金等</w:t>
            </w:r>
          </w:p>
        </w:tc>
      </w:tr>
      <w:tr w:rsidR="00525C4A" w14:paraId="137DFC54" w14:textId="77777777">
        <w:trPr>
          <w:trHeight w:val="177"/>
          <w:jc w:val="center"/>
        </w:trPr>
        <w:tc>
          <w:tcPr>
            <w:tcW w:w="1231" w:type="dxa"/>
            <w:shd w:val="clear" w:color="auto" w:fill="auto"/>
            <w:vAlign w:val="center"/>
          </w:tcPr>
          <w:p w14:paraId="58850150" w14:textId="77777777" w:rsidR="00525C4A" w:rsidRDefault="004041B3">
            <w:pPr>
              <w:spacing w:line="300" w:lineRule="exact"/>
              <w:ind w:firstLineChars="0" w:firstLine="0"/>
              <w:jc w:val="center"/>
              <w:rPr>
                <w:rFonts w:ascii="Times New Roman" w:eastAsia="楷体_GB2312" w:hAnsi="Times New Roman" w:cs="Times New Roman"/>
                <w:b/>
                <w:bCs/>
                <w:i/>
                <w:iCs/>
                <w:color w:val="000000"/>
                <w:sz w:val="18"/>
                <w:szCs w:val="18"/>
              </w:rPr>
            </w:pPr>
            <w:r>
              <w:rPr>
                <w:rFonts w:ascii="Times New Roman" w:eastAsia="楷体_GB2312" w:hAnsi="Times New Roman" w:cs="Times New Roman"/>
                <w:b/>
                <w:bCs/>
                <w:color w:val="231F20"/>
                <w:sz w:val="18"/>
                <w:szCs w:val="18"/>
              </w:rPr>
              <w:t>还款来源</w:t>
            </w:r>
          </w:p>
        </w:tc>
        <w:tc>
          <w:tcPr>
            <w:tcW w:w="3482" w:type="dxa"/>
            <w:shd w:val="clear" w:color="auto" w:fill="auto"/>
            <w:vAlign w:val="center"/>
          </w:tcPr>
          <w:p w14:paraId="0190327B" w14:textId="77777777" w:rsidR="00525C4A" w:rsidRDefault="004041B3">
            <w:pPr>
              <w:spacing w:line="300" w:lineRule="exact"/>
              <w:ind w:firstLineChars="0" w:firstLine="0"/>
              <w:rPr>
                <w:rFonts w:ascii="Times New Roman" w:eastAsia="楷体_GB2312" w:hAnsi="Times New Roman" w:cs="Times New Roman"/>
                <w:color w:val="000000"/>
                <w:sz w:val="18"/>
                <w:szCs w:val="18"/>
              </w:rPr>
            </w:pPr>
            <w:r>
              <w:rPr>
                <w:rFonts w:ascii="Times New Roman" w:eastAsia="楷体_GB2312" w:hAnsi="Times New Roman" w:cs="Times New Roman"/>
                <w:color w:val="231F20"/>
                <w:sz w:val="18"/>
                <w:szCs w:val="18"/>
              </w:rPr>
              <w:t>由基础资产产生的现金流</w:t>
            </w:r>
          </w:p>
        </w:tc>
        <w:tc>
          <w:tcPr>
            <w:tcW w:w="3224" w:type="dxa"/>
            <w:shd w:val="clear" w:color="auto" w:fill="auto"/>
            <w:vAlign w:val="center"/>
          </w:tcPr>
          <w:p w14:paraId="13ED590D" w14:textId="77777777" w:rsidR="00525C4A" w:rsidRDefault="004041B3">
            <w:pPr>
              <w:spacing w:line="300" w:lineRule="exact"/>
              <w:ind w:firstLineChars="0" w:firstLine="0"/>
              <w:rPr>
                <w:rFonts w:ascii="Times New Roman" w:eastAsia="楷体_GB2312" w:hAnsi="Times New Roman" w:cs="Times New Roman"/>
                <w:color w:val="000000"/>
                <w:sz w:val="18"/>
                <w:szCs w:val="18"/>
              </w:rPr>
            </w:pPr>
            <w:r>
              <w:rPr>
                <w:rFonts w:ascii="Times New Roman" w:eastAsia="楷体_GB2312" w:hAnsi="Times New Roman" w:cs="Times New Roman"/>
                <w:color w:val="231F20"/>
                <w:sz w:val="18"/>
                <w:szCs w:val="18"/>
              </w:rPr>
              <w:t>由基础资产产生的现金流</w:t>
            </w:r>
          </w:p>
        </w:tc>
      </w:tr>
      <w:tr w:rsidR="00525C4A" w14:paraId="1FCD2E10" w14:textId="77777777">
        <w:trPr>
          <w:trHeight w:val="177"/>
          <w:jc w:val="center"/>
        </w:trPr>
        <w:tc>
          <w:tcPr>
            <w:tcW w:w="1231" w:type="dxa"/>
            <w:tcBorders>
              <w:top w:val="single" w:sz="4" w:space="0" w:color="auto"/>
              <w:left w:val="single" w:sz="4" w:space="0" w:color="auto"/>
              <w:bottom w:val="single" w:sz="4" w:space="0" w:color="auto"/>
            </w:tcBorders>
            <w:shd w:val="clear" w:color="auto" w:fill="auto"/>
            <w:vAlign w:val="center"/>
          </w:tcPr>
          <w:p w14:paraId="6345CEC2" w14:textId="77777777" w:rsidR="00525C4A" w:rsidRDefault="004041B3">
            <w:pPr>
              <w:spacing w:line="300" w:lineRule="exact"/>
              <w:ind w:firstLineChars="0" w:firstLine="0"/>
              <w:jc w:val="center"/>
              <w:rPr>
                <w:rFonts w:ascii="Times New Roman" w:eastAsia="楷体_GB2312" w:hAnsi="Times New Roman" w:cs="Times New Roman"/>
                <w:b/>
                <w:bCs/>
                <w:i/>
                <w:iCs/>
                <w:color w:val="231F20"/>
                <w:sz w:val="18"/>
                <w:szCs w:val="18"/>
              </w:rPr>
            </w:pPr>
            <w:r>
              <w:rPr>
                <w:rFonts w:ascii="Times New Roman" w:eastAsia="楷体_GB2312" w:hAnsi="Times New Roman" w:cs="Times New Roman"/>
                <w:b/>
                <w:bCs/>
                <w:color w:val="231F20"/>
                <w:sz w:val="18"/>
                <w:szCs w:val="18"/>
              </w:rPr>
              <w:t>基础资产的处置风险</w:t>
            </w:r>
          </w:p>
        </w:tc>
        <w:tc>
          <w:tcPr>
            <w:tcW w:w="3482" w:type="dxa"/>
            <w:tcBorders>
              <w:top w:val="single" w:sz="4" w:space="0" w:color="auto"/>
              <w:bottom w:val="single" w:sz="4" w:space="0" w:color="auto"/>
            </w:tcBorders>
            <w:shd w:val="clear" w:color="auto" w:fill="auto"/>
            <w:vAlign w:val="center"/>
          </w:tcPr>
          <w:p w14:paraId="0819DF6E" w14:textId="77777777" w:rsidR="00525C4A" w:rsidRDefault="004041B3">
            <w:pPr>
              <w:spacing w:line="300" w:lineRule="exact"/>
              <w:ind w:firstLineChars="0" w:firstLine="0"/>
              <w:rPr>
                <w:rFonts w:ascii="Times New Roman" w:eastAsia="楷体_GB2312" w:hAnsi="Times New Roman" w:cs="Times New Roman"/>
                <w:color w:val="231F20"/>
                <w:sz w:val="18"/>
                <w:szCs w:val="18"/>
              </w:rPr>
            </w:pPr>
            <w:r>
              <w:rPr>
                <w:rFonts w:ascii="Times New Roman" w:eastAsia="楷体_GB2312" w:hAnsi="Times New Roman" w:cs="Times New Roman"/>
                <w:color w:val="231F20"/>
                <w:sz w:val="18"/>
                <w:szCs w:val="18"/>
              </w:rPr>
              <w:t>处置风险较大，相比较以不动产作为基础资产的</w:t>
            </w:r>
            <w:r>
              <w:rPr>
                <w:rFonts w:ascii="Times New Roman" w:eastAsia="楷体_GB2312" w:hAnsi="Times New Roman" w:cs="Times New Roman"/>
                <w:color w:val="231F20"/>
                <w:sz w:val="18"/>
                <w:szCs w:val="18"/>
              </w:rPr>
              <w:t>ABS</w:t>
            </w:r>
            <w:r>
              <w:rPr>
                <w:rFonts w:ascii="Times New Roman" w:eastAsia="楷体_GB2312" w:hAnsi="Times New Roman" w:cs="Times New Roman"/>
                <w:color w:val="231F20"/>
                <w:sz w:val="18"/>
                <w:szCs w:val="18"/>
              </w:rPr>
              <w:t>项目，无形资产处置变现的难度远大于不动产，主要是受到无形资产转让交易渠道有限等的限制</w:t>
            </w:r>
          </w:p>
        </w:tc>
        <w:tc>
          <w:tcPr>
            <w:tcW w:w="3224" w:type="dxa"/>
            <w:tcBorders>
              <w:top w:val="single" w:sz="4" w:space="0" w:color="auto"/>
              <w:bottom w:val="single" w:sz="4" w:space="0" w:color="auto"/>
            </w:tcBorders>
            <w:shd w:val="clear" w:color="auto" w:fill="auto"/>
            <w:vAlign w:val="center"/>
          </w:tcPr>
          <w:p w14:paraId="639D2CD1" w14:textId="77777777" w:rsidR="00525C4A" w:rsidRDefault="004041B3">
            <w:pPr>
              <w:spacing w:line="300" w:lineRule="exact"/>
              <w:ind w:firstLineChars="0" w:firstLine="0"/>
              <w:rPr>
                <w:rFonts w:ascii="Times New Roman" w:eastAsia="楷体_GB2312" w:hAnsi="Times New Roman" w:cs="Times New Roman"/>
                <w:color w:val="231F20"/>
                <w:sz w:val="18"/>
                <w:szCs w:val="18"/>
              </w:rPr>
            </w:pPr>
            <w:r>
              <w:rPr>
                <w:rFonts w:ascii="Times New Roman" w:eastAsia="楷体_GB2312" w:hAnsi="Times New Roman" w:cs="Times New Roman"/>
                <w:color w:val="231F20"/>
                <w:sz w:val="18"/>
                <w:szCs w:val="18"/>
              </w:rPr>
              <w:t>流动性相对较好，处置风险较小</w:t>
            </w:r>
          </w:p>
        </w:tc>
      </w:tr>
      <w:tr w:rsidR="00525C4A" w14:paraId="09184CB6" w14:textId="77777777">
        <w:trPr>
          <w:trHeight w:val="58"/>
          <w:jc w:val="center"/>
        </w:trPr>
        <w:tc>
          <w:tcPr>
            <w:tcW w:w="1231" w:type="dxa"/>
            <w:tcBorders>
              <w:top w:val="single" w:sz="4" w:space="0" w:color="auto"/>
              <w:left w:val="single" w:sz="4" w:space="0" w:color="auto"/>
              <w:bottom w:val="single" w:sz="4" w:space="0" w:color="auto"/>
            </w:tcBorders>
            <w:shd w:val="clear" w:color="auto" w:fill="auto"/>
            <w:vAlign w:val="center"/>
          </w:tcPr>
          <w:p w14:paraId="1D6CD104" w14:textId="77777777" w:rsidR="00525C4A" w:rsidRDefault="004041B3">
            <w:pPr>
              <w:spacing w:line="300" w:lineRule="exact"/>
              <w:ind w:firstLineChars="0" w:firstLine="0"/>
              <w:jc w:val="center"/>
              <w:rPr>
                <w:rFonts w:ascii="Times New Roman" w:eastAsia="楷体_GB2312" w:hAnsi="Times New Roman" w:cs="Times New Roman"/>
                <w:b/>
                <w:bCs/>
                <w:i/>
                <w:iCs/>
                <w:color w:val="231F20"/>
                <w:sz w:val="18"/>
                <w:szCs w:val="18"/>
              </w:rPr>
            </w:pPr>
            <w:r>
              <w:rPr>
                <w:rFonts w:ascii="Times New Roman" w:eastAsia="楷体_GB2312" w:hAnsi="Times New Roman" w:cs="Times New Roman"/>
                <w:b/>
                <w:bCs/>
                <w:color w:val="231F20"/>
                <w:sz w:val="18"/>
                <w:szCs w:val="18"/>
              </w:rPr>
              <w:t>其他</w:t>
            </w:r>
          </w:p>
        </w:tc>
        <w:tc>
          <w:tcPr>
            <w:tcW w:w="3482" w:type="dxa"/>
            <w:tcBorders>
              <w:top w:val="single" w:sz="4" w:space="0" w:color="auto"/>
              <w:bottom w:val="single" w:sz="4" w:space="0" w:color="auto"/>
            </w:tcBorders>
            <w:shd w:val="clear" w:color="auto" w:fill="auto"/>
            <w:vAlign w:val="center"/>
          </w:tcPr>
          <w:p w14:paraId="729B3894" w14:textId="77777777" w:rsidR="00525C4A" w:rsidRDefault="004041B3">
            <w:pPr>
              <w:spacing w:line="300" w:lineRule="exact"/>
              <w:ind w:firstLineChars="0" w:firstLine="0"/>
              <w:rPr>
                <w:rFonts w:ascii="Times New Roman" w:eastAsia="楷体_GB2312" w:hAnsi="Times New Roman" w:cs="Times New Roman"/>
                <w:color w:val="231F20"/>
                <w:sz w:val="18"/>
                <w:szCs w:val="18"/>
              </w:rPr>
            </w:pPr>
            <w:r>
              <w:rPr>
                <w:rFonts w:ascii="Times New Roman" w:eastAsia="楷体_GB2312" w:hAnsi="Times New Roman" w:cs="Times New Roman"/>
                <w:color w:val="231F20"/>
                <w:sz w:val="18"/>
                <w:szCs w:val="18"/>
              </w:rPr>
              <w:t>由于知识产权具有可重复授权性，知识产权在每次授权中，都可以产生新的合同债权。因此在知识产权证券化中，某个债务人违约后，由于知识产权可</w:t>
            </w:r>
            <w:r>
              <w:rPr>
                <w:rFonts w:ascii="Times New Roman" w:eastAsia="楷体_GB2312" w:hAnsi="Times New Roman" w:cs="Times New Roman" w:hint="eastAsia"/>
                <w:color w:val="231F20"/>
                <w:sz w:val="18"/>
                <w:szCs w:val="18"/>
              </w:rPr>
              <w:t>作</w:t>
            </w:r>
            <w:r>
              <w:rPr>
                <w:rFonts w:ascii="Times New Roman" w:eastAsia="楷体_GB2312" w:hAnsi="Times New Roman" w:cs="Times New Roman"/>
                <w:color w:val="231F20"/>
                <w:sz w:val="18"/>
                <w:szCs w:val="18"/>
              </w:rPr>
              <w:t>为新的被授权方利用，因此可以产生新的收益来补充现金流</w:t>
            </w:r>
          </w:p>
        </w:tc>
        <w:tc>
          <w:tcPr>
            <w:tcW w:w="3224" w:type="dxa"/>
            <w:tcBorders>
              <w:top w:val="single" w:sz="4" w:space="0" w:color="auto"/>
              <w:bottom w:val="single" w:sz="4" w:space="0" w:color="auto"/>
            </w:tcBorders>
            <w:shd w:val="clear" w:color="auto" w:fill="auto"/>
            <w:vAlign w:val="center"/>
          </w:tcPr>
          <w:p w14:paraId="47D67376" w14:textId="77777777" w:rsidR="00525C4A" w:rsidRDefault="004041B3">
            <w:pPr>
              <w:spacing w:line="300" w:lineRule="exact"/>
              <w:ind w:firstLineChars="0" w:firstLine="0"/>
              <w:rPr>
                <w:rFonts w:ascii="Times New Roman" w:eastAsia="楷体_GB2312" w:hAnsi="Times New Roman" w:cs="Times New Roman"/>
                <w:color w:val="231F20"/>
                <w:sz w:val="18"/>
                <w:szCs w:val="18"/>
              </w:rPr>
            </w:pPr>
            <w:r>
              <w:rPr>
                <w:rFonts w:ascii="Times New Roman" w:eastAsia="楷体_GB2312" w:hAnsi="Times New Roman" w:cs="Times New Roman"/>
                <w:color w:val="231F20"/>
                <w:sz w:val="18"/>
                <w:szCs w:val="18"/>
              </w:rPr>
              <w:t>以应收账款为基础资产的企业资产支持证券为例，如果某一个债务人发生违约，则这笔应收账款可能无法收回</w:t>
            </w:r>
          </w:p>
        </w:tc>
      </w:tr>
    </w:tbl>
    <w:p w14:paraId="0443A99A" w14:textId="77777777" w:rsidR="00525C4A" w:rsidRDefault="004041B3">
      <w:pPr>
        <w:pStyle w:val="g"/>
        <w:widowControl w:val="0"/>
        <w:tabs>
          <w:tab w:val="left" w:pos="3960"/>
        </w:tabs>
        <w:ind w:firstLineChars="200" w:firstLine="420"/>
        <w:jc w:val="both"/>
        <w:rPr>
          <w:rFonts w:ascii="Times New Roman"/>
        </w:rPr>
      </w:pPr>
      <w:r>
        <w:rPr>
          <w:rFonts w:ascii="Times New Roman"/>
        </w:rPr>
        <w:t>表</w:t>
      </w:r>
      <w:r>
        <w:rPr>
          <w:rFonts w:ascii="Times New Roman"/>
        </w:rPr>
        <w:fldChar w:fldCharType="begin"/>
      </w:r>
      <w:r>
        <w:rPr>
          <w:rFonts w:ascii="Times New Roman"/>
        </w:rPr>
        <w:instrText xml:space="preserve">SEQ </w:instrText>
      </w:r>
      <w:r>
        <w:rPr>
          <w:rFonts w:ascii="Times New Roman"/>
        </w:rPr>
        <w:instrText>图表</w:instrText>
      </w:r>
      <w:r>
        <w:rPr>
          <w:rFonts w:ascii="Times New Roman"/>
        </w:rPr>
        <w:instrText xml:space="preserve"> \* ARABIC</w:instrText>
      </w:r>
      <w:r>
        <w:rPr>
          <w:rFonts w:ascii="Times New Roman"/>
        </w:rPr>
        <w:fldChar w:fldCharType="separate"/>
      </w:r>
      <w:r>
        <w:rPr>
          <w:rFonts w:ascii="Times New Roman"/>
        </w:rPr>
        <w:t>1</w:t>
      </w:r>
      <w:r>
        <w:rPr>
          <w:rFonts w:ascii="Times New Roman"/>
        </w:rPr>
        <w:fldChar w:fldCharType="end"/>
      </w:r>
      <w:r>
        <w:rPr>
          <w:rFonts w:ascii="Times New Roman"/>
        </w:rPr>
        <w:t>：知识产权证券化与一般的企业证券化产品对比</w:t>
      </w:r>
    </w:p>
    <w:p w14:paraId="32CE375D" w14:textId="77777777" w:rsidR="00525C4A" w:rsidRDefault="004041B3">
      <w:pPr>
        <w:pStyle w:val="g"/>
        <w:widowControl w:val="0"/>
        <w:tabs>
          <w:tab w:val="left" w:pos="3960"/>
        </w:tabs>
        <w:ind w:firstLineChars="200" w:firstLine="420"/>
        <w:jc w:val="both"/>
        <w:rPr>
          <w:b w:val="0"/>
          <w:bCs/>
        </w:rPr>
      </w:pPr>
      <w:r>
        <w:rPr>
          <w:b w:val="0"/>
          <w:bCs/>
        </w:rPr>
        <w:t>数据来源：公开资料，兴业证券经济与金融研究院整理</w:t>
      </w:r>
    </w:p>
    <w:p w14:paraId="153D8DB6" w14:textId="77777777" w:rsidR="00525C4A" w:rsidRDefault="00525C4A">
      <w:pPr>
        <w:pStyle w:val="g"/>
        <w:widowControl w:val="0"/>
        <w:tabs>
          <w:tab w:val="left" w:pos="3960"/>
        </w:tabs>
        <w:ind w:firstLineChars="200" w:firstLine="420"/>
        <w:jc w:val="both"/>
        <w:rPr>
          <w:rFonts w:ascii="Times New Roman"/>
        </w:rPr>
      </w:pPr>
      <w:bookmarkStart w:id="12" w:name="_Toc34325612"/>
    </w:p>
    <w:p w14:paraId="7572374F" w14:textId="77777777" w:rsidR="00525C4A" w:rsidRDefault="004041B3">
      <w:pPr>
        <w:pStyle w:val="g"/>
        <w:widowControl w:val="0"/>
        <w:tabs>
          <w:tab w:val="left" w:pos="3960"/>
        </w:tabs>
        <w:ind w:firstLineChars="200" w:firstLine="420"/>
        <w:jc w:val="both"/>
        <w:rPr>
          <w:rFonts w:ascii="Times New Roman"/>
        </w:rPr>
      </w:pPr>
      <w:r>
        <w:rPr>
          <w:rFonts w:ascii="Times New Roman"/>
        </w:rPr>
        <w:t>图</w:t>
      </w:r>
      <w:r>
        <w:rPr>
          <w:rFonts w:ascii="Times New Roman" w:hint="eastAsia"/>
        </w:rPr>
        <w:t>1.</w:t>
      </w:r>
      <w:r>
        <w:rPr>
          <w:rFonts w:ascii="Times New Roman"/>
        </w:rPr>
        <w:t xml:space="preserve"> </w:t>
      </w:r>
      <w:r>
        <w:rPr>
          <w:rFonts w:ascii="Times New Roman"/>
        </w:rPr>
        <w:t>知识产权</w:t>
      </w:r>
      <w:proofErr w:type="gramStart"/>
      <w:r>
        <w:rPr>
          <w:rFonts w:ascii="Times New Roman"/>
        </w:rPr>
        <w:t>证券化六</w:t>
      </w:r>
      <w:proofErr w:type="gramEnd"/>
      <w:r>
        <w:rPr>
          <w:rFonts w:ascii="Times New Roman"/>
        </w:rPr>
        <w:t>大优点</w:t>
      </w:r>
      <w:bookmarkEnd w:id="12"/>
    </w:p>
    <w:p w14:paraId="39C0DABE" w14:textId="77777777" w:rsidR="00525C4A" w:rsidRDefault="004041B3">
      <w:pPr>
        <w:pStyle w:val="g"/>
        <w:widowControl w:val="0"/>
        <w:pBdr>
          <w:bottom w:val="single" w:sz="6" w:space="1" w:color="auto"/>
        </w:pBdr>
        <w:tabs>
          <w:tab w:val="left" w:pos="3960"/>
        </w:tabs>
        <w:jc w:val="center"/>
        <w:rPr>
          <w:rFonts w:ascii="Times New Roman"/>
          <w:b w:val="0"/>
          <w:bCs/>
        </w:rPr>
      </w:pPr>
      <w:r>
        <w:rPr>
          <w:noProof/>
        </w:rPr>
        <w:drawing>
          <wp:inline distT="0" distB="0" distL="0" distR="0" wp14:anchorId="4450597B" wp14:editId="5985A085">
            <wp:extent cx="4678680" cy="2209800"/>
            <wp:effectExtent l="1905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srcRect/>
                    <a:stretch>
                      <a:fillRect/>
                    </a:stretch>
                  </pic:blipFill>
                  <pic:spPr>
                    <a:xfrm>
                      <a:off x="0" y="0"/>
                      <a:ext cx="4678680" cy="2209800"/>
                    </a:xfrm>
                    <a:prstGeom prst="rect">
                      <a:avLst/>
                    </a:prstGeom>
                    <a:noFill/>
                    <a:ln w="9525">
                      <a:noFill/>
                      <a:miter lim="800000"/>
                      <a:headEnd/>
                      <a:tailEnd/>
                    </a:ln>
                  </pic:spPr>
                </pic:pic>
              </a:graphicData>
            </a:graphic>
          </wp:inline>
        </w:drawing>
      </w:r>
    </w:p>
    <w:p w14:paraId="36948D68" w14:textId="77777777" w:rsidR="00525C4A" w:rsidRDefault="004041B3">
      <w:pPr>
        <w:pStyle w:val="g"/>
        <w:widowControl w:val="0"/>
        <w:tabs>
          <w:tab w:val="left" w:pos="3960"/>
        </w:tabs>
        <w:ind w:firstLineChars="200" w:firstLine="420"/>
        <w:jc w:val="both"/>
        <w:rPr>
          <w:rFonts w:ascii="Times New Roman"/>
          <w:bCs/>
        </w:rPr>
      </w:pPr>
      <w:r>
        <w:rPr>
          <w:b w:val="0"/>
          <w:bCs/>
        </w:rPr>
        <w:t>资料来源：知识产权金融零距离、兴业证券经济与金融研究院整理</w:t>
      </w:r>
    </w:p>
    <w:p w14:paraId="7C019536" w14:textId="77777777" w:rsidR="00525C4A" w:rsidRDefault="004041B3">
      <w:pPr>
        <w:pStyle w:val="1"/>
      </w:pPr>
      <w:bookmarkStart w:id="13" w:name="_Toc36378080"/>
      <w:r>
        <w:rPr>
          <w:rFonts w:hint="eastAsia"/>
        </w:rPr>
        <w:lastRenderedPageBreak/>
        <w:t>三、国内外知识产权证券化研究与实践简介</w:t>
      </w:r>
      <w:bookmarkEnd w:id="13"/>
    </w:p>
    <w:p w14:paraId="63C62EED" w14:textId="77777777" w:rsidR="00525C4A" w:rsidRDefault="004041B3">
      <w:pPr>
        <w:pStyle w:val="2"/>
      </w:pPr>
      <w:bookmarkStart w:id="14" w:name="_Toc36378081"/>
      <w:r>
        <w:rPr>
          <w:rFonts w:hint="eastAsia"/>
        </w:rPr>
        <w:t>（一）美国知识产权证券化发展历程</w:t>
      </w:r>
      <w:bookmarkEnd w:id="14"/>
    </w:p>
    <w:p w14:paraId="4503331B" w14:textId="77777777" w:rsidR="00525C4A" w:rsidRDefault="004041B3">
      <w:pPr>
        <w:ind w:firstLine="480"/>
      </w:pPr>
      <w:r>
        <w:rPr>
          <w:rFonts w:hint="eastAsia"/>
        </w:rPr>
        <w:t>在美国知识产权证券化发展历程中，鲍伊债券具有里程碑意义，是第一宗知识产权证券化交易案例。</w:t>
      </w:r>
    </w:p>
    <w:p w14:paraId="26CC7A10" w14:textId="77777777" w:rsidR="00525C4A" w:rsidRDefault="004041B3">
      <w:pPr>
        <w:ind w:firstLine="480"/>
      </w:pPr>
      <w:r>
        <w:rPr>
          <w:rFonts w:hint="eastAsia"/>
        </w:rPr>
        <w:t>1997</w:t>
      </w:r>
      <w:r>
        <w:rPr>
          <w:rFonts w:hint="eastAsia"/>
        </w:rPr>
        <w:t>年</w:t>
      </w:r>
      <w:r>
        <w:rPr>
          <w:rFonts w:hint="eastAsia"/>
        </w:rPr>
        <w:t>1</w:t>
      </w:r>
      <w:r>
        <w:rPr>
          <w:rFonts w:hint="eastAsia"/>
        </w:rPr>
        <w:t>月，美国著名摇滚歌星戴维•鲍伊（</w:t>
      </w:r>
      <w:r>
        <w:rPr>
          <w:rFonts w:hint="eastAsia"/>
        </w:rPr>
        <w:t>David Bowie</w:t>
      </w:r>
      <w:r>
        <w:rPr>
          <w:rFonts w:hint="eastAsia"/>
        </w:rPr>
        <w:t>）由于短时间内缺少流动资金，于是通过在美国金融市场出售其音乐作品的版权债券，向社会公众公开发行了为期</w:t>
      </w:r>
      <w:r>
        <w:rPr>
          <w:rFonts w:hint="eastAsia"/>
        </w:rPr>
        <w:t>10</w:t>
      </w:r>
      <w:r>
        <w:rPr>
          <w:rFonts w:hint="eastAsia"/>
        </w:rPr>
        <w:t>年利率为</w:t>
      </w:r>
      <w:r>
        <w:rPr>
          <w:rFonts w:hint="eastAsia"/>
        </w:rPr>
        <w:t>7.9%</w:t>
      </w:r>
      <w:r>
        <w:rPr>
          <w:rFonts w:hint="eastAsia"/>
        </w:rPr>
        <w:t>的债券，为自己的音乐发展之路募集资金</w:t>
      </w:r>
      <w:r>
        <w:rPr>
          <w:rFonts w:hint="eastAsia"/>
        </w:rPr>
        <w:t>5500</w:t>
      </w:r>
      <w:r>
        <w:rPr>
          <w:rFonts w:hint="eastAsia"/>
        </w:rPr>
        <w:t>万美元，比同期</w:t>
      </w:r>
      <w:r>
        <w:rPr>
          <w:rFonts w:hint="eastAsia"/>
        </w:rPr>
        <w:t>10</w:t>
      </w:r>
      <w:r>
        <w:rPr>
          <w:rFonts w:hint="eastAsia"/>
        </w:rPr>
        <w:t>年期限的国债利息率和公司债券收益都要高，金融界称之为“鲍伊债券”。鲍伊债券采取私募发行方式，由保德信证券投资信托公司全额认购。鲍伊证券的发行具有开创性的意义，把传统资产证券化局限于抵押住房贷款、汽车按揭贷款、信用卡贷款、应收账款等方面的应用向前推进了一大步，首次将知识产权纳入证券化视野，开启了知识产权证券化新纪元。</w:t>
      </w:r>
    </w:p>
    <w:p w14:paraId="0D7376D5" w14:textId="5D445BA2" w:rsidR="00525C4A" w:rsidRDefault="004041B3">
      <w:pPr>
        <w:pStyle w:val="g"/>
        <w:widowControl w:val="0"/>
        <w:tabs>
          <w:tab w:val="left" w:pos="3960"/>
        </w:tabs>
        <w:ind w:firstLineChars="200" w:firstLine="420"/>
        <w:jc w:val="both"/>
        <w:rPr>
          <w:rFonts w:ascii="仿宋" w:eastAsia="仿宋" w:hAnsi="仿宋"/>
          <w:sz w:val="24"/>
          <w:szCs w:val="24"/>
        </w:rPr>
      </w:pPr>
      <w:r>
        <w:rPr>
          <w:rFonts w:ascii="Times New Roman" w:hint="eastAsia"/>
          <w:noProof/>
        </w:rPr>
        <w:drawing>
          <wp:anchor distT="0" distB="0" distL="114300" distR="114300" simplePos="0" relativeHeight="251658240" behindDoc="0" locked="0" layoutInCell="1" allowOverlap="1" wp14:anchorId="766BEA2D" wp14:editId="2503B4B7">
            <wp:simplePos x="0" y="0"/>
            <wp:positionH relativeFrom="margin">
              <wp:align>center</wp:align>
            </wp:positionH>
            <wp:positionV relativeFrom="paragraph">
              <wp:posOffset>284480</wp:posOffset>
            </wp:positionV>
            <wp:extent cx="4690110" cy="2476500"/>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7"/>
                    <a:srcRect/>
                    <a:stretch>
                      <a:fillRect/>
                    </a:stretch>
                  </pic:blipFill>
                  <pic:spPr>
                    <a:xfrm>
                      <a:off x="0" y="0"/>
                      <a:ext cx="4690110" cy="2476500"/>
                    </a:xfrm>
                    <a:prstGeom prst="rect">
                      <a:avLst/>
                    </a:prstGeom>
                    <a:noFill/>
                    <a:ln w="9525">
                      <a:noFill/>
                      <a:miter lim="800000"/>
                      <a:headEnd/>
                      <a:tailEnd/>
                    </a:ln>
                  </pic:spPr>
                </pic:pic>
              </a:graphicData>
            </a:graphic>
          </wp:anchor>
        </w:drawing>
      </w:r>
      <w:r>
        <w:rPr>
          <w:rFonts w:ascii="Times New Roman" w:hint="eastAsia"/>
        </w:rPr>
        <w:t>图</w:t>
      </w:r>
      <w:r>
        <w:rPr>
          <w:rFonts w:ascii="Times New Roman" w:hint="eastAsia"/>
        </w:rPr>
        <w:t>2</w:t>
      </w:r>
      <w:r w:rsidR="0019451F">
        <w:rPr>
          <w:rFonts w:ascii="Times New Roman" w:hint="eastAsia"/>
        </w:rPr>
        <w:t>.</w:t>
      </w:r>
      <w:r w:rsidR="0019451F">
        <w:rPr>
          <w:rFonts w:ascii="Times New Roman"/>
        </w:rPr>
        <w:t xml:space="preserve"> </w:t>
      </w:r>
      <w:r>
        <w:rPr>
          <w:rFonts w:ascii="Times New Roman" w:hint="eastAsia"/>
        </w:rPr>
        <w:t>David Bowie</w:t>
      </w:r>
      <w:r>
        <w:rPr>
          <w:rFonts w:ascii="Times New Roman" w:hint="eastAsia"/>
        </w:rPr>
        <w:t>债券结构图</w:t>
      </w:r>
      <w:r>
        <w:rPr>
          <w:rFonts w:ascii="仿宋" w:eastAsia="仿宋" w:hAnsi="仿宋" w:hint="eastAsia"/>
          <w:sz w:val="24"/>
          <w:szCs w:val="24"/>
        </w:rPr>
        <w:cr/>
      </w:r>
    </w:p>
    <w:p w14:paraId="21A273A4" w14:textId="77777777" w:rsidR="00525C4A" w:rsidRDefault="00525C4A">
      <w:pPr>
        <w:pStyle w:val="g"/>
        <w:widowControl w:val="0"/>
        <w:tabs>
          <w:tab w:val="left" w:pos="3960"/>
        </w:tabs>
        <w:ind w:firstLineChars="200" w:firstLine="482"/>
        <w:jc w:val="both"/>
        <w:rPr>
          <w:rFonts w:ascii="仿宋" w:eastAsia="仿宋" w:hAnsi="仿宋"/>
          <w:sz w:val="24"/>
          <w:szCs w:val="24"/>
        </w:rPr>
      </w:pPr>
    </w:p>
    <w:p w14:paraId="703B1F23" w14:textId="77777777" w:rsidR="00525C4A" w:rsidRDefault="00525C4A">
      <w:pPr>
        <w:pStyle w:val="g"/>
        <w:widowControl w:val="0"/>
        <w:tabs>
          <w:tab w:val="left" w:pos="3960"/>
        </w:tabs>
        <w:ind w:firstLineChars="200" w:firstLine="482"/>
        <w:jc w:val="both"/>
        <w:rPr>
          <w:rFonts w:ascii="仿宋" w:eastAsia="仿宋" w:hAnsi="仿宋"/>
          <w:sz w:val="24"/>
          <w:szCs w:val="24"/>
        </w:rPr>
      </w:pPr>
    </w:p>
    <w:p w14:paraId="27266346" w14:textId="77777777" w:rsidR="00525C4A" w:rsidRDefault="004041B3">
      <w:pPr>
        <w:spacing w:line="560" w:lineRule="exact"/>
        <w:ind w:firstLine="640"/>
        <w:rPr>
          <w:rFonts w:ascii="仿宋" w:eastAsia="仿宋" w:hAnsi="仿宋"/>
          <w:sz w:val="32"/>
          <w:szCs w:val="32"/>
        </w:rPr>
      </w:pPr>
      <w:r>
        <w:rPr>
          <w:rFonts w:ascii="仿宋" w:eastAsia="仿宋" w:hAnsi="仿宋"/>
          <w:sz w:val="32"/>
          <w:szCs w:val="32"/>
        </w:rPr>
        <w:t xml:space="preserve"> </w:t>
      </w:r>
    </w:p>
    <w:p w14:paraId="06BB3B17" w14:textId="77777777" w:rsidR="00525C4A" w:rsidRDefault="00525C4A">
      <w:pPr>
        <w:spacing w:line="560" w:lineRule="exact"/>
        <w:ind w:firstLine="640"/>
        <w:rPr>
          <w:rFonts w:ascii="仿宋" w:eastAsia="仿宋" w:hAnsi="仿宋"/>
          <w:sz w:val="32"/>
          <w:szCs w:val="32"/>
        </w:rPr>
      </w:pPr>
    </w:p>
    <w:p w14:paraId="57D69FD8" w14:textId="77777777" w:rsidR="00525C4A" w:rsidRDefault="00525C4A">
      <w:pPr>
        <w:spacing w:line="560" w:lineRule="exact"/>
        <w:ind w:firstLine="640"/>
        <w:rPr>
          <w:rFonts w:ascii="仿宋" w:eastAsia="仿宋" w:hAnsi="仿宋"/>
          <w:sz w:val="32"/>
          <w:szCs w:val="32"/>
        </w:rPr>
      </w:pPr>
    </w:p>
    <w:p w14:paraId="5FBF0E0A" w14:textId="77777777" w:rsidR="00525C4A" w:rsidRDefault="00525C4A">
      <w:pPr>
        <w:spacing w:line="560" w:lineRule="exact"/>
        <w:ind w:firstLine="640"/>
        <w:rPr>
          <w:rFonts w:ascii="仿宋" w:eastAsia="仿宋" w:hAnsi="仿宋"/>
          <w:sz w:val="32"/>
          <w:szCs w:val="32"/>
        </w:rPr>
      </w:pPr>
    </w:p>
    <w:p w14:paraId="3F8A770A" w14:textId="77777777" w:rsidR="00525C4A" w:rsidRDefault="00525C4A">
      <w:pPr>
        <w:spacing w:line="560" w:lineRule="exact"/>
        <w:ind w:firstLine="640"/>
        <w:rPr>
          <w:rFonts w:ascii="仿宋" w:eastAsia="仿宋" w:hAnsi="仿宋"/>
          <w:sz w:val="32"/>
          <w:szCs w:val="32"/>
        </w:rPr>
      </w:pPr>
    </w:p>
    <w:p w14:paraId="3E059991" w14:textId="77777777" w:rsidR="00525C4A" w:rsidRDefault="00525C4A">
      <w:pPr>
        <w:pBdr>
          <w:bottom w:val="single" w:sz="6" w:space="1" w:color="auto"/>
        </w:pBdr>
        <w:spacing w:line="240" w:lineRule="atLeast"/>
        <w:ind w:firstLine="480"/>
        <w:rPr>
          <w:rFonts w:ascii="仿宋" w:eastAsia="仿宋" w:hAnsi="仿宋"/>
          <w:szCs w:val="24"/>
        </w:rPr>
      </w:pPr>
    </w:p>
    <w:p w14:paraId="77E12ED5" w14:textId="77777777" w:rsidR="00525C4A" w:rsidRDefault="004041B3">
      <w:pPr>
        <w:pStyle w:val="g"/>
        <w:widowControl w:val="0"/>
        <w:tabs>
          <w:tab w:val="left" w:pos="3960"/>
        </w:tabs>
        <w:spacing w:line="300" w:lineRule="exact"/>
        <w:ind w:firstLineChars="200" w:firstLine="420"/>
        <w:jc w:val="both"/>
        <w:rPr>
          <w:b w:val="0"/>
          <w:bCs/>
        </w:rPr>
      </w:pPr>
      <w:r>
        <w:rPr>
          <w:rFonts w:hint="eastAsia"/>
          <w:b w:val="0"/>
          <w:bCs/>
        </w:rPr>
        <w:t>资料来源：</w:t>
      </w:r>
      <w:proofErr w:type="gramStart"/>
      <w:r>
        <w:rPr>
          <w:rFonts w:hint="eastAsia"/>
          <w:b w:val="0"/>
          <w:bCs/>
        </w:rPr>
        <w:t>文创与高新产业</w:t>
      </w:r>
      <w:proofErr w:type="gramEnd"/>
      <w:r>
        <w:rPr>
          <w:rFonts w:hint="eastAsia"/>
          <w:b w:val="0"/>
          <w:bCs/>
        </w:rPr>
        <w:t>融资，兴业证券经济与金融研究院整理</w:t>
      </w:r>
    </w:p>
    <w:p w14:paraId="14CE9572" w14:textId="77777777" w:rsidR="00525C4A" w:rsidRDefault="004041B3">
      <w:pPr>
        <w:ind w:firstLine="480"/>
      </w:pPr>
      <w:r>
        <w:rPr>
          <w:rFonts w:hint="eastAsia"/>
        </w:rPr>
        <w:t>从</w:t>
      </w:r>
      <w:r>
        <w:rPr>
          <w:rFonts w:hint="eastAsia"/>
        </w:rPr>
        <w:t>1997</w:t>
      </w:r>
      <w:r>
        <w:rPr>
          <w:rFonts w:hint="eastAsia"/>
        </w:rPr>
        <w:t>年至今，知识产权证券化在美国经历了萌芽、发展到逐渐成熟的过程，这一过程也是一个从探索到推广、从设立专门特殊目的机构（</w:t>
      </w:r>
      <w:r>
        <w:rPr>
          <w:rFonts w:hint="eastAsia"/>
        </w:rPr>
        <w:t>SPV</w:t>
      </w:r>
      <w:r>
        <w:rPr>
          <w:rFonts w:hint="eastAsia"/>
        </w:rPr>
        <w:t>）到</w:t>
      </w:r>
      <w:r>
        <w:rPr>
          <w:rFonts w:hint="eastAsia"/>
        </w:rPr>
        <w:lastRenderedPageBreak/>
        <w:t>特殊目的机构（</w:t>
      </w:r>
      <w:r>
        <w:rPr>
          <w:rFonts w:hint="eastAsia"/>
        </w:rPr>
        <w:t>SPV</w:t>
      </w:r>
      <w:r>
        <w:rPr>
          <w:rFonts w:hint="eastAsia"/>
        </w:rPr>
        <w:t>）常设化、从面向私募基金发行到寻求进入资本市场的过程。</w:t>
      </w:r>
      <w:r>
        <w:rPr>
          <w:rFonts w:hint="eastAsia"/>
        </w:rPr>
        <w:t>20</w:t>
      </w:r>
      <w:r>
        <w:rPr>
          <w:rFonts w:hint="eastAsia"/>
        </w:rPr>
        <w:t>年间，美国知识产权证券化基础资产范围已扩展至诸如电影、演艺、休闲娱乐、电子游戏及主题公园等与文化产业息息相关的知识产权，以及医药科技产品的专利、时装品牌、半导体芯片技术，甚至与专利有关的诉讼胜诉金都可纳为知识产权证券化的基础资产。其后知识产权证券化的典型案例不断涌现，据美国知识产权评估认证中心统计，在</w:t>
      </w:r>
      <w:r>
        <w:rPr>
          <w:rFonts w:hint="eastAsia"/>
        </w:rPr>
        <w:t>1997</w:t>
      </w:r>
      <w:r>
        <w:rPr>
          <w:rFonts w:hint="eastAsia"/>
        </w:rPr>
        <w:t>年到</w:t>
      </w:r>
      <w:r>
        <w:rPr>
          <w:rFonts w:hint="eastAsia"/>
        </w:rPr>
        <w:t>2010</w:t>
      </w:r>
      <w:r>
        <w:rPr>
          <w:rFonts w:hint="eastAsia"/>
        </w:rPr>
        <w:t>年期间，美国通过知识产权证券化进行融资的成交金额就高达</w:t>
      </w:r>
      <w:r>
        <w:rPr>
          <w:rFonts w:hint="eastAsia"/>
        </w:rPr>
        <w:t>420</w:t>
      </w:r>
      <w:r>
        <w:rPr>
          <w:rFonts w:hint="eastAsia"/>
        </w:rPr>
        <w:t>亿美元，年均增长幅度超过</w:t>
      </w:r>
      <w:r>
        <w:rPr>
          <w:rFonts w:hint="eastAsia"/>
        </w:rPr>
        <w:t>12%</w:t>
      </w:r>
      <w:r>
        <w:rPr>
          <w:rFonts w:hint="eastAsia"/>
        </w:rPr>
        <w:t>。美国的知识产权证券化采用的是由下而上的市场主导型证券化模式。这主要源于美国发达的市场经济，这体现在其拥有比较成熟完善的证券市场和高效的知识产权交易市场。这使美国在产生了知识产权证券化的需求后，市场能够及时地根据需求做出反应，自发进行调整，产生相应供给，即专门的知识产权证券化专业咨询公司起到特殊目的机构（</w:t>
      </w:r>
      <w:r>
        <w:rPr>
          <w:rFonts w:hint="eastAsia"/>
        </w:rPr>
        <w:t>SPV</w:t>
      </w:r>
      <w:r>
        <w:rPr>
          <w:rFonts w:hint="eastAsia"/>
        </w:rPr>
        <w:t>）的作用，从而使知识产权证券化能够顺利地推行下去。</w:t>
      </w:r>
    </w:p>
    <w:p w14:paraId="5447F7D3" w14:textId="77777777" w:rsidR="00525C4A" w:rsidRDefault="004041B3">
      <w:pPr>
        <w:pStyle w:val="2"/>
      </w:pPr>
      <w:bookmarkStart w:id="15" w:name="_Toc36378082"/>
      <w:r>
        <w:rPr>
          <w:rFonts w:hint="eastAsia"/>
        </w:rPr>
        <w:t>（二）日本知识产权证券化发展历程</w:t>
      </w:r>
      <w:bookmarkEnd w:id="15"/>
    </w:p>
    <w:p w14:paraId="67FB4971" w14:textId="77777777" w:rsidR="00525C4A" w:rsidRDefault="004041B3">
      <w:pPr>
        <w:ind w:firstLine="480"/>
      </w:pPr>
      <w:r>
        <w:rPr>
          <w:rFonts w:hint="eastAsia"/>
        </w:rPr>
        <w:t>日本是亚洲最早发展知识产权证券化的国家，与美国市场主导型知识产权证券化模式不同，日本在进行知识产权证券化的过程中主要采用的是政府主导型模式，政府在知识产权证券化过程中起导向作用。</w:t>
      </w:r>
    </w:p>
    <w:p w14:paraId="2E3D748E" w14:textId="77777777" w:rsidR="00525C4A" w:rsidRDefault="004041B3">
      <w:pPr>
        <w:ind w:firstLine="480"/>
      </w:pPr>
      <w:r>
        <w:rPr>
          <w:rFonts w:hint="eastAsia"/>
        </w:rPr>
        <w:t>Scalar</w:t>
      </w:r>
      <w:r>
        <w:rPr>
          <w:rFonts w:hint="eastAsia"/>
        </w:rPr>
        <w:t>证券化产品成为日本首宗专利证券化实例。</w:t>
      </w:r>
      <w:r>
        <w:rPr>
          <w:rFonts w:hint="eastAsia"/>
        </w:rPr>
        <w:t>Scalar</w:t>
      </w:r>
      <w:r>
        <w:rPr>
          <w:rFonts w:hint="eastAsia"/>
        </w:rPr>
        <w:t>是日本一家研发光学镜片的公司，</w:t>
      </w:r>
      <w:r>
        <w:rPr>
          <w:rFonts w:hint="eastAsia"/>
        </w:rPr>
        <w:t>2003</w:t>
      </w:r>
      <w:r>
        <w:rPr>
          <w:rFonts w:hint="eastAsia"/>
        </w:rPr>
        <w:t>年，该公司将其四项光学专利授权给</w:t>
      </w:r>
      <w:r>
        <w:rPr>
          <w:rFonts w:hint="eastAsia"/>
        </w:rPr>
        <w:t>Matsushita Electric Group</w:t>
      </w:r>
      <w:r>
        <w:rPr>
          <w:rFonts w:hint="eastAsia"/>
        </w:rPr>
        <w:t>旗下的</w:t>
      </w:r>
      <w:r>
        <w:rPr>
          <w:rFonts w:hint="eastAsia"/>
        </w:rPr>
        <w:t>Pin Change. Co. Ltd</w:t>
      </w:r>
      <w:r>
        <w:rPr>
          <w:rFonts w:hint="eastAsia"/>
        </w:rPr>
        <w:t>。</w:t>
      </w:r>
      <w:r>
        <w:rPr>
          <w:rFonts w:hint="eastAsia"/>
        </w:rPr>
        <w:t>Scalar</w:t>
      </w:r>
      <w:r>
        <w:rPr>
          <w:rFonts w:hint="eastAsia"/>
        </w:rPr>
        <w:t>公司，再将该专利权转移给证券化的特殊目的机构（</w:t>
      </w:r>
      <w:r>
        <w:rPr>
          <w:rFonts w:hint="eastAsia"/>
        </w:rPr>
        <w:t>SPV</w:t>
      </w:r>
      <w:r>
        <w:rPr>
          <w:rFonts w:hint="eastAsia"/>
        </w:rPr>
        <w:t>），由该特殊目的机构（</w:t>
      </w:r>
      <w:r>
        <w:rPr>
          <w:rFonts w:hint="eastAsia"/>
        </w:rPr>
        <w:t>SPV</w:t>
      </w:r>
      <w:r>
        <w:rPr>
          <w:rFonts w:hint="eastAsia"/>
        </w:rPr>
        <w:t>）以前述专利权利金作担保发行债券筹资。</w:t>
      </w:r>
      <w:r>
        <w:rPr>
          <w:rFonts w:hint="eastAsia"/>
        </w:rPr>
        <w:t>Scalar</w:t>
      </w:r>
      <w:r>
        <w:rPr>
          <w:rFonts w:hint="eastAsia"/>
        </w:rPr>
        <w:t>公司经由证券化筹得的资金仅</w:t>
      </w:r>
      <w:r>
        <w:rPr>
          <w:rFonts w:hint="eastAsia"/>
        </w:rPr>
        <w:t>20</w:t>
      </w:r>
      <w:r>
        <w:rPr>
          <w:rFonts w:hint="eastAsia"/>
        </w:rPr>
        <w:t>亿日元，但由于知识产权证券化的过程，需要支付昂贵法律、财会、技术等费用，从损益相抵而言，进行证券化所计划筹措的金额应达</w:t>
      </w:r>
      <w:r>
        <w:rPr>
          <w:rFonts w:hint="eastAsia"/>
        </w:rPr>
        <w:t>20</w:t>
      </w:r>
      <w:r>
        <w:rPr>
          <w:rFonts w:hint="eastAsia"/>
        </w:rPr>
        <w:t>亿到</w:t>
      </w:r>
      <w:r>
        <w:rPr>
          <w:rFonts w:hint="eastAsia"/>
        </w:rPr>
        <w:t>100</w:t>
      </w:r>
      <w:r>
        <w:rPr>
          <w:rFonts w:hint="eastAsia"/>
        </w:rPr>
        <w:t>亿日元，才符合证券化的规模额度，因此，该案例属于政府部门介入操盘的试验性质。</w:t>
      </w:r>
    </w:p>
    <w:p w14:paraId="06AD32C6" w14:textId="77777777" w:rsidR="00525C4A" w:rsidRDefault="004041B3">
      <w:pPr>
        <w:ind w:firstLine="480"/>
      </w:pPr>
      <w:r>
        <w:rPr>
          <w:rFonts w:hint="eastAsia"/>
        </w:rPr>
        <w:t>日本在制度建设上很多都借鉴于美国，但在知识产权证券化的制度建设上与美国存在较大差异。美国知识产权证券化大都集中于大型高新技术企业，</w:t>
      </w:r>
      <w:r>
        <w:rPr>
          <w:rFonts w:hint="eastAsia"/>
        </w:rPr>
        <w:lastRenderedPageBreak/>
        <w:t>以加快知识产权成果转化速率，尽快收回研发成本，加速资本周转。日本开展知识产权证券化的主要目的在于解决创新型企业及中小企业融资难的问题，满足其以自身知识产权作为基础资产进行融资的需求，同时将金融机构的贷款风险通过市场化手段向不特定多数的投资者分散。日本的知识产权证券化大都采用私募的方式，向投资者或大型投资机构发行，证券的流动性也便相应较弱，其产生的直接问题是证券投资者难以在短期内转让，证券的吸引力也随之降低。</w:t>
      </w:r>
    </w:p>
    <w:p w14:paraId="3D817879" w14:textId="77777777" w:rsidR="00525C4A" w:rsidRDefault="004041B3">
      <w:pPr>
        <w:pStyle w:val="2"/>
      </w:pPr>
      <w:bookmarkStart w:id="16" w:name="_Toc36378083"/>
      <w:r>
        <w:rPr>
          <w:rFonts w:hint="eastAsia"/>
        </w:rPr>
        <w:t>（三）欧盟知识产权证券化发展历程</w:t>
      </w:r>
      <w:bookmarkEnd w:id="16"/>
    </w:p>
    <w:p w14:paraId="2AF789AF" w14:textId="77777777" w:rsidR="00525C4A" w:rsidRDefault="004041B3">
      <w:pPr>
        <w:ind w:firstLine="480"/>
      </w:pPr>
      <w:r>
        <w:rPr>
          <w:rFonts w:hint="eastAsia"/>
        </w:rPr>
        <w:t>早期欧洲知识产权证券化的发展案例集中在体育产业转播权或各类体育赛事门票收益证券化等方面，后来如意大利、英国等也先后将电影和音乐作品进行知识产权证券化融资。</w:t>
      </w:r>
    </w:p>
    <w:p w14:paraId="7569BC3D" w14:textId="77777777" w:rsidR="00525C4A" w:rsidRDefault="004041B3">
      <w:pPr>
        <w:ind w:firstLine="480"/>
      </w:pPr>
      <w:r>
        <w:rPr>
          <w:rFonts w:hint="eastAsia"/>
        </w:rPr>
        <w:t>1998</w:t>
      </w:r>
      <w:r>
        <w:rPr>
          <w:rFonts w:hint="eastAsia"/>
        </w:rPr>
        <w:t>年</w:t>
      </w:r>
      <w:r>
        <w:rPr>
          <w:rFonts w:hint="eastAsia"/>
        </w:rPr>
        <w:t>5</w:t>
      </w:r>
      <w:r>
        <w:rPr>
          <w:rFonts w:hint="eastAsia"/>
        </w:rPr>
        <w:t>月，西班牙皇马足球俱乐部通过把来自阿迪达斯公司的赞助收入证券化筹得</w:t>
      </w:r>
      <w:r>
        <w:rPr>
          <w:rFonts w:hint="eastAsia"/>
        </w:rPr>
        <w:t>5000</w:t>
      </w:r>
      <w:r>
        <w:rPr>
          <w:rFonts w:hint="eastAsia"/>
        </w:rPr>
        <w:t>万美元。</w:t>
      </w:r>
      <w:r>
        <w:rPr>
          <w:rFonts w:hint="eastAsia"/>
        </w:rPr>
        <w:t>2001</w:t>
      </w:r>
      <w:r>
        <w:rPr>
          <w:rFonts w:hint="eastAsia"/>
        </w:rPr>
        <w:t>年初，“英超”利兹联队在财务状况开始恶劣的情况下，以其未来</w:t>
      </w:r>
      <w:r>
        <w:rPr>
          <w:rFonts w:hint="eastAsia"/>
        </w:rPr>
        <w:t>20</w:t>
      </w:r>
      <w:r>
        <w:rPr>
          <w:rFonts w:hint="eastAsia"/>
        </w:rPr>
        <w:t>年的门票收入作为支持发行了</w:t>
      </w:r>
      <w:r>
        <w:rPr>
          <w:rFonts w:hint="eastAsia"/>
        </w:rPr>
        <w:t>7100</w:t>
      </w:r>
      <w:r>
        <w:rPr>
          <w:rFonts w:hint="eastAsia"/>
        </w:rPr>
        <w:t>万美元的资产证券化债券，债券持有人每年收益大约</w:t>
      </w:r>
      <w:r>
        <w:rPr>
          <w:rFonts w:hint="eastAsia"/>
        </w:rPr>
        <w:t>700</w:t>
      </w:r>
      <w:r>
        <w:rPr>
          <w:rFonts w:hint="eastAsia"/>
        </w:rPr>
        <w:t>万元。后来，英超阿森纳对等几支球队也进入了资产证券化行列。</w:t>
      </w:r>
    </w:p>
    <w:p w14:paraId="74675CCE" w14:textId="77777777" w:rsidR="00525C4A" w:rsidRDefault="004041B3">
      <w:pPr>
        <w:ind w:firstLine="480"/>
      </w:pPr>
      <w:r>
        <w:rPr>
          <w:rFonts w:hint="eastAsia"/>
        </w:rPr>
        <w:t>1999</w:t>
      </w:r>
      <w:r>
        <w:rPr>
          <w:rFonts w:hint="eastAsia"/>
        </w:rPr>
        <w:t>年</w:t>
      </w:r>
      <w:r>
        <w:rPr>
          <w:rFonts w:hint="eastAsia"/>
        </w:rPr>
        <w:t>3</w:t>
      </w:r>
      <w:r>
        <w:rPr>
          <w:rFonts w:hint="eastAsia"/>
        </w:rPr>
        <w:t>月，意大利</w:t>
      </w:r>
      <w:r>
        <w:rPr>
          <w:rFonts w:hint="eastAsia"/>
        </w:rPr>
        <w:t>Cecchi Gori</w:t>
      </w:r>
      <w:r>
        <w:rPr>
          <w:rFonts w:hint="eastAsia"/>
        </w:rPr>
        <w:t>公司将其所拥有的影片打包，发行债券，并以其拥有的</w:t>
      </w:r>
      <w:r>
        <w:rPr>
          <w:rFonts w:hint="eastAsia"/>
        </w:rPr>
        <w:t>1000</w:t>
      </w:r>
      <w:r>
        <w:rPr>
          <w:rFonts w:hint="eastAsia"/>
        </w:rPr>
        <w:t>多部影片的销售额、许可电视台转播的费用进行偿付，这一债券被称为</w:t>
      </w:r>
      <w:proofErr w:type="gramStart"/>
      <w:r>
        <w:rPr>
          <w:rFonts w:hint="eastAsia"/>
        </w:rPr>
        <w:t>邦</w:t>
      </w:r>
      <w:proofErr w:type="gramEnd"/>
      <w:r>
        <w:rPr>
          <w:rFonts w:hint="eastAsia"/>
        </w:rPr>
        <w:t>德债券。</w:t>
      </w:r>
    </w:p>
    <w:p w14:paraId="3C60335D" w14:textId="77777777" w:rsidR="00525C4A" w:rsidRDefault="004041B3">
      <w:pPr>
        <w:ind w:firstLine="480"/>
        <w:rPr>
          <w:spacing w:val="-6"/>
        </w:rPr>
      </w:pPr>
      <w:r>
        <w:rPr>
          <w:rFonts w:hint="eastAsia"/>
        </w:rPr>
        <w:t>欧盟知识产权证券产品依靠市场力量，金融机构以自己持有的知识产权资产为基础发行证券，政府并未起到根本性作用。债券发行主体及发行中介结构资质和实力有强弱之分，在缺乏政府信用的情形下只能构建强有力的社会信用增级机制</w:t>
      </w:r>
      <w:r>
        <w:rPr>
          <w:rFonts w:hint="eastAsia"/>
          <w:spacing w:val="-6"/>
        </w:rPr>
        <w:t>，以此提升知识产权证券化的信用等级，确保债券的成功发行。</w:t>
      </w:r>
    </w:p>
    <w:p w14:paraId="519F393F" w14:textId="77777777" w:rsidR="00525C4A" w:rsidRDefault="004041B3">
      <w:pPr>
        <w:pStyle w:val="2"/>
      </w:pPr>
      <w:bookmarkStart w:id="17" w:name="_Toc36378084"/>
      <w:r>
        <w:rPr>
          <w:rFonts w:hint="eastAsia"/>
        </w:rPr>
        <w:t>（四）国内知识产权证券化现况</w:t>
      </w:r>
      <w:bookmarkEnd w:id="17"/>
    </w:p>
    <w:p w14:paraId="64640425" w14:textId="77777777" w:rsidR="00525C4A" w:rsidRDefault="004041B3">
      <w:pPr>
        <w:pStyle w:val="3"/>
        <w:ind w:firstLine="482"/>
      </w:pPr>
      <w:bookmarkStart w:id="18" w:name="_Toc36378085"/>
      <w:r>
        <w:rPr>
          <w:rFonts w:hint="eastAsia"/>
        </w:rPr>
        <w:t>1</w:t>
      </w:r>
      <w:r>
        <w:rPr>
          <w:rFonts w:hint="eastAsia"/>
        </w:rPr>
        <w:t>、政策支持</w:t>
      </w:r>
      <w:bookmarkEnd w:id="18"/>
    </w:p>
    <w:p w14:paraId="6BFFEC9C" w14:textId="77777777" w:rsidR="00525C4A" w:rsidRDefault="004041B3">
      <w:pPr>
        <w:ind w:firstLine="480"/>
      </w:pPr>
      <w:r>
        <w:rPr>
          <w:rFonts w:hint="eastAsia"/>
        </w:rPr>
        <w:t>2010</w:t>
      </w:r>
      <w:r>
        <w:rPr>
          <w:rFonts w:hint="eastAsia"/>
        </w:rPr>
        <w:t>年，《国家知识产权战略推进计划》对完善知识产权投融资体制、拓</w:t>
      </w:r>
      <w:r>
        <w:rPr>
          <w:rFonts w:hint="eastAsia"/>
        </w:rPr>
        <w:lastRenderedPageBreak/>
        <w:t>展知识产权投融资渠道、构建知识产权证券化交易平台、创新交易产品和服务内容提出了全新的要求。</w:t>
      </w:r>
    </w:p>
    <w:p w14:paraId="54250F76" w14:textId="77777777" w:rsidR="00525C4A" w:rsidRDefault="004041B3">
      <w:pPr>
        <w:ind w:firstLine="480"/>
      </w:pPr>
      <w:r>
        <w:rPr>
          <w:rFonts w:hint="eastAsia"/>
        </w:rPr>
        <w:t>2010</w:t>
      </w:r>
      <w:r>
        <w:rPr>
          <w:rFonts w:hint="eastAsia"/>
        </w:rPr>
        <w:t>年，《中国人民银行银监会关于进一步加强信贷结构调整促进国民经济平稳较快发展的指导意见》指出，要探索推进知识产权、自主品牌证券化融资的新途径。</w:t>
      </w:r>
    </w:p>
    <w:p w14:paraId="2CCF0633" w14:textId="77777777" w:rsidR="00525C4A" w:rsidRDefault="004041B3">
      <w:pPr>
        <w:ind w:firstLine="480"/>
      </w:pPr>
      <w:r>
        <w:rPr>
          <w:rFonts w:hint="eastAsia"/>
        </w:rPr>
        <w:t>2012</w:t>
      </w:r>
      <w:r>
        <w:rPr>
          <w:rFonts w:hint="eastAsia"/>
        </w:rPr>
        <w:t>年，国家知识产权局在该年度推进知识产权战略意见中指出，构建战略性新兴产业知识产权推进工作体系，加强战略性新兴产业中知识产权的分析和布局，突出战略性新兴产业的知识产权导向。</w:t>
      </w:r>
    </w:p>
    <w:p w14:paraId="1D2D8E53" w14:textId="77777777" w:rsidR="00525C4A" w:rsidRDefault="004041B3">
      <w:pPr>
        <w:ind w:firstLine="480"/>
      </w:pPr>
      <w:r>
        <w:rPr>
          <w:rFonts w:hint="eastAsia"/>
        </w:rPr>
        <w:t>2017</w:t>
      </w:r>
      <w:r>
        <w:rPr>
          <w:rFonts w:hint="eastAsia"/>
        </w:rPr>
        <w:t>年，国务院印发的《国家技术转移体系建设方案》提出，要完善多元化投融资服务，具体措施之一就是“开展知识产权证券化融资试点。在国家知识产权局的推动下，我国知识产权融资和保险业务迅速发展，为知识产权证券化打下基础”。</w:t>
      </w:r>
    </w:p>
    <w:p w14:paraId="77B9B7AD" w14:textId="77777777" w:rsidR="00525C4A" w:rsidRDefault="004041B3">
      <w:pPr>
        <w:ind w:firstLine="480"/>
      </w:pPr>
      <w:r>
        <w:rPr>
          <w:rFonts w:hint="eastAsia"/>
        </w:rPr>
        <w:t>2018</w:t>
      </w:r>
      <w:r>
        <w:rPr>
          <w:rFonts w:hint="eastAsia"/>
        </w:rPr>
        <w:t>年</w:t>
      </w:r>
      <w:r>
        <w:rPr>
          <w:rFonts w:hint="eastAsia"/>
        </w:rPr>
        <w:t>4</w:t>
      </w:r>
      <w:r>
        <w:rPr>
          <w:rFonts w:hint="eastAsia"/>
        </w:rPr>
        <w:t>月，《中共中央国务院关于支持海南全面深化改革开放的指导意见》更是明确提出，建立符合科研规律的科技创新管理制度和国际科技合作机制，探索知识产权证券化、完善知识产权信用担保机制。</w:t>
      </w:r>
    </w:p>
    <w:p w14:paraId="2AC86A86" w14:textId="77777777" w:rsidR="00525C4A" w:rsidRDefault="004041B3">
      <w:pPr>
        <w:ind w:firstLine="480"/>
      </w:pPr>
      <w:r>
        <w:rPr>
          <w:rFonts w:hint="eastAsia"/>
        </w:rPr>
        <w:t>2019</w:t>
      </w:r>
      <w:r>
        <w:rPr>
          <w:rFonts w:hint="eastAsia"/>
        </w:rPr>
        <w:t>年</w:t>
      </w:r>
      <w:r>
        <w:rPr>
          <w:rFonts w:hint="eastAsia"/>
        </w:rPr>
        <w:t>2</w:t>
      </w:r>
      <w:r>
        <w:rPr>
          <w:rFonts w:hint="eastAsia"/>
        </w:rPr>
        <w:t>月，《粤港澳大湾区发展规划纲要》正式印发，明确提出“开展知识产权证券化试点”。</w:t>
      </w:r>
      <w:r>
        <w:rPr>
          <w:rFonts w:hint="eastAsia"/>
        </w:rPr>
        <w:t>8</w:t>
      </w:r>
      <w:r>
        <w:rPr>
          <w:rFonts w:hint="eastAsia"/>
        </w:rPr>
        <w:t>月，中共中央、国务院印发《关于支持深圳建设中国特色社会主义先行示范区的意见》，也明确提出“探索知识产权证券化”。广州开发区是全国唯一经国务院批准开展知识产权运用和保护综合改革试验区域。</w:t>
      </w:r>
    </w:p>
    <w:p w14:paraId="7BC67E78" w14:textId="3C206071" w:rsidR="00525C4A" w:rsidRDefault="004041B3">
      <w:pPr>
        <w:pStyle w:val="g"/>
        <w:widowControl w:val="0"/>
        <w:pBdr>
          <w:bottom w:val="single" w:sz="6" w:space="1" w:color="auto"/>
        </w:pBdr>
        <w:tabs>
          <w:tab w:val="left" w:pos="3960"/>
        </w:tabs>
        <w:ind w:firstLineChars="200" w:firstLine="480"/>
        <w:jc w:val="both"/>
        <w:rPr>
          <w:rFonts w:ascii="Times New Roman"/>
          <w:sz w:val="24"/>
          <w:szCs w:val="24"/>
        </w:rPr>
      </w:pPr>
      <w:r>
        <w:rPr>
          <w:rFonts w:ascii="Times New Roman" w:hint="eastAsia"/>
          <w:sz w:val="24"/>
          <w:szCs w:val="24"/>
        </w:rPr>
        <w:t>图</w:t>
      </w:r>
      <w:r>
        <w:rPr>
          <w:rFonts w:ascii="Times New Roman" w:hint="eastAsia"/>
          <w:sz w:val="24"/>
          <w:szCs w:val="24"/>
        </w:rPr>
        <w:t>3.</w:t>
      </w:r>
      <w:r>
        <w:rPr>
          <w:rFonts w:ascii="Times New Roman"/>
          <w:sz w:val="24"/>
          <w:szCs w:val="24"/>
        </w:rPr>
        <w:t xml:space="preserve"> </w:t>
      </w:r>
      <w:r>
        <w:rPr>
          <w:rFonts w:ascii="Times New Roman" w:hint="eastAsia"/>
          <w:sz w:val="24"/>
          <w:szCs w:val="24"/>
        </w:rPr>
        <w:t>政策背景</w:t>
      </w:r>
    </w:p>
    <w:p w14:paraId="08EEC28D" w14:textId="23923C4F" w:rsidR="00525C4A" w:rsidRDefault="004041B3">
      <w:pPr>
        <w:pStyle w:val="g"/>
        <w:widowControl w:val="0"/>
        <w:pBdr>
          <w:bottom w:val="single" w:sz="6" w:space="1" w:color="auto"/>
        </w:pBdr>
        <w:tabs>
          <w:tab w:val="left" w:pos="3960"/>
        </w:tabs>
        <w:spacing w:line="160" w:lineRule="exact"/>
        <w:ind w:firstLineChars="200" w:firstLine="643"/>
        <w:jc w:val="both"/>
        <w:rPr>
          <w:rFonts w:ascii="Times New Roman"/>
        </w:rPr>
      </w:pPr>
      <w:r>
        <w:rPr>
          <w:rFonts w:ascii="仿宋" w:eastAsia="仿宋" w:hAnsi="仿宋" w:hint="eastAsia"/>
          <w:noProof/>
          <w:sz w:val="32"/>
          <w:szCs w:val="32"/>
        </w:rPr>
        <w:drawing>
          <wp:anchor distT="0" distB="0" distL="114300" distR="114300" simplePos="0" relativeHeight="251663360" behindDoc="0" locked="0" layoutInCell="1" allowOverlap="1" wp14:anchorId="1A388768" wp14:editId="599A05FD">
            <wp:simplePos x="0" y="0"/>
            <wp:positionH relativeFrom="margin">
              <wp:posOffset>18415</wp:posOffset>
            </wp:positionH>
            <wp:positionV relativeFrom="paragraph">
              <wp:posOffset>41910</wp:posOffset>
            </wp:positionV>
            <wp:extent cx="5039995" cy="1398905"/>
            <wp:effectExtent l="0" t="0" r="4445" b="317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8" cstate="print"/>
                    <a:srcRect b="13835"/>
                    <a:stretch>
                      <a:fillRect/>
                    </a:stretch>
                  </pic:blipFill>
                  <pic:spPr>
                    <a:xfrm>
                      <a:off x="0" y="0"/>
                      <a:ext cx="5039995" cy="1398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AA3F90" w14:textId="77777777" w:rsidR="00525C4A" w:rsidRDefault="004041B3">
      <w:pPr>
        <w:pStyle w:val="g"/>
        <w:widowControl w:val="0"/>
        <w:tabs>
          <w:tab w:val="left" w:pos="3960"/>
        </w:tabs>
        <w:ind w:firstLineChars="200" w:firstLine="420"/>
        <w:jc w:val="both"/>
        <w:rPr>
          <w:b w:val="0"/>
          <w:bCs/>
        </w:rPr>
      </w:pPr>
      <w:r>
        <w:rPr>
          <w:b w:val="0"/>
          <w:bCs/>
        </w:rPr>
        <w:lastRenderedPageBreak/>
        <w:t>资料来源：公开资料、兴业证券经济与金融研究院整理</w:t>
      </w:r>
    </w:p>
    <w:p w14:paraId="005554D4" w14:textId="77777777" w:rsidR="00525C4A" w:rsidRDefault="004041B3">
      <w:pPr>
        <w:pStyle w:val="3"/>
        <w:ind w:firstLine="482"/>
      </w:pPr>
      <w:bookmarkStart w:id="19" w:name="_Toc36378086"/>
      <w:r>
        <w:rPr>
          <w:rFonts w:hint="eastAsia"/>
        </w:rPr>
        <w:t>2</w:t>
      </w:r>
      <w:r>
        <w:rPr>
          <w:rFonts w:hint="eastAsia"/>
        </w:rPr>
        <w:t>、国内实践</w:t>
      </w:r>
      <w:bookmarkEnd w:id="19"/>
    </w:p>
    <w:p w14:paraId="64A3F080" w14:textId="77777777" w:rsidR="00525C4A" w:rsidRDefault="004041B3">
      <w:pPr>
        <w:ind w:firstLine="480"/>
      </w:pPr>
      <w:r>
        <w:rPr>
          <w:rFonts w:hint="eastAsia"/>
        </w:rPr>
        <w:t>近年来，我国知识产权运营体系建设持续加快，知识产权质押融资稳步发展，这为探索知识产权证券化提供了重要基础。</w:t>
      </w:r>
      <w:r>
        <w:rPr>
          <w:rFonts w:hint="eastAsia"/>
        </w:rPr>
        <w:t>2018</w:t>
      </w:r>
      <w:r>
        <w:rPr>
          <w:rFonts w:hint="eastAsia"/>
        </w:rPr>
        <w:t>年</w:t>
      </w:r>
      <w:r>
        <w:rPr>
          <w:rFonts w:hint="eastAsia"/>
        </w:rPr>
        <w:t>12</w:t>
      </w:r>
      <w:r>
        <w:rPr>
          <w:rFonts w:hint="eastAsia"/>
        </w:rPr>
        <w:t>月，知识产权证券化产品分别在深圳证券交易所、上海证券交易所获批发行，实现了我国知识产权</w:t>
      </w:r>
      <w:proofErr w:type="gramStart"/>
      <w:r>
        <w:rPr>
          <w:rFonts w:hint="eastAsia"/>
        </w:rPr>
        <w:t>证券化零</w:t>
      </w:r>
      <w:proofErr w:type="gramEnd"/>
      <w:r>
        <w:rPr>
          <w:rFonts w:hint="eastAsia"/>
        </w:rPr>
        <w:t>的突破。其中，深交所发行的知识产权证券化产品，基础资产全部为专利权、著作权等知识产权，总规模超</w:t>
      </w:r>
      <w:r>
        <w:rPr>
          <w:rFonts w:hint="eastAsia"/>
        </w:rPr>
        <w:t>7</w:t>
      </w:r>
      <w:r>
        <w:rPr>
          <w:rFonts w:hint="eastAsia"/>
        </w:rPr>
        <w:t>亿元。上交所发行的知识产权证券化产品，其基础资产为著作权等知识产权，总规模超</w:t>
      </w:r>
      <w:r>
        <w:rPr>
          <w:rFonts w:hint="eastAsia"/>
        </w:rPr>
        <w:t>4</w:t>
      </w:r>
      <w:r>
        <w:rPr>
          <w:rFonts w:hint="eastAsia"/>
        </w:rPr>
        <w:t>亿元。</w:t>
      </w:r>
    </w:p>
    <w:p w14:paraId="004E5425" w14:textId="77777777" w:rsidR="00525C4A" w:rsidRDefault="004041B3">
      <w:pPr>
        <w:ind w:firstLine="482"/>
      </w:pPr>
      <w:r>
        <w:rPr>
          <w:rFonts w:hint="eastAsia"/>
          <w:b/>
          <w:bCs/>
        </w:rPr>
        <w:t>案例</w:t>
      </w:r>
      <w:r>
        <w:rPr>
          <w:rFonts w:hint="eastAsia"/>
          <w:b/>
          <w:bCs/>
        </w:rPr>
        <w:t>1</w:t>
      </w:r>
      <w:r>
        <w:rPr>
          <w:rFonts w:hint="eastAsia"/>
          <w:b/>
          <w:bCs/>
        </w:rPr>
        <w:t>：</w:t>
      </w:r>
      <w:proofErr w:type="gramStart"/>
      <w:r>
        <w:rPr>
          <w:rFonts w:hint="eastAsia"/>
        </w:rPr>
        <w:t>奇艺世纪</w:t>
      </w:r>
      <w:proofErr w:type="gramEnd"/>
      <w:r>
        <w:rPr>
          <w:rFonts w:hint="eastAsia"/>
        </w:rPr>
        <w:t>知识产权供应链金融资产支持专项计划。</w:t>
      </w:r>
    </w:p>
    <w:p w14:paraId="57FEB1AF" w14:textId="3405072F" w:rsidR="00525C4A" w:rsidRDefault="004041B3">
      <w:pPr>
        <w:ind w:firstLine="480"/>
      </w:pPr>
      <w:r>
        <w:rPr>
          <w:rFonts w:hint="eastAsia"/>
        </w:rPr>
        <w:t>该项目发起人（原始权益人）为天津</w:t>
      </w:r>
      <w:proofErr w:type="gramStart"/>
      <w:r>
        <w:rPr>
          <w:rFonts w:hint="eastAsia"/>
        </w:rPr>
        <w:t>聚量商业保理</w:t>
      </w:r>
      <w:proofErr w:type="gramEnd"/>
      <w:r>
        <w:rPr>
          <w:rFonts w:hint="eastAsia"/>
        </w:rPr>
        <w:t>有限公司，基础资产为以北京奇艺世纪科技有限公司（</w:t>
      </w:r>
      <w:proofErr w:type="gramStart"/>
      <w:r>
        <w:rPr>
          <w:rFonts w:hint="eastAsia"/>
        </w:rPr>
        <w:t>爱奇艺</w:t>
      </w:r>
      <w:proofErr w:type="gramEnd"/>
      <w:r>
        <w:rPr>
          <w:rFonts w:hint="eastAsia"/>
        </w:rPr>
        <w:t>）为核心企业的供应</w:t>
      </w:r>
      <w:proofErr w:type="gramStart"/>
      <w:r>
        <w:rPr>
          <w:rFonts w:hint="eastAsia"/>
        </w:rPr>
        <w:t>链金融</w:t>
      </w:r>
      <w:proofErr w:type="gramEnd"/>
      <w:r>
        <w:rPr>
          <w:rFonts w:hint="eastAsia"/>
        </w:rPr>
        <w:t>应收</w:t>
      </w:r>
      <w:proofErr w:type="gramStart"/>
      <w:r>
        <w:rPr>
          <w:rFonts w:hint="eastAsia"/>
        </w:rPr>
        <w:t>账款保理债权</w:t>
      </w:r>
      <w:proofErr w:type="gramEnd"/>
      <w:r>
        <w:rPr>
          <w:rFonts w:hint="eastAsia"/>
        </w:rPr>
        <w:t>，以北京奇艺世纪科技有限公司供应链上游的内容供应企业拥有的对北京奇艺世纪科技有限公司的应收账款打包组合构造可预期的未来现金流，该等应收账款基于内容供应企业对北京奇艺世纪科技有限公司的内容供应，因此所涉及的知识产权均为影视类著作权。该项目发行规模为</w:t>
      </w:r>
      <w:r>
        <w:rPr>
          <w:rFonts w:hint="eastAsia"/>
        </w:rPr>
        <w:t>47,000</w:t>
      </w:r>
      <w:r>
        <w:rPr>
          <w:rFonts w:hint="eastAsia"/>
        </w:rPr>
        <w:t>万元，其中优先级</w:t>
      </w:r>
      <w:r>
        <w:rPr>
          <w:rFonts w:hint="eastAsia"/>
        </w:rPr>
        <w:t>A1</w:t>
      </w:r>
      <w:r>
        <w:rPr>
          <w:rFonts w:hint="eastAsia"/>
        </w:rPr>
        <w:t>：</w:t>
      </w:r>
      <w:r>
        <w:rPr>
          <w:rFonts w:hint="eastAsia"/>
        </w:rPr>
        <w:t>4,600</w:t>
      </w:r>
      <w:r>
        <w:rPr>
          <w:rFonts w:hint="eastAsia"/>
        </w:rPr>
        <w:t>万元。优先级</w:t>
      </w:r>
      <w:r>
        <w:rPr>
          <w:rFonts w:hint="eastAsia"/>
        </w:rPr>
        <w:t>A2</w:t>
      </w:r>
      <w:r>
        <w:rPr>
          <w:rFonts w:hint="eastAsia"/>
        </w:rPr>
        <w:t>：</w:t>
      </w:r>
      <w:r>
        <w:rPr>
          <w:rFonts w:hint="eastAsia"/>
        </w:rPr>
        <w:t>40,000</w:t>
      </w:r>
      <w:r>
        <w:rPr>
          <w:rFonts w:hint="eastAsia"/>
        </w:rPr>
        <w:t>万元，次级：</w:t>
      </w:r>
      <w:r>
        <w:rPr>
          <w:rFonts w:hint="eastAsia"/>
        </w:rPr>
        <w:t>2,400</w:t>
      </w:r>
      <w:r>
        <w:rPr>
          <w:rFonts w:hint="eastAsia"/>
        </w:rPr>
        <w:t>万元。</w:t>
      </w:r>
    </w:p>
    <w:p w14:paraId="3FF15B4F" w14:textId="4EF31D04" w:rsidR="004041B3" w:rsidRPr="00A36F73" w:rsidRDefault="004041B3" w:rsidP="00A36F73">
      <w:pPr>
        <w:pStyle w:val="g"/>
        <w:widowControl w:val="0"/>
        <w:tabs>
          <w:tab w:val="left" w:pos="3960"/>
        </w:tabs>
        <w:ind w:firstLineChars="200" w:firstLine="420"/>
        <w:jc w:val="both"/>
        <w:rPr>
          <w:rFonts w:ascii="Times New Roman" w:hint="eastAsia"/>
        </w:rPr>
      </w:pPr>
      <w:r w:rsidRPr="00A36F73">
        <w:rPr>
          <w:rFonts w:ascii="Times New Roman" w:hint="eastAsia"/>
        </w:rPr>
        <w:t>图</w:t>
      </w:r>
      <w:r w:rsidRPr="00A36F73">
        <w:rPr>
          <w:rFonts w:ascii="Times New Roman" w:hint="eastAsia"/>
        </w:rPr>
        <w:t>4</w:t>
      </w:r>
      <w:r w:rsidRPr="00A36F73">
        <w:rPr>
          <w:rFonts w:ascii="Times New Roman"/>
        </w:rPr>
        <w:t xml:space="preserve">. </w:t>
      </w:r>
      <w:proofErr w:type="gramStart"/>
      <w:r w:rsidRPr="00A36F73">
        <w:rPr>
          <w:rFonts w:ascii="Times New Roman" w:hint="eastAsia"/>
        </w:rPr>
        <w:t>奇艺世纪</w:t>
      </w:r>
      <w:proofErr w:type="gramEnd"/>
      <w:r w:rsidRPr="00A36F73">
        <w:rPr>
          <w:rFonts w:ascii="Times New Roman" w:hint="eastAsia"/>
        </w:rPr>
        <w:t>知识产权供应链金融资产支持专项计划交易结构</w:t>
      </w:r>
    </w:p>
    <w:p w14:paraId="36305FEA" w14:textId="0CB0CEED" w:rsidR="004041B3" w:rsidRPr="004041B3" w:rsidRDefault="004041B3" w:rsidP="004041B3">
      <w:pPr>
        <w:spacing w:line="276" w:lineRule="auto"/>
        <w:ind w:firstLineChars="0" w:firstLine="0"/>
        <w:jc w:val="center"/>
        <w:rPr>
          <w:rFonts w:hint="eastAsia"/>
        </w:rPr>
      </w:pPr>
      <w:r>
        <w:rPr>
          <w:rFonts w:hint="eastAsia"/>
          <w:noProof/>
        </w:rPr>
        <w:lastRenderedPageBreak/>
        <w:drawing>
          <wp:inline distT="0" distB="0" distL="0" distR="0" wp14:anchorId="69E3ECAD" wp14:editId="2F163BF4">
            <wp:extent cx="4465674" cy="2773966"/>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4.png"/>
                    <pic:cNvPicPr/>
                  </pic:nvPicPr>
                  <pic:blipFill rotWithShape="1">
                    <a:blip r:embed="rId19">
                      <a:extLst>
                        <a:ext uri="{28A0092B-C50C-407E-A947-70E740481C1C}">
                          <a14:useLocalDpi xmlns:a14="http://schemas.microsoft.com/office/drawing/2010/main" val="0"/>
                        </a:ext>
                      </a:extLst>
                    </a:blip>
                    <a:srcRect l="4191" t="6012" r="5091" b="4126"/>
                    <a:stretch/>
                  </pic:blipFill>
                  <pic:spPr bwMode="auto">
                    <a:xfrm>
                      <a:off x="0" y="0"/>
                      <a:ext cx="4465674" cy="2773966"/>
                    </a:xfrm>
                    <a:prstGeom prst="rect">
                      <a:avLst/>
                    </a:prstGeom>
                    <a:ln>
                      <a:noFill/>
                    </a:ln>
                    <a:extLst>
                      <a:ext uri="{53640926-AAD7-44D8-BBD7-CCE9431645EC}">
                        <a14:shadowObscured xmlns:a14="http://schemas.microsoft.com/office/drawing/2010/main"/>
                      </a:ext>
                    </a:extLst>
                  </pic:spPr>
                </pic:pic>
              </a:graphicData>
            </a:graphic>
          </wp:inline>
        </w:drawing>
      </w:r>
    </w:p>
    <w:p w14:paraId="60F360CA" w14:textId="77777777" w:rsidR="00525C4A" w:rsidRDefault="004041B3">
      <w:pPr>
        <w:ind w:firstLine="482"/>
      </w:pPr>
      <w:r>
        <w:rPr>
          <w:rFonts w:hint="eastAsia"/>
          <w:b/>
          <w:bCs/>
        </w:rPr>
        <w:t>案例</w:t>
      </w:r>
      <w:r>
        <w:rPr>
          <w:rFonts w:hint="eastAsia"/>
          <w:b/>
          <w:bCs/>
        </w:rPr>
        <w:t>2</w:t>
      </w:r>
      <w:r>
        <w:rPr>
          <w:rFonts w:hint="eastAsia"/>
          <w:b/>
          <w:bCs/>
        </w:rPr>
        <w:t>：</w:t>
      </w:r>
      <w:r>
        <w:rPr>
          <w:rFonts w:hint="eastAsia"/>
        </w:rPr>
        <w:t>第一创业</w:t>
      </w:r>
      <w:r>
        <w:rPr>
          <w:rFonts w:hint="eastAsia"/>
        </w:rPr>
        <w:t>-</w:t>
      </w:r>
      <w:r>
        <w:rPr>
          <w:rFonts w:hint="eastAsia"/>
        </w:rPr>
        <w:t>文科租赁一期资产支持专项计划。</w:t>
      </w:r>
    </w:p>
    <w:p w14:paraId="73D501EB" w14:textId="48A6AAC8" w:rsidR="00525C4A" w:rsidRDefault="004041B3">
      <w:pPr>
        <w:ind w:firstLine="480"/>
      </w:pPr>
      <w:r>
        <w:rPr>
          <w:rFonts w:hint="eastAsia"/>
        </w:rPr>
        <w:t>该项目发起人（原始权益人）为北京市文化科技融资租赁股份有限公司，基础资产为北京市文化科技融资租赁股份有限公司存量知识产权融资租赁项目的应收租金债权，以北京市文化科技融资租赁股份有限公司存量知识产权融资租赁项目中选取</w:t>
      </w:r>
      <w:r>
        <w:rPr>
          <w:rFonts w:hint="eastAsia"/>
        </w:rPr>
        <w:t>10</w:t>
      </w:r>
      <w:r>
        <w:rPr>
          <w:rFonts w:hint="eastAsia"/>
        </w:rPr>
        <w:t>个项目打包组合构造可预期的未来现金流，这些项目的融资租赁标的物均为软件著作权、影视剧本著作权、</w:t>
      </w:r>
      <w:proofErr w:type="gramStart"/>
      <w:r>
        <w:rPr>
          <w:rFonts w:hint="eastAsia"/>
        </w:rPr>
        <w:t>动漫形象</w:t>
      </w:r>
      <w:proofErr w:type="gramEnd"/>
      <w:r>
        <w:rPr>
          <w:rFonts w:hint="eastAsia"/>
        </w:rPr>
        <w:t>著作权、专利权等知识产权。该项目发行规模为</w:t>
      </w:r>
      <w:r>
        <w:rPr>
          <w:rFonts w:hint="eastAsia"/>
        </w:rPr>
        <w:t>73,300</w:t>
      </w:r>
      <w:r>
        <w:rPr>
          <w:rFonts w:hint="eastAsia"/>
        </w:rPr>
        <w:t>万元，其中优先级</w:t>
      </w:r>
      <w:r>
        <w:rPr>
          <w:rFonts w:hint="eastAsia"/>
        </w:rPr>
        <w:t>A1</w:t>
      </w:r>
      <w:r>
        <w:rPr>
          <w:rFonts w:hint="eastAsia"/>
        </w:rPr>
        <w:t>：</w:t>
      </w:r>
      <w:r>
        <w:rPr>
          <w:rFonts w:hint="eastAsia"/>
        </w:rPr>
        <w:t>31,000</w:t>
      </w:r>
      <w:r>
        <w:rPr>
          <w:rFonts w:hint="eastAsia"/>
        </w:rPr>
        <w:t>万元，优先级</w:t>
      </w:r>
      <w:r>
        <w:rPr>
          <w:rFonts w:hint="eastAsia"/>
        </w:rPr>
        <w:t>A2</w:t>
      </w:r>
      <w:r>
        <w:rPr>
          <w:rFonts w:hint="eastAsia"/>
        </w:rPr>
        <w:t>：</w:t>
      </w:r>
      <w:r>
        <w:rPr>
          <w:rFonts w:hint="eastAsia"/>
        </w:rPr>
        <w:t>27,500</w:t>
      </w:r>
      <w:r>
        <w:rPr>
          <w:rFonts w:hint="eastAsia"/>
        </w:rPr>
        <w:t>万元，优先级</w:t>
      </w:r>
      <w:r>
        <w:rPr>
          <w:rFonts w:hint="eastAsia"/>
        </w:rPr>
        <w:t>A3</w:t>
      </w:r>
      <w:r>
        <w:rPr>
          <w:rFonts w:hint="eastAsia"/>
        </w:rPr>
        <w:t>：</w:t>
      </w:r>
      <w:r>
        <w:rPr>
          <w:rFonts w:hint="eastAsia"/>
        </w:rPr>
        <w:t>11,100</w:t>
      </w:r>
      <w:r>
        <w:rPr>
          <w:rFonts w:hint="eastAsia"/>
        </w:rPr>
        <w:t>万元，次级</w:t>
      </w:r>
      <w:r>
        <w:rPr>
          <w:rFonts w:hint="eastAsia"/>
        </w:rPr>
        <w:t>3,700</w:t>
      </w:r>
      <w:r>
        <w:rPr>
          <w:rFonts w:hint="eastAsia"/>
        </w:rPr>
        <w:t>万元。值得一提的是，在该项目之前，北京市文化科技融资租赁股份有限公司已分别于</w:t>
      </w:r>
      <w:r>
        <w:rPr>
          <w:rFonts w:hint="eastAsia"/>
        </w:rPr>
        <w:t>2016</w:t>
      </w:r>
      <w:r>
        <w:rPr>
          <w:rFonts w:hint="eastAsia"/>
        </w:rPr>
        <w:t>年、</w:t>
      </w:r>
      <w:r>
        <w:rPr>
          <w:rFonts w:hint="eastAsia"/>
        </w:rPr>
        <w:t>2017</w:t>
      </w:r>
      <w:r>
        <w:rPr>
          <w:rFonts w:hint="eastAsia"/>
        </w:rPr>
        <w:t>年、</w:t>
      </w:r>
      <w:r>
        <w:rPr>
          <w:rFonts w:hint="eastAsia"/>
        </w:rPr>
        <w:t>2018</w:t>
      </w:r>
      <w:r>
        <w:rPr>
          <w:rFonts w:hint="eastAsia"/>
        </w:rPr>
        <w:t>年发行三期融资租赁租金债权资产支持专项计划，其中包含项目的融资租赁标的物涉及固定资产和无形资产，且三期中无形资产所占比例逐渐提高。</w:t>
      </w:r>
    </w:p>
    <w:p w14:paraId="3CF2891B" w14:textId="543DA4B5" w:rsidR="004041B3" w:rsidRDefault="004041B3" w:rsidP="00A36F73">
      <w:pPr>
        <w:pStyle w:val="g"/>
        <w:widowControl w:val="0"/>
        <w:tabs>
          <w:tab w:val="left" w:pos="3960"/>
        </w:tabs>
        <w:ind w:firstLineChars="200" w:firstLine="420"/>
        <w:jc w:val="both"/>
        <w:rPr>
          <w:rFonts w:ascii="Times New Roman"/>
        </w:rPr>
      </w:pPr>
      <w:r w:rsidRPr="00A36F73">
        <w:rPr>
          <w:rFonts w:ascii="Times New Roman" w:hint="eastAsia"/>
        </w:rPr>
        <w:t>图</w:t>
      </w:r>
      <w:r w:rsidRPr="00A36F73">
        <w:rPr>
          <w:rFonts w:ascii="Times New Roman"/>
        </w:rPr>
        <w:t xml:space="preserve">5. </w:t>
      </w:r>
      <w:r w:rsidRPr="00A36F73">
        <w:rPr>
          <w:rFonts w:ascii="Times New Roman" w:hint="eastAsia"/>
        </w:rPr>
        <w:t>第一创业</w:t>
      </w:r>
      <w:r w:rsidRPr="00A36F73">
        <w:rPr>
          <w:rFonts w:ascii="Times New Roman" w:hint="eastAsia"/>
        </w:rPr>
        <w:t>-</w:t>
      </w:r>
      <w:r w:rsidRPr="00A36F73">
        <w:rPr>
          <w:rFonts w:ascii="Times New Roman" w:hint="eastAsia"/>
        </w:rPr>
        <w:t>文科租赁一期资产支持专项计划交易结构</w:t>
      </w:r>
    </w:p>
    <w:p w14:paraId="7F76C6C0" w14:textId="4C2AC83B" w:rsidR="00525C4A" w:rsidRDefault="00521AA8" w:rsidP="00521AA8">
      <w:pPr>
        <w:spacing w:line="276" w:lineRule="auto"/>
        <w:ind w:firstLineChars="0" w:firstLine="0"/>
        <w:jc w:val="center"/>
        <w:rPr>
          <w:rFonts w:hint="eastAsia"/>
        </w:rPr>
      </w:pPr>
      <w:r>
        <w:rPr>
          <w:rFonts w:hint="eastAsia"/>
          <w:noProof/>
        </w:rPr>
        <w:lastRenderedPageBreak/>
        <w:drawing>
          <wp:inline distT="0" distB="0" distL="0" distR="0" wp14:anchorId="205057DA" wp14:editId="09E31409">
            <wp:extent cx="4167963" cy="2659006"/>
            <wp:effectExtent l="0" t="0" r="444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1826" cy="2661471"/>
                    </a:xfrm>
                    <a:prstGeom prst="rect">
                      <a:avLst/>
                    </a:prstGeom>
                  </pic:spPr>
                </pic:pic>
              </a:graphicData>
            </a:graphic>
          </wp:inline>
        </w:drawing>
      </w:r>
    </w:p>
    <w:p w14:paraId="0AB3B84D" w14:textId="77777777" w:rsidR="00525C4A" w:rsidRDefault="004041B3">
      <w:pPr>
        <w:pStyle w:val="2"/>
        <w:rPr>
          <w:rFonts w:ascii="仿宋" w:eastAsia="仿宋" w:hAnsi="仿宋"/>
        </w:rPr>
      </w:pPr>
      <w:bookmarkStart w:id="20" w:name="_Toc36378087"/>
      <w:r>
        <w:rPr>
          <w:rFonts w:hint="eastAsia"/>
        </w:rPr>
        <w:t>（五）国内外知识产权证券化发展趋势</w:t>
      </w:r>
      <w:bookmarkEnd w:id="20"/>
    </w:p>
    <w:p w14:paraId="2BB221E3" w14:textId="77777777" w:rsidR="00525C4A" w:rsidRDefault="004041B3">
      <w:pPr>
        <w:ind w:firstLine="482"/>
        <w:rPr>
          <w:b/>
          <w:bCs/>
        </w:rPr>
      </w:pPr>
      <w:r>
        <w:rPr>
          <w:rFonts w:hint="eastAsia"/>
          <w:b/>
          <w:bCs/>
        </w:rPr>
        <w:t>趋势</w:t>
      </w:r>
      <w:proofErr w:type="gramStart"/>
      <w:r>
        <w:rPr>
          <w:rFonts w:hint="eastAsia"/>
          <w:b/>
          <w:bCs/>
        </w:rPr>
        <w:t>一</w:t>
      </w:r>
      <w:proofErr w:type="gramEnd"/>
      <w:r>
        <w:rPr>
          <w:rFonts w:hint="eastAsia"/>
          <w:b/>
          <w:bCs/>
        </w:rPr>
        <w:t>：从金融角度发展。</w:t>
      </w:r>
    </w:p>
    <w:p w14:paraId="6BCAD8FB" w14:textId="77777777" w:rsidR="00525C4A" w:rsidRDefault="004041B3">
      <w:pPr>
        <w:ind w:firstLine="480"/>
      </w:pPr>
      <w:r>
        <w:rPr>
          <w:rFonts w:hint="eastAsia"/>
        </w:rPr>
        <w:t>知识产权专业管理机构担任发起人（原始权益人），这个专业机构向知识产权权利人收购其知识产权或权利金收益，组成资产池后再以资产池所能产生的现金流进行证券化。透过</w:t>
      </w:r>
      <w:proofErr w:type="gramStart"/>
      <w:r>
        <w:rPr>
          <w:rFonts w:hint="eastAsia"/>
        </w:rPr>
        <w:t>此资产池实现</w:t>
      </w:r>
      <w:proofErr w:type="gramEnd"/>
      <w:r>
        <w:rPr>
          <w:rFonts w:hint="eastAsia"/>
        </w:rPr>
        <w:t>风险分散的效果，使基础资产产生的收益稳定，消除只有单一知识产权可能存在的风险。譬如，第一件音乐著作权证券化</w:t>
      </w:r>
      <w:r>
        <w:rPr>
          <w:rFonts w:hint="eastAsia"/>
        </w:rPr>
        <w:t>David Bowie Bond</w:t>
      </w:r>
      <w:r>
        <w:rPr>
          <w:rFonts w:hint="eastAsia"/>
        </w:rPr>
        <w:t>及第一件医药专利证券化</w:t>
      </w:r>
      <w:r>
        <w:rPr>
          <w:rFonts w:hint="eastAsia"/>
        </w:rPr>
        <w:t>Yale University</w:t>
      </w:r>
      <w:r>
        <w:rPr>
          <w:rFonts w:hint="eastAsia"/>
        </w:rPr>
        <w:t>产品，均属于收购资产组合。</w:t>
      </w:r>
    </w:p>
    <w:p w14:paraId="5FF2F504" w14:textId="77777777" w:rsidR="00525C4A" w:rsidRDefault="004041B3">
      <w:pPr>
        <w:ind w:firstLine="482"/>
        <w:rPr>
          <w:b/>
          <w:bCs/>
        </w:rPr>
      </w:pPr>
      <w:r>
        <w:rPr>
          <w:rFonts w:hint="eastAsia"/>
          <w:b/>
          <w:bCs/>
        </w:rPr>
        <w:t>趋势二：从知识产权运营角度发展。</w:t>
      </w:r>
    </w:p>
    <w:p w14:paraId="06AE8096" w14:textId="77777777" w:rsidR="00525C4A" w:rsidRDefault="004041B3">
      <w:pPr>
        <w:ind w:firstLine="480"/>
      </w:pPr>
      <w:r>
        <w:rPr>
          <w:rFonts w:hint="eastAsia"/>
        </w:rPr>
        <w:t>从近年知识产权证券化的成功案例看，多数集中于著作权证券化市场，主要原因在于音乐、电影等著作权其相关之历史收益数据明确，有利于知识产权价值评估和计算未来收益；商标权与商业品牌的成功案例包括</w:t>
      </w:r>
      <w:r>
        <w:rPr>
          <w:rFonts w:hint="eastAsia"/>
        </w:rPr>
        <w:t>Dunkin Donuts</w:t>
      </w:r>
      <w:r>
        <w:rPr>
          <w:rFonts w:hint="eastAsia"/>
        </w:rPr>
        <w:t>、</w:t>
      </w:r>
      <w:r>
        <w:rPr>
          <w:rFonts w:hint="eastAsia"/>
        </w:rPr>
        <w:t>Guess Inc.</w:t>
      </w:r>
      <w:r>
        <w:rPr>
          <w:rFonts w:hint="eastAsia"/>
        </w:rPr>
        <w:t>、</w:t>
      </w:r>
      <w:r>
        <w:rPr>
          <w:rFonts w:hint="eastAsia"/>
        </w:rPr>
        <w:t>Athlete</w:t>
      </w:r>
      <w:proofErr w:type="gramStart"/>
      <w:r>
        <w:t>’</w:t>
      </w:r>
      <w:proofErr w:type="gramEnd"/>
      <w:r>
        <w:rPr>
          <w:rFonts w:hint="eastAsia"/>
        </w:rPr>
        <w:t>s Foot</w:t>
      </w:r>
      <w:r>
        <w:rPr>
          <w:rFonts w:hint="eastAsia"/>
        </w:rPr>
        <w:t>与</w:t>
      </w:r>
      <w:r>
        <w:rPr>
          <w:rFonts w:hint="eastAsia"/>
        </w:rPr>
        <w:t>Candies Inc.</w:t>
      </w:r>
      <w:r>
        <w:rPr>
          <w:rFonts w:hint="eastAsia"/>
        </w:rPr>
        <w:t>等，其特征亦在于商标与品牌授权产生的收益明确，</w:t>
      </w:r>
      <w:bookmarkStart w:id="21" w:name="_Hlk35783868"/>
      <w:r>
        <w:rPr>
          <w:rFonts w:hint="eastAsia"/>
        </w:rPr>
        <w:t>知识产权价值评估和计算未来收益较</w:t>
      </w:r>
      <w:bookmarkEnd w:id="21"/>
      <w:r>
        <w:rPr>
          <w:rFonts w:hint="eastAsia"/>
        </w:rPr>
        <w:t>容易；专利权证券化的案例则集中于生物医药专利，原因也较为近似，专利药品的潜在需求量与人口数、发病率息息相关，因此可以合理估计其未来收益，从而予以证</w:t>
      </w:r>
      <w:r>
        <w:rPr>
          <w:rFonts w:hint="eastAsia"/>
        </w:rPr>
        <w:lastRenderedPageBreak/>
        <w:t>券化。</w:t>
      </w:r>
    </w:p>
    <w:p w14:paraId="6F879DB5" w14:textId="77777777" w:rsidR="00525C4A" w:rsidRDefault="004041B3">
      <w:pPr>
        <w:pStyle w:val="1"/>
      </w:pPr>
      <w:bookmarkStart w:id="22" w:name="_Toc36378088"/>
      <w:r>
        <w:rPr>
          <w:rFonts w:hint="eastAsia"/>
        </w:rPr>
        <w:lastRenderedPageBreak/>
        <w:t>四、广东省知识产权证券化试点实践</w:t>
      </w:r>
      <w:bookmarkEnd w:id="22"/>
    </w:p>
    <w:p w14:paraId="40BA10D4" w14:textId="77777777" w:rsidR="00525C4A" w:rsidRDefault="004041B3">
      <w:pPr>
        <w:ind w:firstLine="480"/>
      </w:pPr>
      <w:r>
        <w:rPr>
          <w:rFonts w:hint="eastAsia"/>
        </w:rPr>
        <w:t>2019</w:t>
      </w:r>
      <w:r>
        <w:rPr>
          <w:rFonts w:hint="eastAsia"/>
        </w:rPr>
        <w:t>年，广东知识产权证券化实现零的突破，连续上市发行两支知识产权证券化产品，</w:t>
      </w:r>
      <w:proofErr w:type="gramStart"/>
      <w:r>
        <w:rPr>
          <w:rFonts w:hint="eastAsia"/>
        </w:rPr>
        <w:t>即</w:t>
      </w:r>
      <w:r>
        <w:t>兴业圆</w:t>
      </w:r>
      <w:proofErr w:type="gramEnd"/>
      <w:r>
        <w:t>融</w:t>
      </w:r>
      <w:r>
        <w:t>——</w:t>
      </w:r>
      <w:r>
        <w:t>广州开发区专利许可资产支持计划</w:t>
      </w:r>
      <w:r>
        <w:rPr>
          <w:rFonts w:hint="eastAsia"/>
        </w:rPr>
        <w:t>和深圳</w:t>
      </w:r>
      <w:r>
        <w:t>平安证券</w:t>
      </w:r>
      <w:r>
        <w:t>-</w:t>
      </w:r>
      <w:r>
        <w:t>高新投知识产权</w:t>
      </w:r>
      <w:r>
        <w:t>1</w:t>
      </w:r>
      <w:r>
        <w:t>号资产支持专项计划</w:t>
      </w:r>
      <w:r>
        <w:rPr>
          <w:rFonts w:hint="eastAsia"/>
        </w:rPr>
        <w:t>。其中，</w:t>
      </w:r>
      <w:r>
        <w:t>兴业圆融</w:t>
      </w:r>
      <w:r>
        <w:t>——</w:t>
      </w:r>
      <w:r>
        <w:t>广州开发区专利许可资产支持计划</w:t>
      </w:r>
      <w:r>
        <w:rPr>
          <w:rFonts w:hint="eastAsia"/>
        </w:rPr>
        <w:t>为首支以</w:t>
      </w:r>
      <w:proofErr w:type="gramStart"/>
      <w:r>
        <w:rPr>
          <w:rFonts w:hint="eastAsia"/>
        </w:rPr>
        <w:t>纯专利</w:t>
      </w:r>
      <w:proofErr w:type="gramEnd"/>
      <w:r>
        <w:rPr>
          <w:rFonts w:hint="eastAsia"/>
        </w:rPr>
        <w:t>为基础资产发行的证券化产品。</w:t>
      </w:r>
    </w:p>
    <w:p w14:paraId="3D247A65" w14:textId="77777777" w:rsidR="00525C4A" w:rsidRDefault="004041B3">
      <w:pPr>
        <w:pStyle w:val="2"/>
      </w:pPr>
      <w:bookmarkStart w:id="23" w:name="_Toc36378089"/>
      <w:r>
        <w:rPr>
          <w:rFonts w:hint="eastAsia"/>
        </w:rPr>
        <w:t>（一）</w:t>
      </w:r>
      <w:r>
        <w:t>兴业圆融</w:t>
      </w:r>
      <w:r>
        <w:t>——</w:t>
      </w:r>
      <w:r>
        <w:t>广州开发区专利许可资产支持计划</w:t>
      </w:r>
      <w:bookmarkEnd w:id="23"/>
    </w:p>
    <w:p w14:paraId="3B784551" w14:textId="77777777" w:rsidR="00525C4A" w:rsidRDefault="004041B3">
      <w:pPr>
        <w:ind w:firstLine="480"/>
      </w:pPr>
      <w:r>
        <w:rPr>
          <w:rFonts w:hint="eastAsia"/>
        </w:rPr>
        <w:t>2019</w:t>
      </w:r>
      <w:r>
        <w:rPr>
          <w:rFonts w:hint="eastAsia"/>
        </w:rPr>
        <w:t>年</w:t>
      </w:r>
      <w:r>
        <w:rPr>
          <w:rFonts w:hint="eastAsia"/>
        </w:rPr>
        <w:t>9</w:t>
      </w:r>
      <w:r>
        <w:rPr>
          <w:rFonts w:hint="eastAsia"/>
        </w:rPr>
        <w:t>月，</w:t>
      </w:r>
      <w:r>
        <w:t>广州开发区在深圳证券交易所发行</w:t>
      </w:r>
      <w:r>
        <w:rPr>
          <w:rFonts w:hint="eastAsia"/>
        </w:rPr>
        <w:t>我国首支</w:t>
      </w:r>
      <w:proofErr w:type="gramStart"/>
      <w:r>
        <w:rPr>
          <w:rFonts w:hint="eastAsia"/>
        </w:rPr>
        <w:t>纯</w:t>
      </w:r>
      <w:r>
        <w:t>专利</w:t>
      </w:r>
      <w:proofErr w:type="gramEnd"/>
      <w:r>
        <w:t>证券化产品</w:t>
      </w:r>
      <w:r>
        <w:t>“</w:t>
      </w:r>
      <w:r>
        <w:t>兴业圆融</w:t>
      </w:r>
      <w:r>
        <w:t>——</w:t>
      </w:r>
      <w:r>
        <w:t>广州开发区专利许可资产支持计划</w:t>
      </w:r>
      <w:r>
        <w:rPr>
          <w:rFonts w:hint="eastAsia"/>
        </w:rPr>
        <w:t>”。</w:t>
      </w:r>
      <w:r>
        <w:t>该产品以民营中小科技企业专利权许可费用作为基础资产，</w:t>
      </w:r>
      <w:r>
        <w:rPr>
          <w:rFonts w:hint="eastAsia"/>
        </w:rPr>
        <w:t>基础</w:t>
      </w:r>
      <w:r>
        <w:t>资产包括威创、华银医学、佳德环保、立达尔生物、中设机器人</w:t>
      </w:r>
      <w:r>
        <w:rPr>
          <w:rFonts w:hint="eastAsia"/>
        </w:rPr>
        <w:t>等</w:t>
      </w:r>
      <w:r>
        <w:t>11</w:t>
      </w:r>
      <w:r>
        <w:t>家民营企业的</w:t>
      </w:r>
      <w:r>
        <w:t>103</w:t>
      </w:r>
      <w:r>
        <w:t>件发明专利、</w:t>
      </w:r>
      <w:r>
        <w:t>37</w:t>
      </w:r>
      <w:r>
        <w:t>件实用新型专利，由广州开发区金控集团子公司广州凯得融资租赁有限公司承担发起人（原始权益人）角色</w:t>
      </w:r>
      <w:r>
        <w:rPr>
          <w:rFonts w:hint="eastAsia"/>
        </w:rPr>
        <w:t>，</w:t>
      </w:r>
      <w:r>
        <w:t>发行规模为</w:t>
      </w:r>
      <w:r>
        <w:t>3.01</w:t>
      </w:r>
      <w:r>
        <w:t>亿元人民币，债项评级达到</w:t>
      </w:r>
      <w:r>
        <w:t>AAA</w:t>
      </w:r>
      <w:r>
        <w:t>级。</w:t>
      </w:r>
      <w:r>
        <w:rPr>
          <w:rFonts w:hint="eastAsia"/>
        </w:rPr>
        <w:t>该</w:t>
      </w:r>
      <w:r>
        <w:t>产品获得中信银行等投资机构参与投资认购，项目获批认购倍数达到</w:t>
      </w:r>
      <w:r>
        <w:t>2.25</w:t>
      </w:r>
      <w:r>
        <w:t>。产品最终发行票面利率为</w:t>
      </w:r>
      <w:r>
        <w:t>4.00%/</w:t>
      </w:r>
      <w:r>
        <w:t>年。通过这个产品，每家企业可获得</w:t>
      </w:r>
      <w:r>
        <w:t>300</w:t>
      </w:r>
      <w:r>
        <w:t>万至</w:t>
      </w:r>
      <w:r>
        <w:t>4500</w:t>
      </w:r>
      <w:r>
        <w:t>万元人民币不等的融资款项，有助民营中小科技企业解决融资难题。</w:t>
      </w:r>
    </w:p>
    <w:p w14:paraId="1007F8FD" w14:textId="77777777" w:rsidR="00525C4A" w:rsidRDefault="004041B3">
      <w:pPr>
        <w:pStyle w:val="3"/>
        <w:ind w:firstLine="482"/>
      </w:pPr>
      <w:bookmarkStart w:id="24" w:name="_Toc36378090"/>
      <w:r>
        <w:rPr>
          <w:rFonts w:hint="eastAsia"/>
        </w:rPr>
        <w:t>1</w:t>
      </w:r>
      <w:r>
        <w:rPr>
          <w:rFonts w:hint="eastAsia"/>
        </w:rPr>
        <w:t>、产品要素、基础资产构建流程及交易机构</w:t>
      </w:r>
      <w:bookmarkEnd w:id="24"/>
    </w:p>
    <w:p w14:paraId="1CE7BD1B" w14:textId="77777777" w:rsidR="00525C4A" w:rsidRDefault="004041B3">
      <w:pPr>
        <w:ind w:firstLine="480"/>
      </w:pPr>
      <w:r>
        <w:rPr>
          <w:rFonts w:hint="eastAsia"/>
        </w:rPr>
        <w:t>“</w:t>
      </w:r>
      <w:r>
        <w:t>兴业圆融</w:t>
      </w:r>
      <w:r>
        <w:t>——</w:t>
      </w:r>
      <w:r>
        <w:t>广州开发区专利许可资产支持计划</w:t>
      </w:r>
      <w:r>
        <w:rPr>
          <w:rFonts w:hint="eastAsia"/>
        </w:rPr>
        <w:t>”产品要素、基础资产构建流程及交易机构如下图：</w:t>
      </w:r>
    </w:p>
    <w:p w14:paraId="014E7B52" w14:textId="77777777" w:rsidR="00525C4A" w:rsidRDefault="00525C4A">
      <w:pPr>
        <w:pStyle w:val="e"/>
        <w:spacing w:beforeLines="0" w:afterLines="0" w:line="560" w:lineRule="exact"/>
        <w:ind w:firstLine="640"/>
        <w:rPr>
          <w:rFonts w:ascii="仿宋" w:eastAsia="仿宋" w:hAnsi="仿宋"/>
          <w:sz w:val="32"/>
          <w:szCs w:val="32"/>
        </w:rPr>
      </w:pPr>
    </w:p>
    <w:p w14:paraId="3ADDA958" w14:textId="77777777" w:rsidR="00525C4A" w:rsidRDefault="00525C4A">
      <w:pPr>
        <w:pStyle w:val="e"/>
        <w:spacing w:beforeLines="0" w:afterLines="0" w:line="560" w:lineRule="exact"/>
        <w:ind w:firstLine="640"/>
        <w:rPr>
          <w:rFonts w:ascii="仿宋" w:eastAsia="仿宋" w:hAnsi="仿宋"/>
          <w:sz w:val="32"/>
          <w:szCs w:val="32"/>
        </w:rPr>
      </w:pPr>
    </w:p>
    <w:p w14:paraId="64B6636B" w14:textId="77777777" w:rsidR="00525C4A" w:rsidRDefault="00525C4A">
      <w:pPr>
        <w:pStyle w:val="e"/>
        <w:spacing w:beforeLines="0" w:afterLines="0" w:line="560" w:lineRule="exact"/>
        <w:ind w:firstLine="640"/>
        <w:rPr>
          <w:rFonts w:ascii="仿宋" w:eastAsia="仿宋" w:hAnsi="仿宋"/>
          <w:sz w:val="32"/>
          <w:szCs w:val="32"/>
        </w:rPr>
      </w:pPr>
    </w:p>
    <w:p w14:paraId="4410EBFE" w14:textId="77777777" w:rsidR="00525C4A" w:rsidRDefault="00525C4A">
      <w:pPr>
        <w:pStyle w:val="e"/>
        <w:spacing w:beforeLines="0" w:afterLines="0" w:line="560" w:lineRule="exact"/>
        <w:ind w:firstLine="640"/>
        <w:rPr>
          <w:rFonts w:ascii="仿宋" w:eastAsia="仿宋" w:hAnsi="仿宋"/>
          <w:sz w:val="32"/>
          <w:szCs w:val="32"/>
        </w:rPr>
      </w:pPr>
    </w:p>
    <w:p w14:paraId="583A4D3B" w14:textId="77777777" w:rsidR="00525C4A" w:rsidRDefault="004041B3">
      <w:pPr>
        <w:ind w:firstLine="480"/>
        <w:rPr>
          <w:rFonts w:ascii="Times New Roman"/>
        </w:rPr>
      </w:pPr>
      <w:r>
        <w:rPr>
          <w:rFonts w:ascii="Times New Roman"/>
        </w:rPr>
        <w:br w:type="page"/>
      </w:r>
    </w:p>
    <w:p w14:paraId="4FB1C818" w14:textId="77777777" w:rsidR="00525C4A" w:rsidRDefault="00525C4A">
      <w:pPr>
        <w:pStyle w:val="g"/>
        <w:widowControl w:val="0"/>
        <w:pBdr>
          <w:bottom w:val="single" w:sz="6" w:space="1" w:color="auto"/>
        </w:pBdr>
        <w:tabs>
          <w:tab w:val="left" w:pos="3960"/>
        </w:tabs>
        <w:ind w:firstLineChars="200" w:firstLine="420"/>
        <w:jc w:val="both"/>
        <w:rPr>
          <w:rFonts w:ascii="Times New Roman"/>
        </w:rPr>
      </w:pPr>
    </w:p>
    <w:p w14:paraId="72561DA1" w14:textId="2E5DC371" w:rsidR="00525C4A" w:rsidRDefault="00521AA8">
      <w:pPr>
        <w:pStyle w:val="g"/>
        <w:widowControl w:val="0"/>
        <w:pBdr>
          <w:bottom w:val="single" w:sz="6" w:space="1" w:color="auto"/>
        </w:pBdr>
        <w:tabs>
          <w:tab w:val="left" w:pos="3960"/>
        </w:tabs>
        <w:ind w:firstLineChars="200" w:firstLine="480"/>
        <w:jc w:val="both"/>
        <w:rPr>
          <w:rFonts w:ascii="Times New Roman"/>
          <w:sz w:val="24"/>
          <w:szCs w:val="24"/>
        </w:rPr>
      </w:pPr>
      <w:r>
        <w:rPr>
          <w:rFonts w:ascii="Times New Roman" w:hint="eastAsia"/>
          <w:sz w:val="24"/>
          <w:szCs w:val="24"/>
        </w:rPr>
        <w:t>表</w:t>
      </w:r>
      <w:r>
        <w:rPr>
          <w:rFonts w:ascii="Times New Roman"/>
          <w:sz w:val="24"/>
          <w:szCs w:val="24"/>
        </w:rPr>
        <w:t>2</w:t>
      </w:r>
      <w:r w:rsidR="004041B3">
        <w:rPr>
          <w:rFonts w:ascii="Times New Roman" w:hint="eastAsia"/>
          <w:sz w:val="24"/>
          <w:szCs w:val="24"/>
        </w:rPr>
        <w:t>.</w:t>
      </w:r>
      <w:r w:rsidR="004041B3">
        <w:rPr>
          <w:rFonts w:ascii="Times New Roman"/>
          <w:sz w:val="24"/>
          <w:szCs w:val="24"/>
        </w:rPr>
        <w:t xml:space="preserve"> </w:t>
      </w:r>
      <w:r w:rsidR="004041B3">
        <w:rPr>
          <w:rFonts w:ascii="Times New Roman"/>
          <w:sz w:val="24"/>
          <w:szCs w:val="24"/>
        </w:rPr>
        <w:t>产品要素</w:t>
      </w:r>
    </w:p>
    <w:p w14:paraId="6CBB8C51" w14:textId="77777777" w:rsidR="00525C4A" w:rsidRDefault="004041B3">
      <w:pPr>
        <w:pStyle w:val="g"/>
        <w:widowControl w:val="0"/>
        <w:pBdr>
          <w:bottom w:val="single" w:sz="6" w:space="1" w:color="auto"/>
        </w:pBdr>
        <w:tabs>
          <w:tab w:val="left" w:pos="3960"/>
        </w:tabs>
        <w:jc w:val="center"/>
        <w:rPr>
          <w:rFonts w:ascii="Times New Roman"/>
        </w:rPr>
      </w:pPr>
      <w:r>
        <w:rPr>
          <w:noProof/>
        </w:rPr>
        <w:drawing>
          <wp:inline distT="0" distB="0" distL="0" distR="0" wp14:anchorId="0E928248" wp14:editId="259CADF8">
            <wp:extent cx="5039995" cy="2880995"/>
            <wp:effectExtent l="0" t="0" r="444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1" cstate="print"/>
                    <a:srcRect/>
                    <a:stretch>
                      <a:fillRect/>
                    </a:stretch>
                  </pic:blipFill>
                  <pic:spPr>
                    <a:xfrm>
                      <a:off x="0" y="0"/>
                      <a:ext cx="5039995" cy="2880995"/>
                    </a:xfrm>
                    <a:prstGeom prst="rect">
                      <a:avLst/>
                    </a:prstGeom>
                    <a:noFill/>
                    <a:ln w="9525">
                      <a:noFill/>
                      <a:miter lim="800000"/>
                      <a:headEnd/>
                      <a:tailEnd/>
                    </a:ln>
                  </pic:spPr>
                </pic:pic>
              </a:graphicData>
            </a:graphic>
          </wp:inline>
        </w:drawing>
      </w:r>
    </w:p>
    <w:p w14:paraId="7202EFBE" w14:textId="77777777" w:rsidR="00525C4A" w:rsidRDefault="004041B3">
      <w:pPr>
        <w:pStyle w:val="g"/>
        <w:widowControl w:val="0"/>
        <w:tabs>
          <w:tab w:val="left" w:pos="3960"/>
        </w:tabs>
        <w:ind w:firstLineChars="200" w:firstLine="420"/>
        <w:jc w:val="both"/>
        <w:rPr>
          <w:b w:val="0"/>
          <w:bCs/>
        </w:rPr>
      </w:pPr>
      <w:r>
        <w:rPr>
          <w:b w:val="0"/>
          <w:bCs/>
        </w:rPr>
        <w:t>资料来源：公开资料、兴业证券经济与金融研究院整理</w:t>
      </w:r>
    </w:p>
    <w:p w14:paraId="75B430A6" w14:textId="77777777" w:rsidR="00525C4A" w:rsidRDefault="00525C4A">
      <w:pPr>
        <w:pStyle w:val="g"/>
        <w:widowControl w:val="0"/>
        <w:tabs>
          <w:tab w:val="left" w:pos="3960"/>
        </w:tabs>
        <w:ind w:firstLineChars="200" w:firstLine="420"/>
        <w:jc w:val="both"/>
        <w:rPr>
          <w:b w:val="0"/>
          <w:bCs/>
        </w:rPr>
      </w:pPr>
    </w:p>
    <w:p w14:paraId="1CBB4E69" w14:textId="77777777" w:rsidR="00525C4A" w:rsidRDefault="00525C4A">
      <w:pPr>
        <w:pStyle w:val="g"/>
        <w:widowControl w:val="0"/>
        <w:tabs>
          <w:tab w:val="left" w:pos="3960"/>
        </w:tabs>
        <w:ind w:firstLineChars="200" w:firstLine="420"/>
        <w:jc w:val="both"/>
        <w:rPr>
          <w:b w:val="0"/>
          <w:bCs/>
        </w:rPr>
      </w:pPr>
    </w:p>
    <w:p w14:paraId="58BBE098" w14:textId="77777777" w:rsidR="00525C4A" w:rsidRDefault="00525C4A">
      <w:pPr>
        <w:pStyle w:val="g"/>
        <w:widowControl w:val="0"/>
        <w:tabs>
          <w:tab w:val="left" w:pos="3960"/>
        </w:tabs>
        <w:ind w:firstLineChars="200" w:firstLine="420"/>
        <w:jc w:val="both"/>
        <w:rPr>
          <w:b w:val="0"/>
          <w:bCs/>
        </w:rPr>
      </w:pPr>
    </w:p>
    <w:p w14:paraId="3AA407E0" w14:textId="7BDBBB4D" w:rsidR="00525C4A" w:rsidRDefault="004041B3">
      <w:pPr>
        <w:pStyle w:val="g"/>
        <w:widowControl w:val="0"/>
        <w:pBdr>
          <w:bottom w:val="single" w:sz="6" w:space="1" w:color="auto"/>
        </w:pBdr>
        <w:tabs>
          <w:tab w:val="left" w:pos="3960"/>
        </w:tabs>
        <w:ind w:firstLineChars="200" w:firstLine="480"/>
        <w:jc w:val="both"/>
        <w:rPr>
          <w:rFonts w:ascii="Times New Roman"/>
          <w:sz w:val="24"/>
          <w:szCs w:val="24"/>
        </w:rPr>
      </w:pPr>
      <w:bookmarkStart w:id="25" w:name="_Toc34325630"/>
      <w:r>
        <w:rPr>
          <w:rFonts w:ascii="Times New Roman"/>
          <w:sz w:val="24"/>
          <w:szCs w:val="24"/>
        </w:rPr>
        <w:t>图</w:t>
      </w:r>
      <w:r w:rsidR="00521AA8">
        <w:rPr>
          <w:rFonts w:ascii="Times New Roman"/>
          <w:sz w:val="24"/>
          <w:szCs w:val="24"/>
        </w:rPr>
        <w:t>6</w:t>
      </w:r>
      <w:r>
        <w:rPr>
          <w:rFonts w:ascii="Times New Roman"/>
          <w:sz w:val="24"/>
          <w:szCs w:val="24"/>
        </w:rPr>
        <w:t xml:space="preserve">. </w:t>
      </w:r>
      <w:r>
        <w:rPr>
          <w:rFonts w:ascii="Times New Roman"/>
          <w:sz w:val="24"/>
          <w:szCs w:val="24"/>
        </w:rPr>
        <w:t>基础资产构建流程</w:t>
      </w:r>
      <w:bookmarkEnd w:id="25"/>
    </w:p>
    <w:p w14:paraId="41CF025A" w14:textId="77777777" w:rsidR="00525C4A" w:rsidRDefault="004041B3">
      <w:pPr>
        <w:pStyle w:val="g"/>
        <w:widowControl w:val="0"/>
        <w:pBdr>
          <w:bottom w:val="single" w:sz="6" w:space="1" w:color="auto"/>
        </w:pBdr>
        <w:tabs>
          <w:tab w:val="left" w:pos="3960"/>
        </w:tabs>
        <w:jc w:val="center"/>
        <w:rPr>
          <w:rFonts w:ascii="Times New Roman"/>
          <w:b w:val="0"/>
          <w:bCs/>
        </w:rPr>
      </w:pPr>
      <w:r>
        <w:rPr>
          <w:noProof/>
        </w:rPr>
        <w:drawing>
          <wp:inline distT="0" distB="0" distL="0" distR="0" wp14:anchorId="06CAC436" wp14:editId="2BD5F92D">
            <wp:extent cx="5039995" cy="1137285"/>
            <wp:effectExtent l="0" t="0" r="4445"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2"/>
                    <a:srcRect/>
                    <a:stretch>
                      <a:fillRect/>
                    </a:stretch>
                  </pic:blipFill>
                  <pic:spPr>
                    <a:xfrm>
                      <a:off x="0" y="0"/>
                      <a:ext cx="5039995" cy="1137285"/>
                    </a:xfrm>
                    <a:prstGeom prst="rect">
                      <a:avLst/>
                    </a:prstGeom>
                    <a:noFill/>
                    <a:ln w="9525">
                      <a:noFill/>
                      <a:miter lim="800000"/>
                      <a:headEnd/>
                      <a:tailEnd/>
                    </a:ln>
                  </pic:spPr>
                </pic:pic>
              </a:graphicData>
            </a:graphic>
          </wp:inline>
        </w:drawing>
      </w:r>
    </w:p>
    <w:p w14:paraId="3D9A18B4" w14:textId="77777777" w:rsidR="00525C4A" w:rsidRDefault="004041B3">
      <w:pPr>
        <w:pStyle w:val="g"/>
        <w:widowControl w:val="0"/>
        <w:tabs>
          <w:tab w:val="left" w:pos="3960"/>
        </w:tabs>
        <w:ind w:firstLineChars="200" w:firstLine="420"/>
        <w:jc w:val="both"/>
        <w:rPr>
          <w:b w:val="0"/>
          <w:bCs/>
        </w:rPr>
      </w:pPr>
      <w:r>
        <w:rPr>
          <w:b w:val="0"/>
          <w:bCs/>
        </w:rPr>
        <w:t>资料来源：公开资料、兴业证券经济与金融研究院整理</w:t>
      </w:r>
    </w:p>
    <w:p w14:paraId="5BB27B58" w14:textId="77777777" w:rsidR="00525C4A" w:rsidRDefault="00525C4A">
      <w:pPr>
        <w:pStyle w:val="g"/>
        <w:widowControl w:val="0"/>
        <w:tabs>
          <w:tab w:val="left" w:pos="3960"/>
        </w:tabs>
        <w:ind w:firstLineChars="200" w:firstLine="420"/>
        <w:jc w:val="both"/>
        <w:rPr>
          <w:b w:val="0"/>
          <w:bCs/>
        </w:rPr>
      </w:pPr>
    </w:p>
    <w:p w14:paraId="6932C385" w14:textId="77777777" w:rsidR="00525C4A" w:rsidRDefault="004041B3">
      <w:pPr>
        <w:widowControl/>
        <w:ind w:firstLine="480"/>
        <w:rPr>
          <w:rFonts w:ascii="Times New Roman" w:eastAsia="楷体_GB2312" w:hAnsi="Times New Roman" w:cs="Times New Roman"/>
          <w:b/>
          <w:color w:val="000000"/>
          <w:szCs w:val="21"/>
        </w:rPr>
      </w:pPr>
      <w:r>
        <w:rPr>
          <w:rFonts w:ascii="Times New Roman"/>
        </w:rPr>
        <w:br w:type="page"/>
      </w:r>
    </w:p>
    <w:p w14:paraId="5B83BC60" w14:textId="77777777" w:rsidR="00525C4A" w:rsidRDefault="00525C4A">
      <w:pPr>
        <w:pStyle w:val="g"/>
        <w:widowControl w:val="0"/>
        <w:pBdr>
          <w:bottom w:val="single" w:sz="6" w:space="1" w:color="auto"/>
        </w:pBdr>
        <w:tabs>
          <w:tab w:val="left" w:pos="3960"/>
        </w:tabs>
        <w:ind w:firstLineChars="200" w:firstLine="420"/>
        <w:jc w:val="both"/>
        <w:rPr>
          <w:rFonts w:ascii="Times New Roman"/>
        </w:rPr>
      </w:pPr>
    </w:p>
    <w:p w14:paraId="67DEA0C4" w14:textId="59B10DFA" w:rsidR="00525C4A" w:rsidRDefault="004041B3">
      <w:pPr>
        <w:pStyle w:val="g"/>
        <w:widowControl w:val="0"/>
        <w:pBdr>
          <w:bottom w:val="single" w:sz="6" w:space="1" w:color="auto"/>
        </w:pBdr>
        <w:tabs>
          <w:tab w:val="left" w:pos="3960"/>
        </w:tabs>
        <w:ind w:firstLineChars="200" w:firstLine="480"/>
        <w:jc w:val="both"/>
        <w:rPr>
          <w:rFonts w:ascii="Times New Roman"/>
          <w:sz w:val="24"/>
          <w:szCs w:val="24"/>
        </w:rPr>
      </w:pPr>
      <w:r>
        <w:rPr>
          <w:rFonts w:ascii="Times New Roman"/>
          <w:sz w:val="24"/>
          <w:szCs w:val="24"/>
        </w:rPr>
        <w:t>图</w:t>
      </w:r>
      <w:r w:rsidR="00521AA8">
        <w:rPr>
          <w:rFonts w:ascii="Times New Roman"/>
          <w:sz w:val="24"/>
          <w:szCs w:val="24"/>
        </w:rPr>
        <w:t>7</w:t>
      </w:r>
      <w:r>
        <w:rPr>
          <w:rFonts w:ascii="Times New Roman"/>
          <w:sz w:val="24"/>
          <w:szCs w:val="24"/>
        </w:rPr>
        <w:t xml:space="preserve">. </w:t>
      </w:r>
      <w:r>
        <w:rPr>
          <w:rFonts w:ascii="Times New Roman"/>
          <w:sz w:val="24"/>
          <w:szCs w:val="24"/>
        </w:rPr>
        <w:t>交易结构</w:t>
      </w:r>
    </w:p>
    <w:p w14:paraId="62CA5CA3" w14:textId="77777777" w:rsidR="00525C4A" w:rsidRDefault="004041B3">
      <w:pPr>
        <w:pStyle w:val="g"/>
        <w:widowControl w:val="0"/>
        <w:pBdr>
          <w:bottom w:val="single" w:sz="6" w:space="1" w:color="auto"/>
        </w:pBdr>
        <w:tabs>
          <w:tab w:val="left" w:pos="3960"/>
        </w:tabs>
        <w:jc w:val="center"/>
        <w:rPr>
          <w:b w:val="0"/>
          <w:bCs/>
        </w:rPr>
      </w:pPr>
      <w:r>
        <w:rPr>
          <w:noProof/>
        </w:rPr>
        <w:drawing>
          <wp:inline distT="0" distB="0" distL="0" distR="0" wp14:anchorId="4AC4F79B" wp14:editId="015BE15C">
            <wp:extent cx="5039995" cy="2761615"/>
            <wp:effectExtent l="0" t="0" r="4445"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3" cstate="print"/>
                    <a:srcRect/>
                    <a:stretch>
                      <a:fillRect/>
                    </a:stretch>
                  </pic:blipFill>
                  <pic:spPr>
                    <a:xfrm>
                      <a:off x="0" y="0"/>
                      <a:ext cx="5039995" cy="2761615"/>
                    </a:xfrm>
                    <a:prstGeom prst="rect">
                      <a:avLst/>
                    </a:prstGeom>
                    <a:noFill/>
                    <a:ln w="9525">
                      <a:noFill/>
                      <a:miter lim="800000"/>
                      <a:headEnd/>
                      <a:tailEnd/>
                    </a:ln>
                  </pic:spPr>
                </pic:pic>
              </a:graphicData>
            </a:graphic>
          </wp:inline>
        </w:drawing>
      </w:r>
    </w:p>
    <w:p w14:paraId="0850C677" w14:textId="77777777" w:rsidR="00525C4A" w:rsidRDefault="004041B3">
      <w:pPr>
        <w:pStyle w:val="g"/>
        <w:widowControl w:val="0"/>
        <w:tabs>
          <w:tab w:val="left" w:pos="3960"/>
        </w:tabs>
        <w:ind w:firstLineChars="200" w:firstLine="420"/>
        <w:jc w:val="both"/>
        <w:rPr>
          <w:b w:val="0"/>
          <w:bCs/>
        </w:rPr>
      </w:pPr>
      <w:r>
        <w:rPr>
          <w:b w:val="0"/>
          <w:bCs/>
        </w:rPr>
        <w:t>资料来源：公开资料、兴业证券经济与金融研究院整理</w:t>
      </w:r>
    </w:p>
    <w:p w14:paraId="1DDA7044" w14:textId="77777777" w:rsidR="00525C4A" w:rsidRDefault="00525C4A">
      <w:pPr>
        <w:pStyle w:val="g"/>
        <w:widowControl w:val="0"/>
        <w:tabs>
          <w:tab w:val="left" w:pos="3960"/>
        </w:tabs>
        <w:ind w:firstLineChars="200" w:firstLine="420"/>
        <w:jc w:val="both"/>
        <w:rPr>
          <w:b w:val="0"/>
          <w:bCs/>
        </w:rPr>
      </w:pPr>
    </w:p>
    <w:p w14:paraId="60119A8C" w14:textId="77777777" w:rsidR="00525C4A" w:rsidRDefault="00525C4A">
      <w:pPr>
        <w:pStyle w:val="g"/>
        <w:widowControl w:val="0"/>
        <w:tabs>
          <w:tab w:val="left" w:pos="3960"/>
        </w:tabs>
        <w:ind w:firstLineChars="200" w:firstLine="420"/>
        <w:jc w:val="both"/>
        <w:rPr>
          <w:b w:val="0"/>
          <w:bCs/>
        </w:rPr>
      </w:pPr>
    </w:p>
    <w:p w14:paraId="1E62CF64" w14:textId="4DF9FB40" w:rsidR="00525C4A" w:rsidRDefault="004041B3">
      <w:pPr>
        <w:pStyle w:val="g"/>
        <w:widowControl w:val="0"/>
        <w:tabs>
          <w:tab w:val="left" w:pos="3960"/>
        </w:tabs>
        <w:ind w:firstLineChars="200" w:firstLine="480"/>
        <w:jc w:val="both"/>
        <w:rPr>
          <w:rFonts w:ascii="Times New Roman"/>
          <w:sz w:val="24"/>
          <w:szCs w:val="24"/>
        </w:rPr>
      </w:pPr>
      <w:bookmarkStart w:id="26" w:name="_Toc34325632"/>
      <w:r>
        <w:rPr>
          <w:rFonts w:ascii="Times New Roman"/>
          <w:sz w:val="24"/>
          <w:szCs w:val="24"/>
        </w:rPr>
        <w:t>图</w:t>
      </w:r>
      <w:r w:rsidR="00521AA8">
        <w:rPr>
          <w:rFonts w:ascii="Times New Roman"/>
          <w:sz w:val="24"/>
          <w:szCs w:val="24"/>
        </w:rPr>
        <w:t>8</w:t>
      </w:r>
      <w:r>
        <w:rPr>
          <w:rFonts w:ascii="Times New Roman"/>
          <w:sz w:val="24"/>
          <w:szCs w:val="24"/>
        </w:rPr>
        <w:t xml:space="preserve">. </w:t>
      </w:r>
      <w:r>
        <w:rPr>
          <w:rFonts w:ascii="Times New Roman"/>
          <w:sz w:val="24"/>
          <w:szCs w:val="24"/>
        </w:rPr>
        <w:t>入池资产被许可</w:t>
      </w:r>
      <w:proofErr w:type="gramStart"/>
      <w:r>
        <w:rPr>
          <w:rFonts w:ascii="Times New Roman"/>
          <w:sz w:val="24"/>
          <w:szCs w:val="24"/>
        </w:rPr>
        <w:t>人行业</w:t>
      </w:r>
      <w:proofErr w:type="gramEnd"/>
      <w:r>
        <w:rPr>
          <w:rFonts w:ascii="Times New Roman"/>
          <w:sz w:val="24"/>
          <w:szCs w:val="24"/>
        </w:rPr>
        <w:t>分布统计</w:t>
      </w:r>
      <w:bookmarkEnd w:id="26"/>
    </w:p>
    <w:p w14:paraId="4FBB03B2" w14:textId="77777777" w:rsidR="00525C4A" w:rsidRDefault="004041B3">
      <w:pPr>
        <w:pStyle w:val="g"/>
        <w:widowControl w:val="0"/>
        <w:pBdr>
          <w:bottom w:val="single" w:sz="6" w:space="1" w:color="auto"/>
        </w:pBdr>
        <w:tabs>
          <w:tab w:val="left" w:pos="3960"/>
        </w:tabs>
        <w:ind w:firstLineChars="200" w:firstLine="420"/>
        <w:jc w:val="center"/>
        <w:rPr>
          <w:b w:val="0"/>
          <w:bCs/>
        </w:rPr>
      </w:pPr>
      <w:r>
        <w:rPr>
          <w:noProof/>
        </w:rPr>
        <w:lastRenderedPageBreak/>
        <w:drawing>
          <wp:inline distT="0" distB="0" distL="0" distR="0" wp14:anchorId="3CE1370D" wp14:editId="2709C325">
            <wp:extent cx="3863975" cy="3060065"/>
            <wp:effectExtent l="0" t="0" r="6985"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4"/>
                    <a:srcRect b="4547"/>
                    <a:stretch>
                      <a:fillRect/>
                    </a:stretch>
                  </pic:blipFill>
                  <pic:spPr>
                    <a:xfrm>
                      <a:off x="0" y="0"/>
                      <a:ext cx="3863975" cy="3060065"/>
                    </a:xfrm>
                    <a:prstGeom prst="rect">
                      <a:avLst/>
                    </a:prstGeom>
                    <a:noFill/>
                    <a:ln>
                      <a:noFill/>
                    </a:ln>
                  </pic:spPr>
                </pic:pic>
              </a:graphicData>
            </a:graphic>
          </wp:inline>
        </w:drawing>
      </w:r>
    </w:p>
    <w:p w14:paraId="5489B1BC" w14:textId="77777777" w:rsidR="00525C4A" w:rsidRDefault="004041B3">
      <w:pPr>
        <w:pStyle w:val="g"/>
        <w:widowControl w:val="0"/>
        <w:tabs>
          <w:tab w:val="left" w:pos="3960"/>
        </w:tabs>
        <w:ind w:firstLineChars="200" w:firstLine="420"/>
        <w:jc w:val="both"/>
        <w:rPr>
          <w:b w:val="0"/>
          <w:bCs/>
        </w:rPr>
      </w:pPr>
      <w:r>
        <w:rPr>
          <w:b w:val="0"/>
          <w:bCs/>
        </w:rPr>
        <w:t>资料来源：公开资料、兴业证券经济与金融研究院整理</w:t>
      </w:r>
    </w:p>
    <w:p w14:paraId="41744C9E" w14:textId="77777777" w:rsidR="00525C4A" w:rsidRDefault="004041B3">
      <w:pPr>
        <w:ind w:firstLine="480"/>
      </w:pPr>
      <w:r>
        <w:t>广州开发区的知识产权证券化模式在交易结构上采用了</w:t>
      </w:r>
      <w:r>
        <w:t>“</w:t>
      </w:r>
      <w:r>
        <w:t>两次专利许可</w:t>
      </w:r>
      <w:r>
        <w:t>”</w:t>
      </w:r>
      <w:r>
        <w:t>。具体来说，广州凯得融资租赁有限公司</w:t>
      </w:r>
      <w:bookmarkStart w:id="27" w:name="_Hlk35784124"/>
      <w:r>
        <w:rPr>
          <w:rFonts w:hint="eastAsia"/>
        </w:rPr>
        <w:t>作为</w:t>
      </w:r>
      <w:r>
        <w:t>发起人（原始权益人）</w:t>
      </w:r>
      <w:bookmarkStart w:id="28" w:name="_Hlk35784721"/>
      <w:bookmarkEnd w:id="27"/>
      <w:r>
        <w:t>（下称</w:t>
      </w:r>
      <w:r>
        <w:t>“</w:t>
      </w:r>
      <w:r>
        <w:t>凯得租赁</w:t>
      </w:r>
      <w:r>
        <w:t>”</w:t>
      </w:r>
      <w:r>
        <w:t>）</w:t>
      </w:r>
      <w:bookmarkEnd w:id="28"/>
      <w:r>
        <w:t>分别与</w:t>
      </w:r>
      <w:r>
        <w:t>11</w:t>
      </w:r>
      <w:r>
        <w:t>家企业（专利权人）签署专利许可合同，一次性向企业支付</w:t>
      </w:r>
      <w:r>
        <w:t>5</w:t>
      </w:r>
      <w:r>
        <w:t>年专利许可使用费，获得专利再许可权，形成该证券化产品的基础资产（专利许可收费权）。凯得租赁再分别与以上企业（专利权人）签署第二次专利许可合同，将各项专利许可给企业使用，企业每个季度向凯得租赁支付专利许可使用费，构成该证券化产品基础资产的现金流来源。凯得租赁按照约定，将基础资产转让给该证券化产品，实现资产隔离、风险隔离。采用优先级和次级证券的结构分层安排，比例分别为</w:t>
      </w:r>
      <w:r>
        <w:t>95%</w:t>
      </w:r>
      <w:r>
        <w:t>、</w:t>
      </w:r>
      <w:r>
        <w:t>5%</w:t>
      </w:r>
      <w:r>
        <w:t>。</w:t>
      </w:r>
    </w:p>
    <w:p w14:paraId="25AC22A4" w14:textId="77777777" w:rsidR="00525C4A" w:rsidRDefault="004041B3">
      <w:pPr>
        <w:ind w:firstLine="480"/>
      </w:pPr>
      <w:r>
        <w:t>与其他知识产权证券化产品对比，兴业圆融</w:t>
      </w:r>
      <w:r>
        <w:t>-</w:t>
      </w:r>
      <w:r>
        <w:t>广州开发区专利许可资产支持专项计划优先级票面利率在同类型产品中处于较低水平，发起人（原始权益人）可以通过更低的融资成本获得资金。</w:t>
      </w:r>
    </w:p>
    <w:p w14:paraId="57B9ADDE" w14:textId="77777777" w:rsidR="00525C4A" w:rsidRDefault="004041B3">
      <w:pPr>
        <w:pStyle w:val="3"/>
        <w:ind w:firstLine="482"/>
      </w:pPr>
      <w:bookmarkStart w:id="29" w:name="_Toc36378091"/>
      <w:r>
        <w:rPr>
          <w:rFonts w:hint="eastAsia"/>
        </w:rPr>
        <w:t>2</w:t>
      </w:r>
      <w:r>
        <w:rPr>
          <w:rFonts w:hint="eastAsia"/>
        </w:rPr>
        <w:t>、文科租赁、</w:t>
      </w:r>
      <w:proofErr w:type="gramStart"/>
      <w:r>
        <w:rPr>
          <w:rFonts w:hint="eastAsia"/>
        </w:rPr>
        <w:t>奇艺世纪</w:t>
      </w:r>
      <w:proofErr w:type="gramEnd"/>
      <w:r>
        <w:rPr>
          <w:rFonts w:hint="eastAsia"/>
        </w:rPr>
        <w:t>、兴业圆融三类知识产权产品对比分析</w:t>
      </w:r>
      <w:bookmarkEnd w:id="29"/>
    </w:p>
    <w:p w14:paraId="094FF1A6" w14:textId="77777777" w:rsidR="00525C4A" w:rsidRDefault="004041B3">
      <w:pPr>
        <w:ind w:firstLine="480"/>
      </w:pPr>
      <w:r>
        <w:rPr>
          <w:rFonts w:hint="eastAsia"/>
        </w:rPr>
        <w:t>与前章所述的文科租赁、</w:t>
      </w:r>
      <w:proofErr w:type="gramStart"/>
      <w:r>
        <w:rPr>
          <w:rFonts w:hint="eastAsia"/>
        </w:rPr>
        <w:t>奇艺世纪</w:t>
      </w:r>
      <w:proofErr w:type="gramEnd"/>
      <w:r>
        <w:rPr>
          <w:rFonts w:hint="eastAsia"/>
        </w:rPr>
        <w:t>知识产权供应</w:t>
      </w:r>
      <w:proofErr w:type="gramStart"/>
      <w:r>
        <w:rPr>
          <w:rFonts w:hint="eastAsia"/>
        </w:rPr>
        <w:t>链金融</w:t>
      </w:r>
      <w:proofErr w:type="gramEnd"/>
      <w:r>
        <w:rPr>
          <w:rFonts w:hint="eastAsia"/>
        </w:rPr>
        <w:t>产品相比，广州</w:t>
      </w:r>
      <w:r>
        <w:rPr>
          <w:rFonts w:hint="eastAsia"/>
        </w:rPr>
        <w:lastRenderedPageBreak/>
        <w:t>开发区推出的兴业圆</w:t>
      </w:r>
      <w:proofErr w:type="gramStart"/>
      <w:r>
        <w:rPr>
          <w:rFonts w:hint="eastAsia"/>
        </w:rPr>
        <w:t>融专利</w:t>
      </w:r>
      <w:proofErr w:type="gramEnd"/>
      <w:r>
        <w:rPr>
          <w:rFonts w:hint="eastAsia"/>
        </w:rPr>
        <w:t>证券化产品在发行模式、产品设计等方面均有较大区别，特别是专利证券化产品是基于专利许可费应收债权，在国内属于行业首创，相对于成熟的</w:t>
      </w:r>
      <w:r>
        <w:rPr>
          <w:rFonts w:hint="eastAsia"/>
        </w:rPr>
        <w:t>ABS</w:t>
      </w:r>
      <w:r>
        <w:rPr>
          <w:rFonts w:hint="eastAsia"/>
        </w:rPr>
        <w:t>模式，操作难度较大。</w:t>
      </w:r>
    </w:p>
    <w:p w14:paraId="5AF6122B" w14:textId="77777777" w:rsidR="00525C4A" w:rsidRDefault="00525C4A">
      <w:pPr>
        <w:ind w:firstLine="480"/>
      </w:pPr>
    </w:p>
    <w:p w14:paraId="2D23E38C" w14:textId="00125BC8" w:rsidR="00525C4A" w:rsidRDefault="00521AA8">
      <w:pPr>
        <w:pStyle w:val="e"/>
        <w:spacing w:beforeLines="0" w:afterLines="0" w:line="560" w:lineRule="exact"/>
        <w:ind w:firstLine="480"/>
        <w:rPr>
          <w:rFonts w:ascii="Times New Roman"/>
          <w:b/>
          <w:bCs/>
        </w:rPr>
      </w:pPr>
      <w:r>
        <w:rPr>
          <w:rFonts w:ascii="Times New Roman" w:hint="eastAsia"/>
          <w:b/>
          <w:bCs/>
        </w:rPr>
        <w:t>表</w:t>
      </w:r>
      <w:r>
        <w:rPr>
          <w:rFonts w:ascii="Times New Roman" w:hint="eastAsia"/>
          <w:b/>
          <w:bCs/>
        </w:rPr>
        <w:t>3</w:t>
      </w:r>
      <w:r>
        <w:rPr>
          <w:rFonts w:ascii="Times New Roman" w:hint="eastAsia"/>
          <w:b/>
          <w:bCs/>
        </w:rPr>
        <w:t>：</w:t>
      </w:r>
      <w:r w:rsidR="004041B3">
        <w:rPr>
          <w:rFonts w:ascii="Times New Roman"/>
          <w:b/>
          <w:bCs/>
        </w:rPr>
        <w:t>三类知识产权证券化模式对比</w:t>
      </w:r>
    </w:p>
    <w:p w14:paraId="54DD493A" w14:textId="77777777" w:rsidR="00525C4A" w:rsidRDefault="004041B3">
      <w:pPr>
        <w:pStyle w:val="e"/>
        <w:pBdr>
          <w:bottom w:val="single" w:sz="6" w:space="1" w:color="auto"/>
        </w:pBdr>
        <w:spacing w:beforeLines="0" w:afterLines="0"/>
        <w:ind w:firstLineChars="0" w:firstLine="0"/>
        <w:jc w:val="center"/>
        <w:rPr>
          <w:rFonts w:ascii="仿宋" w:eastAsia="仿宋" w:hAnsi="仿宋"/>
          <w:b/>
          <w:bCs/>
          <w:sz w:val="32"/>
          <w:szCs w:val="32"/>
        </w:rPr>
      </w:pPr>
      <w:r>
        <w:rPr>
          <w:noProof/>
        </w:rPr>
        <w:drawing>
          <wp:inline distT="0" distB="0" distL="0" distR="0" wp14:anchorId="3C902414" wp14:editId="00C4F19B">
            <wp:extent cx="5039995" cy="1739900"/>
            <wp:effectExtent l="0" t="0" r="4445" b="1270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5"/>
                    <a:srcRect/>
                    <a:stretch>
                      <a:fillRect/>
                    </a:stretch>
                  </pic:blipFill>
                  <pic:spPr>
                    <a:xfrm>
                      <a:off x="0" y="0"/>
                      <a:ext cx="5039995" cy="1739900"/>
                    </a:xfrm>
                    <a:prstGeom prst="rect">
                      <a:avLst/>
                    </a:prstGeom>
                    <a:noFill/>
                    <a:ln w="9525">
                      <a:noFill/>
                      <a:miter lim="800000"/>
                      <a:headEnd/>
                      <a:tailEnd/>
                    </a:ln>
                  </pic:spPr>
                </pic:pic>
              </a:graphicData>
            </a:graphic>
          </wp:inline>
        </w:drawing>
      </w:r>
    </w:p>
    <w:p w14:paraId="484F07F7" w14:textId="77777777" w:rsidR="00525C4A" w:rsidRDefault="004041B3">
      <w:pPr>
        <w:pStyle w:val="g"/>
        <w:widowControl w:val="0"/>
        <w:tabs>
          <w:tab w:val="left" w:pos="3960"/>
        </w:tabs>
        <w:ind w:firstLineChars="200" w:firstLine="420"/>
        <w:jc w:val="both"/>
        <w:rPr>
          <w:b w:val="0"/>
          <w:bCs/>
        </w:rPr>
      </w:pPr>
      <w:r>
        <w:rPr>
          <w:b w:val="0"/>
          <w:bCs/>
        </w:rPr>
        <w:t>资料来源：公开资料、兴业证券经济与金融研究院整理</w:t>
      </w:r>
    </w:p>
    <w:p w14:paraId="1AF17D07" w14:textId="50930EF0" w:rsidR="00525C4A" w:rsidRDefault="004041B3">
      <w:pPr>
        <w:pStyle w:val="e"/>
        <w:spacing w:beforeLines="0" w:afterLines="0" w:line="560" w:lineRule="exact"/>
        <w:ind w:firstLine="480"/>
        <w:rPr>
          <w:rFonts w:ascii="Times New Roman"/>
          <w:b/>
          <w:bCs/>
        </w:rPr>
      </w:pPr>
      <w:r>
        <w:rPr>
          <w:rFonts w:ascii="Times New Roman" w:hint="eastAsia"/>
          <w:b/>
          <w:bCs/>
        </w:rPr>
        <w:t>表</w:t>
      </w:r>
      <w:r w:rsidR="00521AA8">
        <w:rPr>
          <w:rFonts w:ascii="Times New Roman"/>
          <w:b/>
          <w:bCs/>
        </w:rPr>
        <w:t>4</w:t>
      </w:r>
      <w:r>
        <w:rPr>
          <w:rFonts w:ascii="Times New Roman"/>
          <w:b/>
          <w:bCs/>
        </w:rPr>
        <w:t>：知识产权证券化产品的对比</w:t>
      </w:r>
    </w:p>
    <w:tbl>
      <w:tblPr>
        <w:tblW w:w="8359" w:type="dxa"/>
        <w:tblLayout w:type="fixed"/>
        <w:tblLook w:val="04A0" w:firstRow="1" w:lastRow="0" w:firstColumn="1" w:lastColumn="0" w:noHBand="0" w:noVBand="1"/>
      </w:tblPr>
      <w:tblGrid>
        <w:gridCol w:w="1421"/>
        <w:gridCol w:w="2543"/>
        <w:gridCol w:w="2551"/>
        <w:gridCol w:w="1844"/>
      </w:tblGrid>
      <w:tr w:rsidR="00525C4A" w14:paraId="71EE55A0" w14:textId="77777777">
        <w:trPr>
          <w:trHeight w:val="417"/>
        </w:trPr>
        <w:tc>
          <w:tcPr>
            <w:tcW w:w="1421" w:type="dxa"/>
            <w:tcBorders>
              <w:top w:val="single" w:sz="4" w:space="0" w:color="auto"/>
              <w:left w:val="single" w:sz="4" w:space="0" w:color="auto"/>
              <w:bottom w:val="single" w:sz="4" w:space="0" w:color="auto"/>
              <w:right w:val="single" w:sz="4" w:space="0" w:color="auto"/>
            </w:tcBorders>
            <w:shd w:val="clear" w:color="000000" w:fill="002060"/>
            <w:vAlign w:val="center"/>
          </w:tcPr>
          <w:p w14:paraId="3D563768" w14:textId="77777777" w:rsidR="00525C4A" w:rsidRDefault="004041B3">
            <w:pPr>
              <w:widowControl/>
              <w:spacing w:line="240" w:lineRule="exact"/>
              <w:ind w:firstLineChars="0" w:firstLine="0"/>
              <w:rPr>
                <w:rFonts w:eastAsia="等线"/>
                <w:b/>
                <w:bCs/>
                <w:color w:val="FFFFFF"/>
                <w:kern w:val="0"/>
                <w:sz w:val="18"/>
                <w:szCs w:val="18"/>
              </w:rPr>
            </w:pPr>
            <w:r>
              <w:rPr>
                <w:rFonts w:eastAsia="楷体"/>
                <w:b/>
                <w:bCs/>
                <w:color w:val="FFFFFF"/>
                <w:kern w:val="0"/>
                <w:sz w:val="18"/>
                <w:szCs w:val="18"/>
              </w:rPr>
              <w:t>证券名称</w:t>
            </w:r>
            <w:r>
              <w:rPr>
                <w:rFonts w:eastAsia="等线"/>
                <w:b/>
                <w:bCs/>
                <w:color w:val="FFFFFF"/>
                <w:kern w:val="0"/>
                <w:sz w:val="18"/>
                <w:szCs w:val="18"/>
              </w:rPr>
              <w:t xml:space="preserve"> </w:t>
            </w:r>
          </w:p>
        </w:tc>
        <w:tc>
          <w:tcPr>
            <w:tcW w:w="2543" w:type="dxa"/>
            <w:tcBorders>
              <w:top w:val="single" w:sz="4" w:space="0" w:color="auto"/>
              <w:left w:val="nil"/>
              <w:bottom w:val="single" w:sz="4" w:space="0" w:color="auto"/>
              <w:right w:val="single" w:sz="4" w:space="0" w:color="auto"/>
            </w:tcBorders>
            <w:shd w:val="clear" w:color="000000" w:fill="002060"/>
            <w:vAlign w:val="center"/>
          </w:tcPr>
          <w:p w14:paraId="2F985DA9" w14:textId="77777777" w:rsidR="00525C4A" w:rsidRDefault="004041B3">
            <w:pPr>
              <w:widowControl/>
              <w:spacing w:line="240" w:lineRule="exact"/>
              <w:ind w:firstLineChars="0" w:firstLine="0"/>
              <w:rPr>
                <w:rFonts w:eastAsia="等线"/>
                <w:b/>
                <w:bCs/>
                <w:color w:val="FFFFFF"/>
                <w:kern w:val="0"/>
                <w:sz w:val="18"/>
                <w:szCs w:val="18"/>
              </w:rPr>
            </w:pPr>
            <w:r>
              <w:rPr>
                <w:rFonts w:eastAsia="楷体"/>
                <w:b/>
                <w:bCs/>
                <w:color w:val="FFFFFF"/>
                <w:kern w:val="0"/>
                <w:sz w:val="18"/>
                <w:szCs w:val="18"/>
              </w:rPr>
              <w:t>第一创业</w:t>
            </w:r>
            <w:r>
              <w:rPr>
                <w:rFonts w:eastAsia="等线"/>
                <w:b/>
                <w:bCs/>
                <w:color w:val="FFFFFF"/>
                <w:kern w:val="0"/>
                <w:sz w:val="18"/>
                <w:szCs w:val="18"/>
              </w:rPr>
              <w:t>-</w:t>
            </w:r>
            <w:r>
              <w:rPr>
                <w:rFonts w:eastAsia="楷体"/>
                <w:b/>
                <w:bCs/>
                <w:color w:val="FFFFFF"/>
                <w:kern w:val="0"/>
                <w:sz w:val="18"/>
                <w:szCs w:val="18"/>
              </w:rPr>
              <w:t>文科租赁一期资产支持专项计划</w:t>
            </w:r>
            <w:r>
              <w:rPr>
                <w:rFonts w:eastAsia="等线"/>
                <w:b/>
                <w:bCs/>
                <w:color w:val="FFFFFF"/>
                <w:kern w:val="0"/>
                <w:sz w:val="18"/>
                <w:szCs w:val="18"/>
              </w:rPr>
              <w:t xml:space="preserve"> </w:t>
            </w:r>
          </w:p>
        </w:tc>
        <w:tc>
          <w:tcPr>
            <w:tcW w:w="2551" w:type="dxa"/>
            <w:tcBorders>
              <w:top w:val="single" w:sz="4" w:space="0" w:color="auto"/>
              <w:left w:val="nil"/>
              <w:bottom w:val="single" w:sz="4" w:space="0" w:color="auto"/>
              <w:right w:val="single" w:sz="4" w:space="0" w:color="auto"/>
            </w:tcBorders>
            <w:shd w:val="clear" w:color="000000" w:fill="002060"/>
            <w:vAlign w:val="center"/>
          </w:tcPr>
          <w:p w14:paraId="034DDDD0" w14:textId="77777777" w:rsidR="00525C4A" w:rsidRDefault="004041B3">
            <w:pPr>
              <w:widowControl/>
              <w:spacing w:line="240" w:lineRule="exact"/>
              <w:ind w:firstLineChars="0" w:firstLine="0"/>
              <w:rPr>
                <w:rFonts w:eastAsia="等线"/>
                <w:b/>
                <w:bCs/>
                <w:color w:val="FFFFFF"/>
                <w:kern w:val="0"/>
                <w:sz w:val="18"/>
                <w:szCs w:val="18"/>
              </w:rPr>
            </w:pPr>
            <w:proofErr w:type="gramStart"/>
            <w:r>
              <w:rPr>
                <w:rFonts w:eastAsia="楷体"/>
                <w:b/>
                <w:bCs/>
                <w:color w:val="FFFFFF"/>
                <w:kern w:val="0"/>
                <w:sz w:val="18"/>
                <w:szCs w:val="18"/>
              </w:rPr>
              <w:t>奇艺世纪</w:t>
            </w:r>
            <w:proofErr w:type="gramEnd"/>
            <w:r>
              <w:rPr>
                <w:rFonts w:eastAsia="楷体"/>
                <w:b/>
                <w:bCs/>
                <w:color w:val="FFFFFF"/>
                <w:kern w:val="0"/>
                <w:sz w:val="18"/>
                <w:szCs w:val="18"/>
              </w:rPr>
              <w:t>知识产权供应链金融资产支持专项计划</w:t>
            </w:r>
            <w:r>
              <w:rPr>
                <w:rFonts w:eastAsia="等线"/>
                <w:b/>
                <w:bCs/>
                <w:color w:val="FFFFFF"/>
                <w:kern w:val="0"/>
                <w:sz w:val="18"/>
                <w:szCs w:val="18"/>
              </w:rPr>
              <w:t xml:space="preserve"> </w:t>
            </w:r>
          </w:p>
        </w:tc>
        <w:tc>
          <w:tcPr>
            <w:tcW w:w="1844" w:type="dxa"/>
            <w:tcBorders>
              <w:top w:val="single" w:sz="4" w:space="0" w:color="auto"/>
              <w:left w:val="nil"/>
              <w:bottom w:val="single" w:sz="4" w:space="0" w:color="auto"/>
              <w:right w:val="single" w:sz="4" w:space="0" w:color="auto"/>
            </w:tcBorders>
            <w:shd w:val="clear" w:color="000000" w:fill="002060"/>
            <w:vAlign w:val="center"/>
          </w:tcPr>
          <w:p w14:paraId="5D4317A1" w14:textId="77777777" w:rsidR="00525C4A" w:rsidRDefault="004041B3">
            <w:pPr>
              <w:widowControl/>
              <w:spacing w:line="240" w:lineRule="exact"/>
              <w:ind w:firstLineChars="0" w:firstLine="0"/>
              <w:rPr>
                <w:rFonts w:eastAsia="等线"/>
                <w:b/>
                <w:bCs/>
                <w:color w:val="FFFFFF"/>
                <w:kern w:val="0"/>
                <w:sz w:val="18"/>
                <w:szCs w:val="18"/>
              </w:rPr>
            </w:pPr>
            <w:r>
              <w:rPr>
                <w:rFonts w:eastAsia="楷体"/>
                <w:b/>
                <w:bCs/>
                <w:color w:val="FFFFFF"/>
                <w:kern w:val="0"/>
                <w:sz w:val="18"/>
                <w:szCs w:val="18"/>
              </w:rPr>
              <w:t>兴业圆融</w:t>
            </w:r>
            <w:r>
              <w:rPr>
                <w:rFonts w:eastAsia="等线"/>
                <w:b/>
                <w:bCs/>
                <w:color w:val="FFFFFF"/>
                <w:kern w:val="0"/>
                <w:sz w:val="18"/>
                <w:szCs w:val="18"/>
              </w:rPr>
              <w:t>-</w:t>
            </w:r>
            <w:r>
              <w:rPr>
                <w:rFonts w:eastAsia="楷体"/>
                <w:b/>
                <w:bCs/>
                <w:color w:val="FFFFFF"/>
                <w:kern w:val="0"/>
                <w:sz w:val="18"/>
                <w:szCs w:val="18"/>
              </w:rPr>
              <w:t>广州开发区专利许可资产支持专项计划</w:t>
            </w:r>
            <w:r>
              <w:rPr>
                <w:rFonts w:eastAsia="等线"/>
                <w:b/>
                <w:bCs/>
                <w:color w:val="FFFFFF"/>
                <w:kern w:val="0"/>
                <w:sz w:val="18"/>
                <w:szCs w:val="18"/>
              </w:rPr>
              <w:t xml:space="preserve"> </w:t>
            </w:r>
          </w:p>
        </w:tc>
      </w:tr>
      <w:tr w:rsidR="00525C4A" w14:paraId="488A45E1" w14:textId="77777777">
        <w:trPr>
          <w:trHeight w:val="429"/>
        </w:trPr>
        <w:tc>
          <w:tcPr>
            <w:tcW w:w="1421" w:type="dxa"/>
            <w:tcBorders>
              <w:top w:val="nil"/>
              <w:left w:val="single" w:sz="4" w:space="0" w:color="auto"/>
              <w:bottom w:val="single" w:sz="4" w:space="0" w:color="auto"/>
              <w:right w:val="single" w:sz="4" w:space="0" w:color="auto"/>
            </w:tcBorders>
            <w:shd w:val="clear" w:color="auto" w:fill="auto"/>
            <w:vAlign w:val="center"/>
          </w:tcPr>
          <w:p w14:paraId="5F57DFAC" w14:textId="77777777" w:rsidR="00525C4A" w:rsidRDefault="004041B3">
            <w:pPr>
              <w:widowControl/>
              <w:spacing w:line="240" w:lineRule="exact"/>
              <w:ind w:firstLineChars="0" w:firstLine="0"/>
              <w:rPr>
                <w:rFonts w:eastAsia="等线"/>
                <w:b/>
                <w:bCs/>
                <w:color w:val="000000"/>
                <w:kern w:val="0"/>
                <w:sz w:val="18"/>
                <w:szCs w:val="18"/>
              </w:rPr>
            </w:pPr>
            <w:r>
              <w:rPr>
                <w:rFonts w:eastAsia="楷体"/>
                <w:b/>
                <w:bCs/>
                <w:color w:val="000000"/>
                <w:kern w:val="0"/>
                <w:sz w:val="18"/>
                <w:szCs w:val="18"/>
              </w:rPr>
              <w:t>基础资产</w:t>
            </w:r>
            <w:r>
              <w:rPr>
                <w:rFonts w:eastAsia="等线"/>
                <w:b/>
                <w:bCs/>
                <w:color w:val="000000"/>
                <w:kern w:val="0"/>
                <w:sz w:val="18"/>
                <w:szCs w:val="18"/>
              </w:rPr>
              <w:t xml:space="preserve"> </w:t>
            </w:r>
          </w:p>
        </w:tc>
        <w:tc>
          <w:tcPr>
            <w:tcW w:w="2543" w:type="dxa"/>
            <w:tcBorders>
              <w:top w:val="nil"/>
              <w:left w:val="nil"/>
              <w:bottom w:val="single" w:sz="4" w:space="0" w:color="auto"/>
              <w:right w:val="single" w:sz="4" w:space="0" w:color="auto"/>
            </w:tcBorders>
            <w:shd w:val="clear" w:color="auto" w:fill="auto"/>
            <w:vAlign w:val="center"/>
          </w:tcPr>
          <w:p w14:paraId="492CAFC3"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基于知识产权融资租赁业务形成的应收债权</w:t>
            </w:r>
            <w:r>
              <w:rPr>
                <w:rFonts w:eastAsia="等线"/>
                <w:color w:val="000000"/>
                <w:kern w:val="0"/>
                <w:sz w:val="18"/>
                <w:szCs w:val="18"/>
              </w:rPr>
              <w:t xml:space="preserve"> </w:t>
            </w:r>
          </w:p>
        </w:tc>
        <w:tc>
          <w:tcPr>
            <w:tcW w:w="2551" w:type="dxa"/>
            <w:tcBorders>
              <w:top w:val="nil"/>
              <w:left w:val="nil"/>
              <w:bottom w:val="single" w:sz="4" w:space="0" w:color="auto"/>
              <w:right w:val="single" w:sz="4" w:space="0" w:color="auto"/>
            </w:tcBorders>
            <w:shd w:val="clear" w:color="auto" w:fill="auto"/>
            <w:vAlign w:val="center"/>
          </w:tcPr>
          <w:p w14:paraId="525FA35B"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基于版权使用费形成的应收账款</w:t>
            </w:r>
            <w:r>
              <w:rPr>
                <w:rFonts w:eastAsia="等线"/>
                <w:color w:val="000000"/>
                <w:kern w:val="0"/>
                <w:sz w:val="18"/>
                <w:szCs w:val="18"/>
              </w:rPr>
              <w:t xml:space="preserve"> </w:t>
            </w:r>
          </w:p>
        </w:tc>
        <w:tc>
          <w:tcPr>
            <w:tcW w:w="1844" w:type="dxa"/>
            <w:tcBorders>
              <w:top w:val="nil"/>
              <w:left w:val="nil"/>
              <w:bottom w:val="single" w:sz="4" w:space="0" w:color="auto"/>
              <w:right w:val="single" w:sz="4" w:space="0" w:color="auto"/>
            </w:tcBorders>
            <w:shd w:val="clear" w:color="auto" w:fill="auto"/>
            <w:vAlign w:val="center"/>
          </w:tcPr>
          <w:p w14:paraId="3A0AB9E4"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基于专利许可费形成的应收债权</w:t>
            </w:r>
          </w:p>
        </w:tc>
      </w:tr>
      <w:tr w:rsidR="00525C4A" w14:paraId="3E0665EF" w14:textId="77777777">
        <w:trPr>
          <w:trHeight w:val="429"/>
        </w:trPr>
        <w:tc>
          <w:tcPr>
            <w:tcW w:w="1421" w:type="dxa"/>
            <w:tcBorders>
              <w:top w:val="nil"/>
              <w:left w:val="single" w:sz="4" w:space="0" w:color="auto"/>
              <w:bottom w:val="single" w:sz="4" w:space="0" w:color="auto"/>
              <w:right w:val="single" w:sz="4" w:space="0" w:color="auto"/>
            </w:tcBorders>
            <w:shd w:val="clear" w:color="auto" w:fill="auto"/>
            <w:vAlign w:val="center"/>
          </w:tcPr>
          <w:p w14:paraId="7BA7B1B6" w14:textId="77777777" w:rsidR="00525C4A" w:rsidRDefault="004041B3">
            <w:pPr>
              <w:widowControl/>
              <w:spacing w:line="240" w:lineRule="exact"/>
              <w:ind w:firstLineChars="0" w:firstLine="0"/>
              <w:rPr>
                <w:rFonts w:eastAsia="等线"/>
                <w:b/>
                <w:bCs/>
                <w:color w:val="000000"/>
                <w:kern w:val="0"/>
                <w:sz w:val="18"/>
                <w:szCs w:val="18"/>
              </w:rPr>
            </w:pPr>
            <w:r>
              <w:rPr>
                <w:rFonts w:eastAsia="楷体"/>
                <w:b/>
                <w:bCs/>
                <w:color w:val="000000"/>
                <w:kern w:val="0"/>
                <w:sz w:val="18"/>
                <w:szCs w:val="18"/>
              </w:rPr>
              <w:t>知识产权类型</w:t>
            </w:r>
            <w:r>
              <w:rPr>
                <w:rFonts w:eastAsia="等线"/>
                <w:b/>
                <w:bCs/>
                <w:color w:val="000000"/>
                <w:kern w:val="0"/>
                <w:sz w:val="18"/>
                <w:szCs w:val="18"/>
              </w:rPr>
              <w:t xml:space="preserve"> </w:t>
            </w:r>
          </w:p>
        </w:tc>
        <w:tc>
          <w:tcPr>
            <w:tcW w:w="2543" w:type="dxa"/>
            <w:tcBorders>
              <w:top w:val="nil"/>
              <w:left w:val="nil"/>
              <w:bottom w:val="single" w:sz="4" w:space="0" w:color="auto"/>
              <w:right w:val="single" w:sz="4" w:space="0" w:color="auto"/>
            </w:tcBorders>
            <w:shd w:val="clear" w:color="auto" w:fill="auto"/>
            <w:vAlign w:val="center"/>
          </w:tcPr>
          <w:p w14:paraId="6B597F50"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发明专利、实用新型专利、</w:t>
            </w:r>
            <w:r>
              <w:rPr>
                <w:rFonts w:eastAsia="等线"/>
                <w:color w:val="000000"/>
                <w:kern w:val="0"/>
                <w:sz w:val="18"/>
                <w:szCs w:val="18"/>
              </w:rPr>
              <w:t xml:space="preserve"> </w:t>
            </w:r>
            <w:r>
              <w:rPr>
                <w:rFonts w:eastAsia="楷体"/>
                <w:color w:val="000000"/>
                <w:kern w:val="0"/>
                <w:sz w:val="18"/>
                <w:szCs w:val="18"/>
              </w:rPr>
              <w:t>版权、商标</w:t>
            </w:r>
            <w:r>
              <w:rPr>
                <w:rFonts w:eastAsia="等线"/>
                <w:color w:val="000000"/>
                <w:kern w:val="0"/>
                <w:sz w:val="18"/>
                <w:szCs w:val="18"/>
              </w:rPr>
              <w:t xml:space="preserve"> </w:t>
            </w:r>
          </w:p>
        </w:tc>
        <w:tc>
          <w:tcPr>
            <w:tcW w:w="2551" w:type="dxa"/>
            <w:tcBorders>
              <w:top w:val="nil"/>
              <w:left w:val="nil"/>
              <w:bottom w:val="single" w:sz="4" w:space="0" w:color="auto"/>
              <w:right w:val="single" w:sz="4" w:space="0" w:color="auto"/>
            </w:tcBorders>
            <w:shd w:val="clear" w:color="auto" w:fill="auto"/>
            <w:vAlign w:val="center"/>
          </w:tcPr>
          <w:p w14:paraId="637604FD"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版权</w:t>
            </w:r>
            <w:r>
              <w:rPr>
                <w:rFonts w:eastAsia="等线"/>
                <w:color w:val="000000"/>
                <w:kern w:val="0"/>
                <w:sz w:val="18"/>
                <w:szCs w:val="18"/>
              </w:rPr>
              <w:t xml:space="preserve"> </w:t>
            </w:r>
          </w:p>
        </w:tc>
        <w:tc>
          <w:tcPr>
            <w:tcW w:w="1844" w:type="dxa"/>
            <w:tcBorders>
              <w:top w:val="nil"/>
              <w:left w:val="nil"/>
              <w:bottom w:val="single" w:sz="4" w:space="0" w:color="auto"/>
              <w:right w:val="single" w:sz="4" w:space="0" w:color="auto"/>
            </w:tcBorders>
            <w:shd w:val="clear" w:color="auto" w:fill="auto"/>
            <w:vAlign w:val="center"/>
          </w:tcPr>
          <w:p w14:paraId="41AA5186"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发明专利、实用新型专利</w:t>
            </w:r>
            <w:r>
              <w:rPr>
                <w:rFonts w:eastAsia="等线"/>
                <w:color w:val="000000"/>
                <w:kern w:val="0"/>
                <w:sz w:val="18"/>
                <w:szCs w:val="18"/>
              </w:rPr>
              <w:t xml:space="preserve"> </w:t>
            </w:r>
          </w:p>
        </w:tc>
      </w:tr>
      <w:tr w:rsidR="00525C4A" w14:paraId="3D638F13" w14:textId="77777777">
        <w:trPr>
          <w:trHeight w:val="406"/>
        </w:trPr>
        <w:tc>
          <w:tcPr>
            <w:tcW w:w="1421" w:type="dxa"/>
            <w:tcBorders>
              <w:top w:val="nil"/>
              <w:left w:val="single" w:sz="4" w:space="0" w:color="auto"/>
              <w:bottom w:val="single" w:sz="4" w:space="0" w:color="auto"/>
              <w:right w:val="single" w:sz="4" w:space="0" w:color="auto"/>
            </w:tcBorders>
            <w:shd w:val="clear" w:color="auto" w:fill="auto"/>
            <w:vAlign w:val="center"/>
          </w:tcPr>
          <w:p w14:paraId="16815D04" w14:textId="77777777" w:rsidR="00525C4A" w:rsidRDefault="004041B3">
            <w:pPr>
              <w:widowControl/>
              <w:spacing w:line="240" w:lineRule="exact"/>
              <w:ind w:firstLineChars="0" w:firstLine="0"/>
              <w:rPr>
                <w:rFonts w:eastAsia="等线"/>
                <w:b/>
                <w:bCs/>
                <w:color w:val="000000"/>
                <w:kern w:val="0"/>
                <w:sz w:val="18"/>
                <w:szCs w:val="18"/>
              </w:rPr>
            </w:pPr>
            <w:r>
              <w:rPr>
                <w:rFonts w:eastAsia="楷体"/>
                <w:b/>
                <w:bCs/>
                <w:color w:val="000000"/>
                <w:kern w:val="0"/>
                <w:sz w:val="18"/>
                <w:szCs w:val="18"/>
              </w:rPr>
              <w:t>发起人（原始权益人）</w:t>
            </w:r>
            <w:r>
              <w:rPr>
                <w:rFonts w:eastAsia="等线"/>
                <w:b/>
                <w:bCs/>
                <w:color w:val="000000"/>
                <w:kern w:val="0"/>
                <w:sz w:val="18"/>
                <w:szCs w:val="18"/>
              </w:rPr>
              <w:t xml:space="preserve"> </w:t>
            </w:r>
          </w:p>
        </w:tc>
        <w:tc>
          <w:tcPr>
            <w:tcW w:w="2543" w:type="dxa"/>
            <w:tcBorders>
              <w:top w:val="nil"/>
              <w:left w:val="nil"/>
              <w:bottom w:val="single" w:sz="4" w:space="0" w:color="auto"/>
              <w:right w:val="single" w:sz="4" w:space="0" w:color="auto"/>
            </w:tcBorders>
            <w:shd w:val="clear" w:color="auto" w:fill="auto"/>
            <w:vAlign w:val="center"/>
          </w:tcPr>
          <w:p w14:paraId="7BDA1819"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北京市文化科技融资租赁股份有限公司</w:t>
            </w:r>
            <w:r>
              <w:rPr>
                <w:rFonts w:eastAsia="等线"/>
                <w:color w:val="000000"/>
                <w:kern w:val="0"/>
                <w:sz w:val="18"/>
                <w:szCs w:val="18"/>
              </w:rPr>
              <w:t xml:space="preserve"> </w:t>
            </w:r>
          </w:p>
        </w:tc>
        <w:tc>
          <w:tcPr>
            <w:tcW w:w="2551" w:type="dxa"/>
            <w:tcBorders>
              <w:top w:val="nil"/>
              <w:left w:val="nil"/>
              <w:bottom w:val="single" w:sz="4" w:space="0" w:color="auto"/>
              <w:right w:val="single" w:sz="4" w:space="0" w:color="auto"/>
            </w:tcBorders>
            <w:shd w:val="clear" w:color="auto" w:fill="auto"/>
            <w:vAlign w:val="center"/>
          </w:tcPr>
          <w:p w14:paraId="78DB7961"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天津</w:t>
            </w:r>
            <w:proofErr w:type="gramStart"/>
            <w:r>
              <w:rPr>
                <w:rFonts w:eastAsia="楷体"/>
                <w:color w:val="000000"/>
                <w:kern w:val="0"/>
                <w:sz w:val="18"/>
                <w:szCs w:val="18"/>
              </w:rPr>
              <w:t>聚量商业保理</w:t>
            </w:r>
            <w:proofErr w:type="gramEnd"/>
            <w:r>
              <w:rPr>
                <w:rFonts w:eastAsia="楷体"/>
                <w:color w:val="000000"/>
                <w:kern w:val="0"/>
                <w:sz w:val="18"/>
                <w:szCs w:val="18"/>
              </w:rPr>
              <w:t>有限公司</w:t>
            </w:r>
            <w:r>
              <w:rPr>
                <w:rFonts w:eastAsia="等线"/>
                <w:color w:val="000000"/>
                <w:kern w:val="0"/>
                <w:sz w:val="18"/>
                <w:szCs w:val="18"/>
              </w:rPr>
              <w:t xml:space="preserve"> </w:t>
            </w:r>
          </w:p>
        </w:tc>
        <w:tc>
          <w:tcPr>
            <w:tcW w:w="1844" w:type="dxa"/>
            <w:tcBorders>
              <w:top w:val="nil"/>
              <w:left w:val="nil"/>
              <w:bottom w:val="single" w:sz="4" w:space="0" w:color="auto"/>
              <w:right w:val="single" w:sz="4" w:space="0" w:color="auto"/>
            </w:tcBorders>
            <w:shd w:val="clear" w:color="auto" w:fill="auto"/>
            <w:vAlign w:val="center"/>
          </w:tcPr>
          <w:p w14:paraId="16CC79A6"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广州凯得融资租赁有限公司</w:t>
            </w:r>
            <w:r>
              <w:rPr>
                <w:rFonts w:eastAsia="等线"/>
                <w:color w:val="000000"/>
                <w:kern w:val="0"/>
                <w:sz w:val="18"/>
                <w:szCs w:val="18"/>
              </w:rPr>
              <w:t xml:space="preserve"> </w:t>
            </w:r>
          </w:p>
        </w:tc>
      </w:tr>
      <w:tr w:rsidR="00525C4A" w14:paraId="4C726A60" w14:textId="77777777">
        <w:trPr>
          <w:trHeight w:val="259"/>
        </w:trPr>
        <w:tc>
          <w:tcPr>
            <w:tcW w:w="1421" w:type="dxa"/>
            <w:tcBorders>
              <w:top w:val="nil"/>
              <w:left w:val="single" w:sz="4" w:space="0" w:color="auto"/>
              <w:bottom w:val="single" w:sz="4" w:space="0" w:color="auto"/>
              <w:right w:val="single" w:sz="4" w:space="0" w:color="auto"/>
            </w:tcBorders>
            <w:shd w:val="clear" w:color="auto" w:fill="auto"/>
            <w:vAlign w:val="center"/>
          </w:tcPr>
          <w:p w14:paraId="2F74A777" w14:textId="77777777" w:rsidR="00525C4A" w:rsidRDefault="004041B3">
            <w:pPr>
              <w:widowControl/>
              <w:spacing w:line="240" w:lineRule="exact"/>
              <w:ind w:firstLineChars="0" w:firstLine="0"/>
              <w:rPr>
                <w:rFonts w:eastAsia="等线"/>
                <w:b/>
                <w:bCs/>
                <w:color w:val="000000"/>
                <w:kern w:val="0"/>
                <w:sz w:val="18"/>
                <w:szCs w:val="18"/>
              </w:rPr>
            </w:pPr>
            <w:r>
              <w:rPr>
                <w:rFonts w:eastAsia="楷体"/>
                <w:b/>
                <w:bCs/>
                <w:color w:val="000000"/>
                <w:kern w:val="0"/>
                <w:sz w:val="18"/>
                <w:szCs w:val="18"/>
              </w:rPr>
              <w:t>承销商</w:t>
            </w:r>
            <w:r>
              <w:rPr>
                <w:rFonts w:eastAsia="等线"/>
                <w:b/>
                <w:bCs/>
                <w:color w:val="000000"/>
                <w:kern w:val="0"/>
                <w:sz w:val="18"/>
                <w:szCs w:val="18"/>
              </w:rPr>
              <w:t xml:space="preserve"> </w:t>
            </w:r>
          </w:p>
        </w:tc>
        <w:tc>
          <w:tcPr>
            <w:tcW w:w="2543" w:type="dxa"/>
            <w:tcBorders>
              <w:top w:val="nil"/>
              <w:left w:val="nil"/>
              <w:bottom w:val="single" w:sz="4" w:space="0" w:color="auto"/>
              <w:right w:val="single" w:sz="4" w:space="0" w:color="auto"/>
            </w:tcBorders>
            <w:shd w:val="clear" w:color="auto" w:fill="auto"/>
            <w:vAlign w:val="center"/>
          </w:tcPr>
          <w:p w14:paraId="294958B9"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第一创业证券</w:t>
            </w:r>
            <w:r>
              <w:rPr>
                <w:rFonts w:eastAsia="等线"/>
                <w:color w:val="000000"/>
                <w:kern w:val="0"/>
                <w:sz w:val="18"/>
                <w:szCs w:val="18"/>
              </w:rPr>
              <w:t xml:space="preserve"> </w:t>
            </w:r>
          </w:p>
        </w:tc>
        <w:tc>
          <w:tcPr>
            <w:tcW w:w="2551" w:type="dxa"/>
            <w:tcBorders>
              <w:top w:val="nil"/>
              <w:left w:val="nil"/>
              <w:bottom w:val="single" w:sz="4" w:space="0" w:color="auto"/>
              <w:right w:val="single" w:sz="4" w:space="0" w:color="auto"/>
            </w:tcBorders>
            <w:shd w:val="clear" w:color="auto" w:fill="auto"/>
            <w:vAlign w:val="center"/>
          </w:tcPr>
          <w:p w14:paraId="7DDD7889"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信</w:t>
            </w:r>
            <w:proofErr w:type="gramStart"/>
            <w:r>
              <w:rPr>
                <w:rFonts w:eastAsia="楷体"/>
                <w:color w:val="000000"/>
                <w:kern w:val="0"/>
                <w:sz w:val="18"/>
                <w:szCs w:val="18"/>
              </w:rPr>
              <w:t>达证券</w:t>
            </w:r>
            <w:proofErr w:type="gramEnd"/>
            <w:r>
              <w:rPr>
                <w:rFonts w:eastAsia="等线"/>
                <w:color w:val="000000"/>
                <w:kern w:val="0"/>
                <w:sz w:val="18"/>
                <w:szCs w:val="18"/>
              </w:rPr>
              <w:t xml:space="preserve"> </w:t>
            </w:r>
          </w:p>
        </w:tc>
        <w:tc>
          <w:tcPr>
            <w:tcW w:w="1844" w:type="dxa"/>
            <w:tcBorders>
              <w:top w:val="nil"/>
              <w:left w:val="nil"/>
              <w:bottom w:val="single" w:sz="4" w:space="0" w:color="auto"/>
              <w:right w:val="single" w:sz="4" w:space="0" w:color="auto"/>
            </w:tcBorders>
            <w:shd w:val="clear" w:color="auto" w:fill="auto"/>
            <w:vAlign w:val="center"/>
          </w:tcPr>
          <w:p w14:paraId="34661CFA"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兴业证券</w:t>
            </w:r>
            <w:r>
              <w:rPr>
                <w:rFonts w:eastAsia="等线"/>
                <w:color w:val="000000"/>
                <w:kern w:val="0"/>
                <w:sz w:val="18"/>
                <w:szCs w:val="18"/>
              </w:rPr>
              <w:t xml:space="preserve"> </w:t>
            </w:r>
          </w:p>
        </w:tc>
      </w:tr>
      <w:tr w:rsidR="00525C4A" w14:paraId="594BB44A" w14:textId="77777777">
        <w:trPr>
          <w:trHeight w:val="259"/>
        </w:trPr>
        <w:tc>
          <w:tcPr>
            <w:tcW w:w="1421" w:type="dxa"/>
            <w:tcBorders>
              <w:top w:val="nil"/>
              <w:left w:val="single" w:sz="4" w:space="0" w:color="auto"/>
              <w:bottom w:val="single" w:sz="4" w:space="0" w:color="auto"/>
              <w:right w:val="single" w:sz="4" w:space="0" w:color="auto"/>
            </w:tcBorders>
            <w:shd w:val="clear" w:color="auto" w:fill="auto"/>
            <w:vAlign w:val="center"/>
          </w:tcPr>
          <w:p w14:paraId="5C67D09F" w14:textId="77777777" w:rsidR="00525C4A" w:rsidRDefault="004041B3">
            <w:pPr>
              <w:widowControl/>
              <w:spacing w:line="240" w:lineRule="exact"/>
              <w:ind w:firstLineChars="0" w:firstLine="0"/>
              <w:rPr>
                <w:rFonts w:eastAsia="等线"/>
                <w:b/>
                <w:bCs/>
                <w:color w:val="000000"/>
                <w:kern w:val="0"/>
                <w:sz w:val="18"/>
                <w:szCs w:val="18"/>
              </w:rPr>
            </w:pPr>
            <w:r>
              <w:rPr>
                <w:rFonts w:eastAsia="楷体"/>
                <w:b/>
                <w:bCs/>
                <w:color w:val="000000"/>
                <w:kern w:val="0"/>
                <w:sz w:val="18"/>
                <w:szCs w:val="18"/>
              </w:rPr>
              <w:t>发行金额</w:t>
            </w:r>
            <w:r>
              <w:rPr>
                <w:rFonts w:eastAsia="等线"/>
                <w:b/>
                <w:bCs/>
                <w:color w:val="000000"/>
                <w:kern w:val="0"/>
                <w:sz w:val="18"/>
                <w:szCs w:val="18"/>
              </w:rPr>
              <w:t xml:space="preserve"> </w:t>
            </w:r>
          </w:p>
        </w:tc>
        <w:tc>
          <w:tcPr>
            <w:tcW w:w="2543" w:type="dxa"/>
            <w:tcBorders>
              <w:top w:val="nil"/>
              <w:left w:val="nil"/>
              <w:bottom w:val="single" w:sz="4" w:space="0" w:color="auto"/>
              <w:right w:val="single" w:sz="4" w:space="0" w:color="auto"/>
            </w:tcBorders>
            <w:shd w:val="clear" w:color="auto" w:fill="auto"/>
            <w:vAlign w:val="center"/>
          </w:tcPr>
          <w:p w14:paraId="15BB453F" w14:textId="77777777" w:rsidR="00525C4A" w:rsidRDefault="004041B3">
            <w:pPr>
              <w:widowControl/>
              <w:spacing w:line="240" w:lineRule="exact"/>
              <w:ind w:firstLineChars="0" w:firstLine="0"/>
              <w:rPr>
                <w:rFonts w:eastAsia="等线"/>
                <w:color w:val="000000"/>
                <w:kern w:val="0"/>
                <w:sz w:val="18"/>
                <w:szCs w:val="18"/>
              </w:rPr>
            </w:pPr>
            <w:r>
              <w:rPr>
                <w:rFonts w:eastAsia="等线"/>
                <w:color w:val="000000"/>
                <w:kern w:val="0"/>
                <w:sz w:val="18"/>
                <w:szCs w:val="18"/>
              </w:rPr>
              <w:t>7.33</w:t>
            </w:r>
            <w:r>
              <w:rPr>
                <w:rFonts w:eastAsia="楷体"/>
                <w:color w:val="000000"/>
                <w:kern w:val="0"/>
                <w:sz w:val="18"/>
                <w:szCs w:val="18"/>
              </w:rPr>
              <w:t>亿</w:t>
            </w:r>
            <w:r>
              <w:rPr>
                <w:rFonts w:eastAsia="等线"/>
                <w:color w:val="000000"/>
                <w:kern w:val="0"/>
                <w:sz w:val="18"/>
                <w:szCs w:val="18"/>
              </w:rPr>
              <w:t xml:space="preserve"> </w:t>
            </w:r>
          </w:p>
        </w:tc>
        <w:tc>
          <w:tcPr>
            <w:tcW w:w="2551" w:type="dxa"/>
            <w:tcBorders>
              <w:top w:val="nil"/>
              <w:left w:val="nil"/>
              <w:bottom w:val="single" w:sz="4" w:space="0" w:color="auto"/>
              <w:right w:val="single" w:sz="4" w:space="0" w:color="auto"/>
            </w:tcBorders>
            <w:shd w:val="clear" w:color="auto" w:fill="auto"/>
            <w:vAlign w:val="center"/>
          </w:tcPr>
          <w:p w14:paraId="4C5C416D" w14:textId="77777777" w:rsidR="00525C4A" w:rsidRDefault="004041B3">
            <w:pPr>
              <w:widowControl/>
              <w:spacing w:line="240" w:lineRule="exact"/>
              <w:ind w:firstLineChars="0" w:firstLine="0"/>
              <w:rPr>
                <w:rFonts w:eastAsia="等线"/>
                <w:color w:val="000000"/>
                <w:kern w:val="0"/>
                <w:sz w:val="18"/>
                <w:szCs w:val="18"/>
              </w:rPr>
            </w:pPr>
            <w:r>
              <w:rPr>
                <w:rFonts w:eastAsia="等线"/>
                <w:color w:val="000000"/>
                <w:kern w:val="0"/>
                <w:sz w:val="18"/>
                <w:szCs w:val="18"/>
              </w:rPr>
              <w:t>4.7</w:t>
            </w:r>
            <w:r>
              <w:rPr>
                <w:rFonts w:eastAsia="楷体"/>
                <w:color w:val="000000"/>
                <w:kern w:val="0"/>
                <w:sz w:val="18"/>
                <w:szCs w:val="18"/>
              </w:rPr>
              <w:t>亿</w:t>
            </w:r>
            <w:r>
              <w:rPr>
                <w:rFonts w:eastAsia="等线"/>
                <w:color w:val="000000"/>
                <w:kern w:val="0"/>
                <w:sz w:val="18"/>
                <w:szCs w:val="18"/>
              </w:rPr>
              <w:t xml:space="preserve"> </w:t>
            </w:r>
          </w:p>
        </w:tc>
        <w:tc>
          <w:tcPr>
            <w:tcW w:w="1844" w:type="dxa"/>
            <w:tcBorders>
              <w:top w:val="nil"/>
              <w:left w:val="nil"/>
              <w:bottom w:val="single" w:sz="4" w:space="0" w:color="auto"/>
              <w:right w:val="single" w:sz="4" w:space="0" w:color="auto"/>
            </w:tcBorders>
            <w:shd w:val="clear" w:color="auto" w:fill="auto"/>
            <w:vAlign w:val="center"/>
          </w:tcPr>
          <w:p w14:paraId="0A46CDA4" w14:textId="77777777" w:rsidR="00525C4A" w:rsidRDefault="004041B3">
            <w:pPr>
              <w:widowControl/>
              <w:spacing w:line="240" w:lineRule="exact"/>
              <w:ind w:firstLineChars="0" w:firstLine="0"/>
              <w:rPr>
                <w:rFonts w:eastAsia="等线"/>
                <w:color w:val="000000"/>
                <w:kern w:val="0"/>
                <w:sz w:val="18"/>
                <w:szCs w:val="18"/>
              </w:rPr>
            </w:pPr>
            <w:r>
              <w:rPr>
                <w:rFonts w:eastAsia="等线"/>
                <w:color w:val="000000"/>
                <w:kern w:val="0"/>
                <w:sz w:val="18"/>
                <w:szCs w:val="18"/>
              </w:rPr>
              <w:t>3.01</w:t>
            </w:r>
            <w:r>
              <w:rPr>
                <w:rFonts w:eastAsia="楷体"/>
                <w:color w:val="000000"/>
                <w:kern w:val="0"/>
                <w:sz w:val="18"/>
                <w:szCs w:val="18"/>
              </w:rPr>
              <w:t>亿</w:t>
            </w:r>
            <w:r>
              <w:rPr>
                <w:rFonts w:eastAsia="等线"/>
                <w:color w:val="000000"/>
                <w:kern w:val="0"/>
                <w:sz w:val="18"/>
                <w:szCs w:val="18"/>
              </w:rPr>
              <w:t xml:space="preserve"> </w:t>
            </w:r>
          </w:p>
        </w:tc>
      </w:tr>
      <w:tr w:rsidR="00525C4A" w14:paraId="7487A08F" w14:textId="77777777">
        <w:trPr>
          <w:trHeight w:val="259"/>
        </w:trPr>
        <w:tc>
          <w:tcPr>
            <w:tcW w:w="1421" w:type="dxa"/>
            <w:tcBorders>
              <w:top w:val="nil"/>
              <w:left w:val="single" w:sz="4" w:space="0" w:color="auto"/>
              <w:bottom w:val="single" w:sz="4" w:space="0" w:color="auto"/>
              <w:right w:val="single" w:sz="4" w:space="0" w:color="auto"/>
            </w:tcBorders>
            <w:shd w:val="clear" w:color="auto" w:fill="auto"/>
            <w:vAlign w:val="center"/>
          </w:tcPr>
          <w:p w14:paraId="48505F10"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分层情况、规模、评级、票面利率、期限</w:t>
            </w:r>
          </w:p>
        </w:tc>
        <w:tc>
          <w:tcPr>
            <w:tcW w:w="2543" w:type="dxa"/>
            <w:tcBorders>
              <w:top w:val="nil"/>
              <w:left w:val="nil"/>
              <w:bottom w:val="single" w:sz="4" w:space="0" w:color="auto"/>
              <w:right w:val="single" w:sz="4" w:space="0" w:color="auto"/>
            </w:tcBorders>
            <w:shd w:val="clear" w:color="auto" w:fill="auto"/>
            <w:vAlign w:val="center"/>
          </w:tcPr>
          <w:p w14:paraId="4E5BBD08"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优先</w:t>
            </w:r>
            <w:r>
              <w:rPr>
                <w:rFonts w:eastAsia="楷体"/>
                <w:b/>
                <w:bCs/>
                <w:color w:val="FF0000"/>
                <w:kern w:val="0"/>
                <w:sz w:val="18"/>
                <w:szCs w:val="18"/>
              </w:rPr>
              <w:t>A1</w:t>
            </w:r>
            <w:r>
              <w:rPr>
                <w:rFonts w:eastAsia="楷体"/>
                <w:b/>
                <w:bCs/>
                <w:color w:val="FF0000"/>
                <w:kern w:val="0"/>
                <w:sz w:val="18"/>
                <w:szCs w:val="18"/>
              </w:rPr>
              <w:t>：</w:t>
            </w:r>
            <w:r>
              <w:rPr>
                <w:rFonts w:eastAsia="楷体"/>
                <w:b/>
                <w:bCs/>
                <w:color w:val="FF0000"/>
                <w:kern w:val="0"/>
                <w:sz w:val="18"/>
                <w:szCs w:val="18"/>
              </w:rPr>
              <w:t>3,1</w:t>
            </w:r>
            <w:r>
              <w:rPr>
                <w:rFonts w:eastAsia="楷体"/>
                <w:b/>
                <w:bCs/>
                <w:color w:val="FF0000"/>
                <w:kern w:val="0"/>
                <w:sz w:val="18"/>
                <w:szCs w:val="18"/>
              </w:rPr>
              <w:t>亿元，</w:t>
            </w:r>
            <w:r>
              <w:rPr>
                <w:rFonts w:eastAsia="楷体"/>
                <w:b/>
                <w:bCs/>
                <w:color w:val="FF0000"/>
                <w:kern w:val="0"/>
                <w:sz w:val="18"/>
                <w:szCs w:val="18"/>
              </w:rPr>
              <w:t>AAA</w:t>
            </w:r>
            <w:r>
              <w:rPr>
                <w:rFonts w:eastAsia="楷体"/>
                <w:b/>
                <w:bCs/>
                <w:color w:val="FF0000"/>
                <w:kern w:val="0"/>
                <w:sz w:val="18"/>
                <w:szCs w:val="18"/>
              </w:rPr>
              <w:t>，</w:t>
            </w:r>
            <w:r>
              <w:rPr>
                <w:rFonts w:eastAsia="楷体"/>
                <w:b/>
                <w:bCs/>
                <w:color w:val="FF0000"/>
                <w:kern w:val="0"/>
                <w:sz w:val="18"/>
                <w:szCs w:val="18"/>
              </w:rPr>
              <w:t>5.1%</w:t>
            </w:r>
            <w:r>
              <w:rPr>
                <w:rFonts w:eastAsia="楷体"/>
                <w:b/>
                <w:bCs/>
                <w:color w:val="FF0000"/>
                <w:kern w:val="0"/>
                <w:sz w:val="18"/>
                <w:szCs w:val="18"/>
              </w:rPr>
              <w:t>，</w:t>
            </w:r>
            <w:r>
              <w:rPr>
                <w:rFonts w:eastAsia="楷体"/>
                <w:b/>
                <w:bCs/>
                <w:color w:val="FF0000"/>
                <w:kern w:val="0"/>
                <w:sz w:val="18"/>
                <w:szCs w:val="18"/>
              </w:rPr>
              <w:t>0.75</w:t>
            </w:r>
            <w:r>
              <w:rPr>
                <w:rFonts w:eastAsia="楷体"/>
                <w:b/>
                <w:bCs/>
                <w:color w:val="FF0000"/>
                <w:kern w:val="0"/>
                <w:sz w:val="18"/>
                <w:szCs w:val="18"/>
              </w:rPr>
              <w:t>年</w:t>
            </w:r>
          </w:p>
          <w:p w14:paraId="306FBC0A"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优先</w:t>
            </w:r>
            <w:r>
              <w:rPr>
                <w:rFonts w:eastAsia="楷体"/>
                <w:b/>
                <w:bCs/>
                <w:color w:val="FF0000"/>
                <w:kern w:val="0"/>
                <w:sz w:val="18"/>
                <w:szCs w:val="18"/>
              </w:rPr>
              <w:t>A2</w:t>
            </w:r>
            <w:r>
              <w:rPr>
                <w:rFonts w:eastAsia="楷体"/>
                <w:b/>
                <w:bCs/>
                <w:color w:val="FF0000"/>
                <w:kern w:val="0"/>
                <w:sz w:val="18"/>
                <w:szCs w:val="18"/>
              </w:rPr>
              <w:t>：</w:t>
            </w:r>
            <w:r>
              <w:rPr>
                <w:rFonts w:eastAsia="楷体"/>
                <w:b/>
                <w:bCs/>
                <w:color w:val="FF0000"/>
                <w:kern w:val="0"/>
                <w:sz w:val="18"/>
                <w:szCs w:val="18"/>
              </w:rPr>
              <w:t>2.75</w:t>
            </w:r>
            <w:r>
              <w:rPr>
                <w:rFonts w:eastAsia="楷体"/>
                <w:b/>
                <w:bCs/>
                <w:color w:val="FF0000"/>
                <w:kern w:val="0"/>
                <w:sz w:val="18"/>
                <w:szCs w:val="18"/>
              </w:rPr>
              <w:t>亿元，</w:t>
            </w:r>
            <w:r>
              <w:rPr>
                <w:rFonts w:eastAsia="楷体"/>
                <w:b/>
                <w:bCs/>
                <w:color w:val="FF0000"/>
                <w:kern w:val="0"/>
                <w:sz w:val="18"/>
                <w:szCs w:val="18"/>
              </w:rPr>
              <w:t>AAA</w:t>
            </w:r>
            <w:r>
              <w:rPr>
                <w:rFonts w:eastAsia="楷体"/>
                <w:b/>
                <w:bCs/>
                <w:color w:val="FF0000"/>
                <w:kern w:val="0"/>
                <w:sz w:val="18"/>
                <w:szCs w:val="18"/>
              </w:rPr>
              <w:t>，</w:t>
            </w:r>
            <w:r>
              <w:rPr>
                <w:rFonts w:eastAsia="楷体"/>
                <w:b/>
                <w:bCs/>
                <w:color w:val="FF0000"/>
                <w:kern w:val="0"/>
                <w:sz w:val="18"/>
                <w:szCs w:val="18"/>
              </w:rPr>
              <w:t>5.4%</w:t>
            </w:r>
            <w:r>
              <w:rPr>
                <w:rFonts w:eastAsia="楷体"/>
                <w:b/>
                <w:bCs/>
                <w:color w:val="FF0000"/>
                <w:kern w:val="0"/>
                <w:sz w:val="18"/>
                <w:szCs w:val="18"/>
              </w:rPr>
              <w:t>，</w:t>
            </w:r>
            <w:r>
              <w:rPr>
                <w:rFonts w:eastAsia="楷体"/>
                <w:b/>
                <w:bCs/>
                <w:color w:val="FF0000"/>
                <w:kern w:val="0"/>
                <w:sz w:val="18"/>
                <w:szCs w:val="18"/>
              </w:rPr>
              <w:t>1.75</w:t>
            </w:r>
            <w:r>
              <w:rPr>
                <w:rFonts w:eastAsia="楷体"/>
                <w:b/>
                <w:bCs/>
                <w:color w:val="FF0000"/>
                <w:kern w:val="0"/>
                <w:sz w:val="18"/>
                <w:szCs w:val="18"/>
              </w:rPr>
              <w:t>年</w:t>
            </w:r>
          </w:p>
          <w:p w14:paraId="498DA732"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优先</w:t>
            </w:r>
            <w:r>
              <w:rPr>
                <w:rFonts w:eastAsia="楷体"/>
                <w:b/>
                <w:bCs/>
                <w:color w:val="FF0000"/>
                <w:kern w:val="0"/>
                <w:sz w:val="18"/>
                <w:szCs w:val="18"/>
              </w:rPr>
              <w:t>A3</w:t>
            </w:r>
            <w:r>
              <w:rPr>
                <w:rFonts w:eastAsia="楷体"/>
                <w:b/>
                <w:bCs/>
                <w:color w:val="FF0000"/>
                <w:kern w:val="0"/>
                <w:sz w:val="18"/>
                <w:szCs w:val="18"/>
              </w:rPr>
              <w:t>：</w:t>
            </w:r>
            <w:r>
              <w:rPr>
                <w:rFonts w:eastAsia="楷体"/>
                <w:b/>
                <w:bCs/>
                <w:color w:val="FF0000"/>
                <w:kern w:val="0"/>
                <w:sz w:val="18"/>
                <w:szCs w:val="18"/>
              </w:rPr>
              <w:t>1.11</w:t>
            </w:r>
            <w:r>
              <w:rPr>
                <w:rFonts w:eastAsia="楷体"/>
                <w:b/>
                <w:bCs/>
                <w:color w:val="FF0000"/>
                <w:kern w:val="0"/>
                <w:sz w:val="18"/>
                <w:szCs w:val="18"/>
              </w:rPr>
              <w:t>亿元，</w:t>
            </w:r>
            <w:r>
              <w:rPr>
                <w:rFonts w:eastAsia="楷体"/>
                <w:b/>
                <w:bCs/>
                <w:color w:val="FF0000"/>
                <w:kern w:val="0"/>
                <w:sz w:val="18"/>
                <w:szCs w:val="18"/>
              </w:rPr>
              <w:t>AAA</w:t>
            </w:r>
            <w:r>
              <w:rPr>
                <w:rFonts w:eastAsia="楷体"/>
                <w:b/>
                <w:bCs/>
                <w:color w:val="FF0000"/>
                <w:kern w:val="0"/>
                <w:sz w:val="18"/>
                <w:szCs w:val="18"/>
              </w:rPr>
              <w:t>，</w:t>
            </w:r>
            <w:r>
              <w:rPr>
                <w:rFonts w:eastAsia="楷体"/>
                <w:b/>
                <w:bCs/>
                <w:color w:val="FF0000"/>
                <w:kern w:val="0"/>
                <w:sz w:val="18"/>
                <w:szCs w:val="18"/>
              </w:rPr>
              <w:t>5.5%</w:t>
            </w:r>
            <w:r>
              <w:rPr>
                <w:rFonts w:eastAsia="楷体"/>
                <w:b/>
                <w:bCs/>
                <w:color w:val="FF0000"/>
                <w:kern w:val="0"/>
                <w:sz w:val="18"/>
                <w:szCs w:val="18"/>
              </w:rPr>
              <w:t>，</w:t>
            </w:r>
            <w:r>
              <w:rPr>
                <w:rFonts w:eastAsia="楷体"/>
                <w:b/>
                <w:bCs/>
                <w:color w:val="FF0000"/>
                <w:kern w:val="0"/>
                <w:sz w:val="18"/>
                <w:szCs w:val="18"/>
              </w:rPr>
              <w:t>2.5</w:t>
            </w:r>
            <w:r>
              <w:rPr>
                <w:rFonts w:eastAsia="楷体"/>
                <w:b/>
                <w:bCs/>
                <w:color w:val="FF0000"/>
                <w:kern w:val="0"/>
                <w:sz w:val="18"/>
                <w:szCs w:val="18"/>
              </w:rPr>
              <w:t>年</w:t>
            </w:r>
          </w:p>
          <w:p w14:paraId="5A5401A7" w14:textId="77777777" w:rsidR="00525C4A" w:rsidRDefault="004041B3">
            <w:pPr>
              <w:widowControl/>
              <w:spacing w:line="240" w:lineRule="exact"/>
              <w:ind w:firstLineChars="0" w:firstLine="0"/>
              <w:rPr>
                <w:rFonts w:eastAsia="楷体"/>
                <w:b/>
                <w:bCs/>
                <w:color w:val="FF0000"/>
                <w:kern w:val="0"/>
                <w:sz w:val="16"/>
                <w:szCs w:val="16"/>
              </w:rPr>
            </w:pPr>
            <w:r>
              <w:rPr>
                <w:rFonts w:eastAsia="楷体"/>
                <w:b/>
                <w:bCs/>
                <w:color w:val="FF0000"/>
                <w:kern w:val="0"/>
                <w:sz w:val="18"/>
                <w:szCs w:val="18"/>
              </w:rPr>
              <w:t>次级：</w:t>
            </w:r>
            <w:r>
              <w:rPr>
                <w:rFonts w:eastAsia="楷体"/>
                <w:b/>
                <w:bCs/>
                <w:color w:val="FF0000"/>
                <w:kern w:val="0"/>
                <w:sz w:val="18"/>
                <w:szCs w:val="18"/>
              </w:rPr>
              <w:t>0.37</w:t>
            </w:r>
            <w:r>
              <w:rPr>
                <w:rFonts w:eastAsia="楷体"/>
                <w:b/>
                <w:bCs/>
                <w:color w:val="FF0000"/>
                <w:kern w:val="0"/>
                <w:sz w:val="18"/>
                <w:szCs w:val="18"/>
              </w:rPr>
              <w:t>亿元，</w:t>
            </w:r>
            <w:r>
              <w:rPr>
                <w:rFonts w:eastAsia="楷体"/>
                <w:b/>
                <w:bCs/>
                <w:color w:val="FF0000"/>
                <w:kern w:val="0"/>
                <w:sz w:val="18"/>
                <w:szCs w:val="18"/>
              </w:rPr>
              <w:t>2.5</w:t>
            </w:r>
            <w:r>
              <w:rPr>
                <w:rFonts w:eastAsia="楷体"/>
                <w:b/>
                <w:bCs/>
                <w:color w:val="FF0000"/>
                <w:kern w:val="0"/>
                <w:sz w:val="18"/>
                <w:szCs w:val="18"/>
              </w:rPr>
              <w:t>年</w:t>
            </w:r>
          </w:p>
        </w:tc>
        <w:tc>
          <w:tcPr>
            <w:tcW w:w="2551" w:type="dxa"/>
            <w:tcBorders>
              <w:top w:val="nil"/>
              <w:left w:val="nil"/>
              <w:bottom w:val="single" w:sz="4" w:space="0" w:color="auto"/>
              <w:right w:val="single" w:sz="4" w:space="0" w:color="auto"/>
            </w:tcBorders>
            <w:shd w:val="clear" w:color="auto" w:fill="auto"/>
            <w:vAlign w:val="center"/>
          </w:tcPr>
          <w:p w14:paraId="63D0515C"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优先</w:t>
            </w:r>
            <w:r>
              <w:rPr>
                <w:rFonts w:eastAsia="楷体"/>
                <w:b/>
                <w:bCs/>
                <w:color w:val="FF0000"/>
                <w:kern w:val="0"/>
                <w:sz w:val="18"/>
                <w:szCs w:val="18"/>
              </w:rPr>
              <w:t>A1</w:t>
            </w:r>
            <w:r>
              <w:rPr>
                <w:rFonts w:eastAsia="楷体"/>
                <w:b/>
                <w:bCs/>
                <w:color w:val="FF0000"/>
                <w:kern w:val="0"/>
                <w:sz w:val="18"/>
                <w:szCs w:val="18"/>
              </w:rPr>
              <w:t>：</w:t>
            </w:r>
            <w:r>
              <w:rPr>
                <w:rFonts w:eastAsia="楷体"/>
                <w:b/>
                <w:bCs/>
                <w:color w:val="FF0000"/>
                <w:kern w:val="0"/>
                <w:sz w:val="18"/>
                <w:szCs w:val="18"/>
              </w:rPr>
              <w:t>0.46</w:t>
            </w:r>
            <w:r>
              <w:rPr>
                <w:rFonts w:eastAsia="楷体"/>
                <w:b/>
                <w:bCs/>
                <w:color w:val="FF0000"/>
                <w:kern w:val="0"/>
                <w:sz w:val="18"/>
                <w:szCs w:val="18"/>
              </w:rPr>
              <w:t>亿元，</w:t>
            </w:r>
            <w:r>
              <w:rPr>
                <w:rFonts w:eastAsia="楷体"/>
                <w:b/>
                <w:bCs/>
                <w:color w:val="FF0000"/>
                <w:kern w:val="0"/>
                <w:sz w:val="18"/>
                <w:szCs w:val="18"/>
              </w:rPr>
              <w:t>AAA</w:t>
            </w:r>
            <w:r>
              <w:rPr>
                <w:rFonts w:eastAsia="楷体"/>
                <w:b/>
                <w:bCs/>
                <w:color w:val="FF0000"/>
                <w:kern w:val="0"/>
                <w:sz w:val="18"/>
                <w:szCs w:val="18"/>
              </w:rPr>
              <w:t>，</w:t>
            </w:r>
            <w:r>
              <w:rPr>
                <w:rFonts w:eastAsia="楷体"/>
                <w:b/>
                <w:bCs/>
                <w:color w:val="FF0000"/>
                <w:kern w:val="0"/>
                <w:sz w:val="18"/>
                <w:szCs w:val="18"/>
              </w:rPr>
              <w:t>5%</w:t>
            </w:r>
            <w:r>
              <w:rPr>
                <w:rFonts w:eastAsia="楷体"/>
                <w:b/>
                <w:bCs/>
                <w:color w:val="FF0000"/>
                <w:kern w:val="0"/>
                <w:sz w:val="18"/>
                <w:szCs w:val="18"/>
              </w:rPr>
              <w:t>，</w:t>
            </w:r>
            <w:r>
              <w:rPr>
                <w:rFonts w:eastAsia="楷体"/>
                <w:b/>
                <w:bCs/>
                <w:color w:val="FF0000"/>
                <w:kern w:val="0"/>
                <w:sz w:val="18"/>
                <w:szCs w:val="18"/>
              </w:rPr>
              <w:t>1</w:t>
            </w:r>
            <w:r>
              <w:rPr>
                <w:rFonts w:eastAsia="楷体"/>
                <w:b/>
                <w:bCs/>
                <w:color w:val="FF0000"/>
                <w:kern w:val="0"/>
                <w:sz w:val="18"/>
                <w:szCs w:val="18"/>
              </w:rPr>
              <w:t>年</w:t>
            </w:r>
          </w:p>
          <w:p w14:paraId="49CE33A0"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优先</w:t>
            </w:r>
            <w:r>
              <w:rPr>
                <w:rFonts w:eastAsia="楷体"/>
                <w:b/>
                <w:bCs/>
                <w:color w:val="FF0000"/>
                <w:kern w:val="0"/>
                <w:sz w:val="18"/>
                <w:szCs w:val="18"/>
              </w:rPr>
              <w:t>A2</w:t>
            </w:r>
            <w:r>
              <w:rPr>
                <w:rFonts w:eastAsia="楷体"/>
                <w:b/>
                <w:bCs/>
                <w:color w:val="FF0000"/>
                <w:kern w:val="0"/>
                <w:sz w:val="18"/>
                <w:szCs w:val="18"/>
              </w:rPr>
              <w:t>：</w:t>
            </w:r>
            <w:r>
              <w:rPr>
                <w:rFonts w:eastAsia="楷体"/>
                <w:b/>
                <w:bCs/>
                <w:color w:val="FF0000"/>
                <w:kern w:val="0"/>
                <w:sz w:val="18"/>
                <w:szCs w:val="18"/>
              </w:rPr>
              <w:t>4</w:t>
            </w:r>
            <w:r>
              <w:rPr>
                <w:rFonts w:eastAsia="楷体"/>
                <w:b/>
                <w:bCs/>
                <w:color w:val="FF0000"/>
                <w:kern w:val="0"/>
                <w:sz w:val="18"/>
                <w:szCs w:val="18"/>
              </w:rPr>
              <w:t>亿元，</w:t>
            </w:r>
            <w:r>
              <w:rPr>
                <w:rFonts w:eastAsia="楷体"/>
                <w:b/>
                <w:bCs/>
                <w:color w:val="FF0000"/>
                <w:kern w:val="0"/>
                <w:sz w:val="18"/>
                <w:szCs w:val="18"/>
              </w:rPr>
              <w:t>AAA</w:t>
            </w:r>
            <w:r>
              <w:rPr>
                <w:rFonts w:eastAsia="楷体"/>
                <w:b/>
                <w:bCs/>
                <w:color w:val="FF0000"/>
                <w:kern w:val="0"/>
                <w:sz w:val="18"/>
                <w:szCs w:val="18"/>
              </w:rPr>
              <w:t>，</w:t>
            </w:r>
            <w:r>
              <w:rPr>
                <w:rFonts w:eastAsia="楷体"/>
                <w:b/>
                <w:bCs/>
                <w:color w:val="FF0000"/>
                <w:kern w:val="0"/>
                <w:sz w:val="18"/>
                <w:szCs w:val="18"/>
              </w:rPr>
              <w:t>5.5%</w:t>
            </w:r>
            <w:r>
              <w:rPr>
                <w:rFonts w:eastAsia="楷体"/>
                <w:b/>
                <w:bCs/>
                <w:color w:val="FF0000"/>
                <w:kern w:val="0"/>
                <w:sz w:val="18"/>
                <w:szCs w:val="18"/>
              </w:rPr>
              <w:t>，</w:t>
            </w:r>
            <w:r>
              <w:rPr>
                <w:rFonts w:eastAsia="楷体"/>
                <w:b/>
                <w:bCs/>
                <w:color w:val="FF0000"/>
                <w:kern w:val="0"/>
                <w:sz w:val="18"/>
                <w:szCs w:val="18"/>
              </w:rPr>
              <w:t>2</w:t>
            </w:r>
            <w:r>
              <w:rPr>
                <w:rFonts w:eastAsia="楷体"/>
                <w:b/>
                <w:bCs/>
                <w:color w:val="FF0000"/>
                <w:kern w:val="0"/>
                <w:sz w:val="18"/>
                <w:szCs w:val="18"/>
              </w:rPr>
              <w:t>年</w:t>
            </w:r>
          </w:p>
          <w:p w14:paraId="069F6EF9"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次级：</w:t>
            </w:r>
            <w:r>
              <w:rPr>
                <w:rFonts w:eastAsia="楷体"/>
                <w:b/>
                <w:bCs/>
                <w:color w:val="FF0000"/>
                <w:kern w:val="0"/>
                <w:sz w:val="18"/>
                <w:szCs w:val="18"/>
              </w:rPr>
              <w:t>0.24</w:t>
            </w:r>
            <w:r>
              <w:rPr>
                <w:rFonts w:eastAsia="楷体"/>
                <w:b/>
                <w:bCs/>
                <w:color w:val="FF0000"/>
                <w:kern w:val="0"/>
                <w:sz w:val="18"/>
                <w:szCs w:val="18"/>
              </w:rPr>
              <w:t>亿元，</w:t>
            </w:r>
            <w:r>
              <w:rPr>
                <w:rFonts w:eastAsia="楷体"/>
                <w:b/>
                <w:bCs/>
                <w:color w:val="FF0000"/>
                <w:kern w:val="0"/>
                <w:sz w:val="18"/>
                <w:szCs w:val="18"/>
              </w:rPr>
              <w:t>2</w:t>
            </w:r>
            <w:r>
              <w:rPr>
                <w:rFonts w:eastAsia="楷体"/>
                <w:b/>
                <w:bCs/>
                <w:color w:val="FF0000"/>
                <w:kern w:val="0"/>
                <w:sz w:val="18"/>
                <w:szCs w:val="18"/>
              </w:rPr>
              <w:t>年</w:t>
            </w:r>
          </w:p>
        </w:tc>
        <w:tc>
          <w:tcPr>
            <w:tcW w:w="1844" w:type="dxa"/>
            <w:tcBorders>
              <w:top w:val="nil"/>
              <w:left w:val="nil"/>
              <w:bottom w:val="single" w:sz="4" w:space="0" w:color="auto"/>
              <w:right w:val="single" w:sz="4" w:space="0" w:color="auto"/>
            </w:tcBorders>
            <w:shd w:val="clear" w:color="auto" w:fill="auto"/>
            <w:vAlign w:val="center"/>
          </w:tcPr>
          <w:p w14:paraId="2D7104E0"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优先级：</w:t>
            </w:r>
            <w:r>
              <w:rPr>
                <w:rFonts w:eastAsia="楷体"/>
                <w:b/>
                <w:bCs/>
                <w:color w:val="FF0000"/>
                <w:kern w:val="0"/>
                <w:sz w:val="18"/>
                <w:szCs w:val="18"/>
              </w:rPr>
              <w:t>2.8595</w:t>
            </w:r>
            <w:r>
              <w:rPr>
                <w:rFonts w:eastAsia="楷体"/>
                <w:b/>
                <w:bCs/>
                <w:color w:val="FF0000"/>
                <w:kern w:val="0"/>
                <w:sz w:val="18"/>
                <w:szCs w:val="18"/>
              </w:rPr>
              <w:t>亿元，</w:t>
            </w:r>
            <w:r>
              <w:rPr>
                <w:rFonts w:eastAsia="楷体"/>
                <w:b/>
                <w:bCs/>
                <w:color w:val="FF0000"/>
                <w:kern w:val="0"/>
                <w:sz w:val="18"/>
                <w:szCs w:val="18"/>
              </w:rPr>
              <w:t>AAA</w:t>
            </w:r>
            <w:r>
              <w:rPr>
                <w:rFonts w:eastAsia="楷体"/>
                <w:b/>
                <w:bCs/>
                <w:color w:val="FF0000"/>
                <w:kern w:val="0"/>
                <w:sz w:val="18"/>
                <w:szCs w:val="18"/>
              </w:rPr>
              <w:t>，</w:t>
            </w:r>
            <w:r>
              <w:rPr>
                <w:rFonts w:eastAsia="楷体"/>
                <w:b/>
                <w:bCs/>
                <w:color w:val="FF0000"/>
                <w:kern w:val="0"/>
                <w:sz w:val="18"/>
                <w:szCs w:val="18"/>
              </w:rPr>
              <w:t>4%</w:t>
            </w:r>
            <w:r>
              <w:rPr>
                <w:rFonts w:eastAsia="楷体"/>
                <w:b/>
                <w:bCs/>
                <w:color w:val="FF0000"/>
                <w:kern w:val="0"/>
                <w:sz w:val="18"/>
                <w:szCs w:val="18"/>
              </w:rPr>
              <w:t>，约</w:t>
            </w:r>
            <w:r>
              <w:rPr>
                <w:rFonts w:eastAsia="楷体"/>
                <w:b/>
                <w:bCs/>
                <w:color w:val="FF0000"/>
                <w:kern w:val="0"/>
                <w:sz w:val="18"/>
                <w:szCs w:val="18"/>
              </w:rPr>
              <w:t>3.5-4</w:t>
            </w:r>
            <w:r>
              <w:rPr>
                <w:rFonts w:eastAsia="楷体"/>
                <w:b/>
                <w:bCs/>
                <w:color w:val="FF0000"/>
                <w:kern w:val="0"/>
                <w:sz w:val="18"/>
                <w:szCs w:val="18"/>
              </w:rPr>
              <w:t>年</w:t>
            </w:r>
          </w:p>
          <w:p w14:paraId="63D4C49D" w14:textId="77777777" w:rsidR="00525C4A" w:rsidRDefault="004041B3">
            <w:pPr>
              <w:widowControl/>
              <w:spacing w:line="240" w:lineRule="exact"/>
              <w:ind w:firstLineChars="0" w:firstLine="0"/>
              <w:rPr>
                <w:rFonts w:eastAsia="楷体"/>
                <w:b/>
                <w:bCs/>
                <w:color w:val="FF0000"/>
                <w:kern w:val="0"/>
                <w:sz w:val="18"/>
                <w:szCs w:val="18"/>
              </w:rPr>
            </w:pPr>
            <w:r>
              <w:rPr>
                <w:rFonts w:eastAsia="楷体"/>
                <w:b/>
                <w:bCs/>
                <w:color w:val="FF0000"/>
                <w:kern w:val="0"/>
                <w:sz w:val="18"/>
                <w:szCs w:val="18"/>
              </w:rPr>
              <w:t>次级：</w:t>
            </w:r>
            <w:r>
              <w:rPr>
                <w:rFonts w:eastAsia="楷体"/>
                <w:b/>
                <w:bCs/>
                <w:color w:val="FF0000"/>
                <w:kern w:val="0"/>
                <w:sz w:val="18"/>
                <w:szCs w:val="18"/>
              </w:rPr>
              <w:t>0.1505</w:t>
            </w:r>
            <w:r>
              <w:rPr>
                <w:rFonts w:eastAsia="楷体"/>
                <w:b/>
                <w:bCs/>
                <w:color w:val="FF0000"/>
                <w:kern w:val="0"/>
                <w:sz w:val="18"/>
                <w:szCs w:val="18"/>
              </w:rPr>
              <w:t>亿元，</w:t>
            </w:r>
            <w:r>
              <w:rPr>
                <w:rFonts w:eastAsia="楷体"/>
                <w:b/>
                <w:bCs/>
                <w:color w:val="FF0000"/>
                <w:kern w:val="0"/>
                <w:sz w:val="18"/>
                <w:szCs w:val="18"/>
              </w:rPr>
              <w:t>4-5</w:t>
            </w:r>
            <w:r>
              <w:rPr>
                <w:rFonts w:eastAsia="楷体"/>
                <w:b/>
                <w:bCs/>
                <w:color w:val="FF0000"/>
                <w:kern w:val="0"/>
                <w:sz w:val="18"/>
                <w:szCs w:val="18"/>
              </w:rPr>
              <w:t>年</w:t>
            </w:r>
          </w:p>
        </w:tc>
      </w:tr>
      <w:tr w:rsidR="00525C4A" w14:paraId="055EAE32" w14:textId="77777777">
        <w:trPr>
          <w:trHeight w:val="429"/>
        </w:trPr>
        <w:tc>
          <w:tcPr>
            <w:tcW w:w="1421" w:type="dxa"/>
            <w:tcBorders>
              <w:top w:val="nil"/>
              <w:left w:val="single" w:sz="4" w:space="0" w:color="auto"/>
              <w:bottom w:val="single" w:sz="4" w:space="0" w:color="auto"/>
              <w:right w:val="single" w:sz="4" w:space="0" w:color="auto"/>
            </w:tcBorders>
            <w:shd w:val="clear" w:color="auto" w:fill="auto"/>
            <w:vAlign w:val="center"/>
          </w:tcPr>
          <w:p w14:paraId="122792E0" w14:textId="77777777" w:rsidR="00525C4A" w:rsidRDefault="004041B3">
            <w:pPr>
              <w:widowControl/>
              <w:spacing w:line="240" w:lineRule="exact"/>
              <w:ind w:firstLineChars="0" w:firstLine="0"/>
              <w:rPr>
                <w:rFonts w:eastAsia="等线"/>
                <w:b/>
                <w:bCs/>
                <w:color w:val="000000"/>
                <w:kern w:val="0"/>
                <w:sz w:val="18"/>
                <w:szCs w:val="18"/>
              </w:rPr>
            </w:pPr>
            <w:r>
              <w:rPr>
                <w:rFonts w:eastAsia="楷体"/>
                <w:b/>
                <w:bCs/>
                <w:color w:val="000000"/>
                <w:kern w:val="0"/>
                <w:sz w:val="18"/>
                <w:szCs w:val="18"/>
              </w:rPr>
              <w:t>项目模式</w:t>
            </w:r>
            <w:r>
              <w:rPr>
                <w:rFonts w:eastAsia="等线"/>
                <w:b/>
                <w:bCs/>
                <w:color w:val="000000"/>
                <w:kern w:val="0"/>
                <w:sz w:val="18"/>
                <w:szCs w:val="18"/>
              </w:rPr>
              <w:t xml:space="preserve"> </w:t>
            </w:r>
          </w:p>
        </w:tc>
        <w:tc>
          <w:tcPr>
            <w:tcW w:w="2543" w:type="dxa"/>
            <w:tcBorders>
              <w:top w:val="nil"/>
              <w:left w:val="nil"/>
              <w:bottom w:val="single" w:sz="4" w:space="0" w:color="auto"/>
              <w:right w:val="single" w:sz="4" w:space="0" w:color="auto"/>
            </w:tcBorders>
            <w:shd w:val="clear" w:color="auto" w:fill="auto"/>
            <w:vAlign w:val="center"/>
          </w:tcPr>
          <w:p w14:paraId="133A57D8"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融资租赁</w:t>
            </w:r>
            <w:r>
              <w:rPr>
                <w:rFonts w:eastAsia="等线"/>
                <w:color w:val="000000"/>
                <w:kern w:val="0"/>
                <w:sz w:val="18"/>
                <w:szCs w:val="18"/>
              </w:rPr>
              <w:t>abs</w:t>
            </w:r>
            <w:r>
              <w:rPr>
                <w:rFonts w:eastAsia="楷体"/>
                <w:color w:val="000000"/>
                <w:kern w:val="0"/>
                <w:sz w:val="18"/>
                <w:szCs w:val="18"/>
              </w:rPr>
              <w:t>成熟模式</w:t>
            </w:r>
            <w:r>
              <w:rPr>
                <w:rFonts w:eastAsia="等线"/>
                <w:color w:val="000000"/>
                <w:kern w:val="0"/>
                <w:sz w:val="18"/>
                <w:szCs w:val="18"/>
              </w:rPr>
              <w:t xml:space="preserve"> </w:t>
            </w:r>
          </w:p>
        </w:tc>
        <w:tc>
          <w:tcPr>
            <w:tcW w:w="2551" w:type="dxa"/>
            <w:tcBorders>
              <w:top w:val="nil"/>
              <w:left w:val="nil"/>
              <w:bottom w:val="single" w:sz="4" w:space="0" w:color="auto"/>
              <w:right w:val="single" w:sz="4" w:space="0" w:color="auto"/>
            </w:tcBorders>
            <w:shd w:val="clear" w:color="auto" w:fill="auto"/>
            <w:vAlign w:val="center"/>
          </w:tcPr>
          <w:p w14:paraId="4048C359" w14:textId="77777777" w:rsidR="00525C4A" w:rsidRDefault="004041B3">
            <w:pPr>
              <w:widowControl/>
              <w:spacing w:line="240" w:lineRule="exact"/>
              <w:ind w:firstLineChars="0" w:firstLine="0"/>
              <w:rPr>
                <w:rFonts w:eastAsia="等线"/>
                <w:color w:val="000000"/>
                <w:kern w:val="0"/>
                <w:sz w:val="18"/>
                <w:szCs w:val="18"/>
              </w:rPr>
            </w:pPr>
            <w:r>
              <w:rPr>
                <w:rFonts w:eastAsia="楷体"/>
                <w:color w:val="000000"/>
                <w:kern w:val="0"/>
                <w:sz w:val="18"/>
                <w:szCs w:val="18"/>
              </w:rPr>
              <w:t>供应</w:t>
            </w:r>
            <w:proofErr w:type="gramStart"/>
            <w:r>
              <w:rPr>
                <w:rFonts w:eastAsia="楷体"/>
                <w:color w:val="000000"/>
                <w:kern w:val="0"/>
                <w:sz w:val="18"/>
                <w:szCs w:val="18"/>
              </w:rPr>
              <w:t>链金融</w:t>
            </w:r>
            <w:proofErr w:type="gramEnd"/>
            <w:r>
              <w:rPr>
                <w:rFonts w:eastAsia="等线"/>
                <w:color w:val="000000"/>
                <w:kern w:val="0"/>
                <w:sz w:val="18"/>
                <w:szCs w:val="18"/>
              </w:rPr>
              <w:t>abs</w:t>
            </w:r>
            <w:r>
              <w:rPr>
                <w:rFonts w:eastAsia="楷体"/>
                <w:color w:val="000000"/>
                <w:kern w:val="0"/>
                <w:sz w:val="18"/>
                <w:szCs w:val="18"/>
              </w:rPr>
              <w:t>成熟模式</w:t>
            </w:r>
            <w:r>
              <w:rPr>
                <w:rFonts w:eastAsia="等线"/>
                <w:color w:val="000000"/>
                <w:kern w:val="0"/>
                <w:sz w:val="18"/>
                <w:szCs w:val="18"/>
              </w:rPr>
              <w:t xml:space="preserve"> </w:t>
            </w:r>
          </w:p>
        </w:tc>
        <w:tc>
          <w:tcPr>
            <w:tcW w:w="1844" w:type="dxa"/>
            <w:tcBorders>
              <w:top w:val="nil"/>
              <w:left w:val="nil"/>
              <w:bottom w:val="single" w:sz="4" w:space="0" w:color="auto"/>
              <w:right w:val="single" w:sz="4" w:space="0" w:color="auto"/>
            </w:tcBorders>
            <w:shd w:val="clear" w:color="auto" w:fill="auto"/>
            <w:vAlign w:val="center"/>
          </w:tcPr>
          <w:p w14:paraId="427B0AEB" w14:textId="77777777" w:rsidR="00525C4A" w:rsidRDefault="004041B3">
            <w:pPr>
              <w:widowControl/>
              <w:spacing w:line="240" w:lineRule="exact"/>
              <w:ind w:firstLineChars="0" w:firstLine="0"/>
              <w:rPr>
                <w:rFonts w:eastAsia="楷体"/>
                <w:color w:val="000000"/>
                <w:kern w:val="0"/>
                <w:sz w:val="18"/>
                <w:szCs w:val="18"/>
              </w:rPr>
            </w:pPr>
            <w:r>
              <w:rPr>
                <w:rFonts w:eastAsia="楷体"/>
                <w:color w:val="000000"/>
                <w:kern w:val="0"/>
                <w:sz w:val="18"/>
                <w:szCs w:val="18"/>
              </w:rPr>
              <w:t>基于专利许可费应收债权，</w:t>
            </w:r>
            <w:r>
              <w:rPr>
                <w:rFonts w:eastAsia="等线"/>
                <w:color w:val="000000"/>
                <w:kern w:val="0"/>
                <w:sz w:val="18"/>
                <w:szCs w:val="18"/>
              </w:rPr>
              <w:t xml:space="preserve"> </w:t>
            </w:r>
            <w:r>
              <w:rPr>
                <w:rFonts w:eastAsia="楷体"/>
                <w:color w:val="000000"/>
                <w:kern w:val="0"/>
                <w:sz w:val="18"/>
                <w:szCs w:val="18"/>
              </w:rPr>
              <w:t>行业首创</w:t>
            </w:r>
          </w:p>
        </w:tc>
      </w:tr>
    </w:tbl>
    <w:p w14:paraId="1C4D58F5" w14:textId="77777777" w:rsidR="00525C4A" w:rsidRDefault="004041B3">
      <w:pPr>
        <w:pStyle w:val="g"/>
        <w:widowControl w:val="0"/>
        <w:tabs>
          <w:tab w:val="left" w:pos="3960"/>
        </w:tabs>
        <w:ind w:firstLineChars="200" w:firstLine="420"/>
        <w:jc w:val="both"/>
        <w:rPr>
          <w:b w:val="0"/>
          <w:bCs/>
        </w:rPr>
      </w:pPr>
      <w:r>
        <w:rPr>
          <w:b w:val="0"/>
          <w:bCs/>
        </w:rPr>
        <w:t>数据来源：公开资料，兴业证券经济与金融研究院整理</w:t>
      </w:r>
    </w:p>
    <w:p w14:paraId="5E5A6999" w14:textId="77777777" w:rsidR="00525C4A" w:rsidRDefault="00525C4A">
      <w:pPr>
        <w:ind w:firstLine="480"/>
      </w:pPr>
    </w:p>
    <w:p w14:paraId="4D91EE12" w14:textId="77777777" w:rsidR="00525C4A" w:rsidRDefault="004041B3">
      <w:pPr>
        <w:ind w:firstLine="480"/>
        <w:rPr>
          <w:rFonts w:ascii="仿宋" w:eastAsia="仿宋" w:hAnsi="仿宋"/>
          <w:szCs w:val="32"/>
        </w:rPr>
      </w:pPr>
      <w:r>
        <w:rPr>
          <w:rFonts w:hint="eastAsia"/>
        </w:rPr>
        <w:t>对比同在</w:t>
      </w:r>
      <w:r>
        <w:t>2019</w:t>
      </w:r>
      <w:r>
        <w:rPr>
          <w:rFonts w:hint="eastAsia"/>
        </w:rPr>
        <w:t>年发行，与兴业圆融</w:t>
      </w:r>
      <w:r>
        <w:t>-</w:t>
      </w:r>
      <w:r>
        <w:rPr>
          <w:rFonts w:hint="eastAsia"/>
        </w:rPr>
        <w:t>广州开发区专利许可资产支持专项计划的优先级发行期限相似（</w:t>
      </w:r>
      <w:r>
        <w:t>3.5-4</w:t>
      </w:r>
      <w:r>
        <w:rPr>
          <w:rFonts w:hint="eastAsia"/>
        </w:rPr>
        <w:t>年），债项评级皆为</w:t>
      </w:r>
      <w:r>
        <w:t>AAA</w:t>
      </w:r>
      <w:r>
        <w:rPr>
          <w:rFonts w:hint="eastAsia"/>
        </w:rPr>
        <w:t>的其他企业</w:t>
      </w:r>
      <w:r>
        <w:t>ABS</w:t>
      </w:r>
      <w:r>
        <w:rPr>
          <w:rFonts w:hint="eastAsia"/>
        </w:rPr>
        <w:t>产品，可以看出兴业圆</w:t>
      </w:r>
      <w:proofErr w:type="gramStart"/>
      <w:r>
        <w:rPr>
          <w:rFonts w:hint="eastAsia"/>
        </w:rPr>
        <w:t>融产品</w:t>
      </w:r>
      <w:proofErr w:type="gramEnd"/>
      <w:r>
        <w:rPr>
          <w:rFonts w:hint="eastAsia"/>
        </w:rPr>
        <w:t>的票面利率处于较低水平，具有明显的成本优势。</w:t>
      </w:r>
    </w:p>
    <w:p w14:paraId="7266FA0F" w14:textId="77777777" w:rsidR="00525C4A" w:rsidRDefault="00525C4A">
      <w:pPr>
        <w:ind w:firstLine="480"/>
      </w:pPr>
      <w:bookmarkStart w:id="30" w:name="_Toc34325641"/>
    </w:p>
    <w:p w14:paraId="73940343" w14:textId="01680B8C" w:rsidR="00525C4A" w:rsidRDefault="004041B3">
      <w:pPr>
        <w:ind w:firstLine="480"/>
        <w:rPr>
          <w:rFonts w:ascii="楷体_GB2312" w:eastAsia="楷体_GB2312" w:hAnsi="楷体_GB2312" w:cs="楷体_GB2312"/>
          <w:b/>
          <w:bCs/>
        </w:rPr>
      </w:pPr>
      <w:r>
        <w:rPr>
          <w:rFonts w:ascii="楷体_GB2312" w:eastAsia="楷体_GB2312" w:hAnsi="楷体_GB2312" w:cs="楷体_GB2312" w:hint="eastAsia"/>
          <w:b/>
          <w:bCs/>
        </w:rPr>
        <w:t>表</w:t>
      </w:r>
      <w:r w:rsidR="00521AA8">
        <w:rPr>
          <w:rFonts w:ascii="楷体_GB2312" w:eastAsia="楷体_GB2312" w:hAnsi="楷体_GB2312" w:cs="楷体_GB2312"/>
          <w:b/>
          <w:bCs/>
        </w:rPr>
        <w:t>5</w:t>
      </w:r>
      <w:r>
        <w:rPr>
          <w:rFonts w:ascii="楷体_GB2312" w:eastAsia="楷体_GB2312" w:hAnsi="楷体_GB2312" w:cs="楷体_GB2312" w:hint="eastAsia"/>
          <w:b/>
          <w:bCs/>
        </w:rPr>
        <w:t>：兴业圆融-广州开发区专利许可资产支持专项计划与其他AAA评级期限相近的企业ABS对比</w:t>
      </w:r>
      <w:bookmarkEnd w:id="30"/>
    </w:p>
    <w:tbl>
      <w:tblPr>
        <w:tblW w:w="7955" w:type="dxa"/>
        <w:tblInd w:w="75" w:type="dxa"/>
        <w:tblLayout w:type="fixed"/>
        <w:tblCellMar>
          <w:left w:w="51" w:type="dxa"/>
          <w:right w:w="51" w:type="dxa"/>
        </w:tblCellMar>
        <w:tblLook w:val="04A0" w:firstRow="1" w:lastRow="0" w:firstColumn="1" w:lastColumn="0" w:noHBand="0" w:noVBand="1"/>
      </w:tblPr>
      <w:tblGrid>
        <w:gridCol w:w="873"/>
        <w:gridCol w:w="1004"/>
        <w:gridCol w:w="1007"/>
        <w:gridCol w:w="554"/>
        <w:gridCol w:w="969"/>
        <w:gridCol w:w="806"/>
        <w:gridCol w:w="689"/>
        <w:gridCol w:w="802"/>
        <w:gridCol w:w="1251"/>
      </w:tblGrid>
      <w:tr w:rsidR="00525C4A" w14:paraId="23877A7D" w14:textId="77777777">
        <w:trPr>
          <w:trHeight w:val="908"/>
          <w:tblHeader/>
        </w:trPr>
        <w:tc>
          <w:tcPr>
            <w:tcW w:w="873" w:type="dxa"/>
            <w:tcBorders>
              <w:top w:val="single" w:sz="4" w:space="0" w:color="auto"/>
              <w:left w:val="single" w:sz="4" w:space="0" w:color="auto"/>
              <w:bottom w:val="single" w:sz="4" w:space="0" w:color="auto"/>
              <w:right w:val="single" w:sz="4" w:space="0" w:color="auto"/>
            </w:tcBorders>
            <w:shd w:val="clear" w:color="000000" w:fill="002060"/>
            <w:vAlign w:val="center"/>
          </w:tcPr>
          <w:p w14:paraId="104E1E40"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代码</w:t>
            </w:r>
          </w:p>
        </w:tc>
        <w:tc>
          <w:tcPr>
            <w:tcW w:w="1004" w:type="dxa"/>
            <w:tcBorders>
              <w:top w:val="single" w:sz="4" w:space="0" w:color="auto"/>
              <w:left w:val="nil"/>
              <w:bottom w:val="single" w:sz="4" w:space="0" w:color="auto"/>
              <w:right w:val="single" w:sz="4" w:space="0" w:color="auto"/>
            </w:tcBorders>
            <w:shd w:val="clear" w:color="000000" w:fill="002060"/>
            <w:vAlign w:val="center"/>
          </w:tcPr>
          <w:p w14:paraId="1FEB28EF"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证券名称</w:t>
            </w:r>
          </w:p>
        </w:tc>
        <w:tc>
          <w:tcPr>
            <w:tcW w:w="1007" w:type="dxa"/>
            <w:tcBorders>
              <w:top w:val="single" w:sz="4" w:space="0" w:color="auto"/>
              <w:left w:val="nil"/>
              <w:bottom w:val="single" w:sz="4" w:space="0" w:color="auto"/>
              <w:right w:val="single" w:sz="4" w:space="0" w:color="auto"/>
            </w:tcBorders>
            <w:shd w:val="clear" w:color="000000" w:fill="002060"/>
            <w:vAlign w:val="center"/>
          </w:tcPr>
          <w:p w14:paraId="1B8E2EB2"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起息日期</w:t>
            </w:r>
          </w:p>
        </w:tc>
        <w:tc>
          <w:tcPr>
            <w:tcW w:w="554" w:type="dxa"/>
            <w:tcBorders>
              <w:top w:val="single" w:sz="4" w:space="0" w:color="auto"/>
              <w:left w:val="nil"/>
              <w:bottom w:val="single" w:sz="4" w:space="0" w:color="auto"/>
              <w:right w:val="single" w:sz="4" w:space="0" w:color="auto"/>
            </w:tcBorders>
            <w:shd w:val="clear" w:color="000000" w:fill="002060"/>
            <w:vAlign w:val="center"/>
          </w:tcPr>
          <w:p w14:paraId="38A21C49"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票面利率</w:t>
            </w:r>
          </w:p>
        </w:tc>
        <w:tc>
          <w:tcPr>
            <w:tcW w:w="969" w:type="dxa"/>
            <w:tcBorders>
              <w:top w:val="single" w:sz="4" w:space="0" w:color="auto"/>
              <w:left w:val="nil"/>
              <w:bottom w:val="single" w:sz="4" w:space="0" w:color="auto"/>
              <w:right w:val="single" w:sz="4" w:space="0" w:color="auto"/>
            </w:tcBorders>
            <w:shd w:val="clear" w:color="000000" w:fill="002060"/>
            <w:vAlign w:val="center"/>
          </w:tcPr>
          <w:p w14:paraId="3E23EA25"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基础资产类型</w:t>
            </w:r>
          </w:p>
        </w:tc>
        <w:tc>
          <w:tcPr>
            <w:tcW w:w="806" w:type="dxa"/>
            <w:tcBorders>
              <w:top w:val="single" w:sz="4" w:space="0" w:color="auto"/>
              <w:left w:val="nil"/>
              <w:bottom w:val="single" w:sz="4" w:space="0" w:color="auto"/>
              <w:right w:val="single" w:sz="4" w:space="0" w:color="auto"/>
            </w:tcBorders>
            <w:shd w:val="clear" w:color="000000" w:fill="002060"/>
            <w:vAlign w:val="center"/>
          </w:tcPr>
          <w:p w14:paraId="02DA6E2E"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债项评级</w:t>
            </w:r>
          </w:p>
        </w:tc>
        <w:tc>
          <w:tcPr>
            <w:tcW w:w="689" w:type="dxa"/>
            <w:tcBorders>
              <w:top w:val="single" w:sz="4" w:space="0" w:color="auto"/>
              <w:left w:val="nil"/>
              <w:bottom w:val="single" w:sz="4" w:space="0" w:color="auto"/>
              <w:right w:val="single" w:sz="4" w:space="0" w:color="auto"/>
            </w:tcBorders>
            <w:shd w:val="clear" w:color="000000" w:fill="002060"/>
            <w:vAlign w:val="center"/>
          </w:tcPr>
          <w:p w14:paraId="10C17AEF" w14:textId="77777777" w:rsidR="00525C4A" w:rsidRDefault="004041B3">
            <w:pPr>
              <w:widowControl/>
              <w:spacing w:line="240" w:lineRule="exact"/>
              <w:ind w:firstLineChars="0" w:firstLine="0"/>
              <w:jc w:val="center"/>
              <w:rPr>
                <w:rFonts w:eastAsia="楷体"/>
                <w:b/>
                <w:bCs/>
                <w:color w:val="FFFFFF"/>
                <w:kern w:val="0"/>
                <w:sz w:val="16"/>
                <w:szCs w:val="16"/>
              </w:rPr>
            </w:pPr>
            <w:r>
              <w:rPr>
                <w:rFonts w:eastAsia="楷体"/>
                <w:b/>
                <w:bCs/>
                <w:color w:val="FFFFFF"/>
                <w:kern w:val="0"/>
                <w:sz w:val="16"/>
                <w:szCs w:val="16"/>
              </w:rPr>
              <w:t>债券期限</w:t>
            </w:r>
            <w:r>
              <w:rPr>
                <w:rFonts w:eastAsia="等线" w:hint="eastAsia"/>
                <w:b/>
                <w:bCs/>
                <w:color w:val="FFFFFF"/>
                <w:kern w:val="0"/>
                <w:sz w:val="16"/>
                <w:szCs w:val="16"/>
              </w:rPr>
              <w:t>（</w:t>
            </w:r>
            <w:r>
              <w:rPr>
                <w:rFonts w:eastAsia="楷体"/>
                <w:b/>
                <w:bCs/>
                <w:color w:val="FFFFFF"/>
                <w:kern w:val="0"/>
                <w:sz w:val="16"/>
                <w:szCs w:val="16"/>
              </w:rPr>
              <w:t>年</w:t>
            </w:r>
            <w:r>
              <w:rPr>
                <w:rFonts w:eastAsia="等线" w:hint="eastAsia"/>
                <w:b/>
                <w:bCs/>
                <w:color w:val="FFFFFF"/>
                <w:kern w:val="0"/>
                <w:sz w:val="16"/>
                <w:szCs w:val="16"/>
              </w:rPr>
              <w:t>）</w:t>
            </w:r>
          </w:p>
        </w:tc>
        <w:tc>
          <w:tcPr>
            <w:tcW w:w="802" w:type="dxa"/>
            <w:tcBorders>
              <w:top w:val="single" w:sz="4" w:space="0" w:color="auto"/>
              <w:left w:val="nil"/>
              <w:bottom w:val="single" w:sz="4" w:space="0" w:color="auto"/>
              <w:right w:val="single" w:sz="4" w:space="0" w:color="auto"/>
            </w:tcBorders>
            <w:shd w:val="clear" w:color="000000" w:fill="002060"/>
            <w:vAlign w:val="center"/>
          </w:tcPr>
          <w:p w14:paraId="6995DA59" w14:textId="77777777" w:rsidR="00525C4A" w:rsidRDefault="004041B3">
            <w:pPr>
              <w:widowControl/>
              <w:spacing w:line="240" w:lineRule="exact"/>
              <w:ind w:firstLineChars="0" w:firstLine="0"/>
              <w:jc w:val="center"/>
              <w:rPr>
                <w:rFonts w:eastAsia="楷体"/>
                <w:b/>
                <w:bCs/>
                <w:color w:val="FFFFFF"/>
                <w:kern w:val="0"/>
                <w:sz w:val="16"/>
                <w:szCs w:val="16"/>
              </w:rPr>
            </w:pPr>
            <w:r>
              <w:rPr>
                <w:rFonts w:eastAsia="楷体"/>
                <w:b/>
                <w:bCs/>
                <w:color w:val="FFFFFF"/>
                <w:kern w:val="0"/>
                <w:sz w:val="16"/>
                <w:szCs w:val="16"/>
              </w:rPr>
              <w:t>发行总额</w:t>
            </w:r>
            <w:r>
              <w:rPr>
                <w:rFonts w:eastAsia="等线" w:hint="eastAsia"/>
                <w:b/>
                <w:bCs/>
                <w:color w:val="FFFFFF"/>
                <w:kern w:val="0"/>
                <w:sz w:val="16"/>
                <w:szCs w:val="16"/>
              </w:rPr>
              <w:t>（</w:t>
            </w:r>
            <w:r>
              <w:rPr>
                <w:rFonts w:eastAsia="楷体"/>
                <w:b/>
                <w:bCs/>
                <w:color w:val="FFFFFF"/>
                <w:kern w:val="0"/>
                <w:sz w:val="16"/>
                <w:szCs w:val="16"/>
              </w:rPr>
              <w:t>亿</w:t>
            </w:r>
            <w:r>
              <w:rPr>
                <w:rFonts w:eastAsia="等线" w:hint="eastAsia"/>
                <w:b/>
                <w:bCs/>
                <w:color w:val="FFFFFF"/>
                <w:kern w:val="0"/>
                <w:sz w:val="16"/>
                <w:szCs w:val="16"/>
              </w:rPr>
              <w:t>）</w:t>
            </w:r>
          </w:p>
        </w:tc>
        <w:tc>
          <w:tcPr>
            <w:tcW w:w="1251" w:type="dxa"/>
            <w:tcBorders>
              <w:top w:val="single" w:sz="4" w:space="0" w:color="auto"/>
              <w:left w:val="nil"/>
              <w:bottom w:val="single" w:sz="4" w:space="0" w:color="auto"/>
              <w:right w:val="single" w:sz="4" w:space="0" w:color="auto"/>
            </w:tcBorders>
            <w:shd w:val="clear" w:color="000000" w:fill="002060"/>
            <w:vAlign w:val="center"/>
          </w:tcPr>
          <w:p w14:paraId="34E669AA" w14:textId="77777777" w:rsidR="00525C4A" w:rsidRDefault="004041B3">
            <w:pPr>
              <w:widowControl/>
              <w:spacing w:line="240" w:lineRule="exact"/>
              <w:ind w:firstLineChars="0" w:firstLine="0"/>
              <w:jc w:val="center"/>
              <w:rPr>
                <w:rFonts w:eastAsia="楷体"/>
                <w:b/>
                <w:bCs/>
                <w:color w:val="FFFFFF"/>
                <w:kern w:val="0"/>
                <w:sz w:val="16"/>
                <w:szCs w:val="16"/>
              </w:rPr>
            </w:pPr>
            <w:r>
              <w:rPr>
                <w:rFonts w:eastAsia="楷体"/>
                <w:b/>
                <w:bCs/>
                <w:color w:val="FFFFFF"/>
                <w:kern w:val="0"/>
                <w:sz w:val="16"/>
                <w:szCs w:val="16"/>
              </w:rPr>
              <w:t>发起人</w:t>
            </w:r>
          </w:p>
          <w:p w14:paraId="067076BA" w14:textId="77777777" w:rsidR="00525C4A" w:rsidRDefault="004041B3">
            <w:pPr>
              <w:widowControl/>
              <w:spacing w:line="240" w:lineRule="exact"/>
              <w:ind w:firstLineChars="0" w:firstLine="0"/>
              <w:jc w:val="center"/>
              <w:rPr>
                <w:rFonts w:eastAsia="等线"/>
                <w:b/>
                <w:bCs/>
                <w:color w:val="FFFFFF"/>
                <w:kern w:val="0"/>
                <w:sz w:val="16"/>
                <w:szCs w:val="16"/>
              </w:rPr>
            </w:pPr>
            <w:r>
              <w:rPr>
                <w:rFonts w:eastAsia="楷体"/>
                <w:b/>
                <w:bCs/>
                <w:color w:val="FFFFFF"/>
                <w:kern w:val="0"/>
                <w:sz w:val="16"/>
                <w:szCs w:val="16"/>
              </w:rPr>
              <w:t>（原始权益人）</w:t>
            </w:r>
          </w:p>
        </w:tc>
      </w:tr>
      <w:tr w:rsidR="00525C4A" w14:paraId="3E0D3DF4"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1F72DABD"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159372.SH</w:t>
            </w:r>
          </w:p>
        </w:tc>
        <w:tc>
          <w:tcPr>
            <w:tcW w:w="1004" w:type="dxa"/>
            <w:tcBorders>
              <w:top w:val="nil"/>
              <w:left w:val="nil"/>
              <w:bottom w:val="single" w:sz="4" w:space="0" w:color="auto"/>
              <w:right w:val="single" w:sz="4" w:space="0" w:color="auto"/>
            </w:tcBorders>
            <w:shd w:val="clear" w:color="auto" w:fill="auto"/>
            <w:noWrap/>
            <w:vAlign w:val="center"/>
          </w:tcPr>
          <w:p w14:paraId="143E498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r>
              <w:rPr>
                <w:rFonts w:eastAsia="楷体"/>
                <w:color w:val="000000"/>
                <w:kern w:val="0"/>
                <w:sz w:val="16"/>
                <w:szCs w:val="16"/>
              </w:rPr>
              <w:t>吉水</w:t>
            </w:r>
            <w:r>
              <w:rPr>
                <w:rFonts w:eastAsia="等线"/>
                <w:color w:val="000000"/>
                <w:kern w:val="0"/>
                <w:sz w:val="16"/>
                <w:szCs w:val="16"/>
              </w:rPr>
              <w:t>04</w:t>
            </w:r>
          </w:p>
        </w:tc>
        <w:tc>
          <w:tcPr>
            <w:tcW w:w="1007" w:type="dxa"/>
            <w:tcBorders>
              <w:top w:val="nil"/>
              <w:left w:val="nil"/>
              <w:bottom w:val="single" w:sz="4" w:space="0" w:color="auto"/>
              <w:right w:val="single" w:sz="4" w:space="0" w:color="auto"/>
            </w:tcBorders>
            <w:shd w:val="clear" w:color="auto" w:fill="auto"/>
            <w:noWrap/>
            <w:vAlign w:val="center"/>
          </w:tcPr>
          <w:p w14:paraId="34974A62"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2019-06-18</w:t>
            </w:r>
          </w:p>
        </w:tc>
        <w:tc>
          <w:tcPr>
            <w:tcW w:w="554" w:type="dxa"/>
            <w:tcBorders>
              <w:top w:val="nil"/>
              <w:left w:val="nil"/>
              <w:bottom w:val="single" w:sz="4" w:space="0" w:color="auto"/>
              <w:right w:val="single" w:sz="4" w:space="0" w:color="auto"/>
            </w:tcBorders>
            <w:shd w:val="clear" w:color="auto" w:fill="auto"/>
            <w:noWrap/>
            <w:vAlign w:val="center"/>
          </w:tcPr>
          <w:p w14:paraId="2B0D6DFD"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6.80</w:t>
            </w:r>
          </w:p>
        </w:tc>
        <w:tc>
          <w:tcPr>
            <w:tcW w:w="969" w:type="dxa"/>
            <w:tcBorders>
              <w:top w:val="nil"/>
              <w:left w:val="nil"/>
              <w:bottom w:val="single" w:sz="4" w:space="0" w:color="auto"/>
              <w:right w:val="single" w:sz="4" w:space="0" w:color="auto"/>
            </w:tcBorders>
            <w:shd w:val="clear" w:color="auto" w:fill="auto"/>
            <w:noWrap/>
            <w:vAlign w:val="center"/>
          </w:tcPr>
          <w:p w14:paraId="3D415B53"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基础设施</w:t>
            </w:r>
          </w:p>
          <w:p w14:paraId="0F5965E2"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收费</w:t>
            </w:r>
          </w:p>
        </w:tc>
        <w:tc>
          <w:tcPr>
            <w:tcW w:w="806" w:type="dxa"/>
            <w:tcBorders>
              <w:top w:val="nil"/>
              <w:left w:val="nil"/>
              <w:bottom w:val="single" w:sz="4" w:space="0" w:color="auto"/>
              <w:right w:val="single" w:sz="4" w:space="0" w:color="auto"/>
            </w:tcBorders>
            <w:shd w:val="clear" w:color="auto" w:fill="auto"/>
            <w:noWrap/>
            <w:vAlign w:val="center"/>
          </w:tcPr>
          <w:p w14:paraId="73A643B3"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4C80177F"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3.95</w:t>
            </w:r>
          </w:p>
        </w:tc>
        <w:tc>
          <w:tcPr>
            <w:tcW w:w="802" w:type="dxa"/>
            <w:tcBorders>
              <w:top w:val="nil"/>
              <w:left w:val="nil"/>
              <w:bottom w:val="single" w:sz="4" w:space="0" w:color="auto"/>
              <w:right w:val="single" w:sz="4" w:space="0" w:color="auto"/>
            </w:tcBorders>
            <w:shd w:val="clear" w:color="auto" w:fill="auto"/>
            <w:noWrap/>
            <w:vAlign w:val="center"/>
          </w:tcPr>
          <w:p w14:paraId="69124B82"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0.36</w:t>
            </w:r>
          </w:p>
        </w:tc>
        <w:tc>
          <w:tcPr>
            <w:tcW w:w="1251" w:type="dxa"/>
            <w:tcBorders>
              <w:top w:val="nil"/>
              <w:left w:val="nil"/>
              <w:bottom w:val="single" w:sz="4" w:space="0" w:color="auto"/>
              <w:right w:val="single" w:sz="4" w:space="0" w:color="auto"/>
            </w:tcBorders>
            <w:shd w:val="clear" w:color="auto" w:fill="auto"/>
            <w:noWrap/>
          </w:tcPr>
          <w:p w14:paraId="7DE7BB66"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吉首市城市供水总公司</w:t>
            </w:r>
          </w:p>
        </w:tc>
      </w:tr>
      <w:tr w:rsidR="00525C4A" w14:paraId="3F63F417"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1D0E83E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159223.SH</w:t>
            </w:r>
          </w:p>
        </w:tc>
        <w:tc>
          <w:tcPr>
            <w:tcW w:w="1004" w:type="dxa"/>
            <w:tcBorders>
              <w:top w:val="nil"/>
              <w:left w:val="nil"/>
              <w:bottom w:val="single" w:sz="4" w:space="0" w:color="auto"/>
              <w:right w:val="single" w:sz="4" w:space="0" w:color="auto"/>
            </w:tcBorders>
            <w:shd w:val="clear" w:color="auto" w:fill="auto"/>
            <w:noWrap/>
            <w:vAlign w:val="center"/>
          </w:tcPr>
          <w:p w14:paraId="50E6C241" w14:textId="77777777" w:rsidR="00525C4A" w:rsidRDefault="004041B3">
            <w:pPr>
              <w:widowControl/>
              <w:spacing w:line="360" w:lineRule="exact"/>
              <w:ind w:firstLineChars="0" w:firstLine="0"/>
              <w:jc w:val="center"/>
              <w:rPr>
                <w:rFonts w:eastAsia="等线"/>
                <w:color w:val="000000"/>
                <w:kern w:val="0"/>
                <w:sz w:val="16"/>
                <w:szCs w:val="16"/>
              </w:rPr>
            </w:pPr>
            <w:r>
              <w:rPr>
                <w:rFonts w:eastAsia="楷体"/>
                <w:color w:val="000000"/>
                <w:kern w:val="0"/>
                <w:sz w:val="16"/>
                <w:szCs w:val="16"/>
              </w:rPr>
              <w:t>鼎</w:t>
            </w:r>
            <w:proofErr w:type="gramStart"/>
            <w:r>
              <w:rPr>
                <w:rFonts w:eastAsia="楷体"/>
                <w:color w:val="000000"/>
                <w:kern w:val="0"/>
                <w:sz w:val="16"/>
                <w:szCs w:val="16"/>
              </w:rPr>
              <w:t>晟</w:t>
            </w:r>
            <w:proofErr w:type="gramEnd"/>
            <w:r>
              <w:rPr>
                <w:rFonts w:eastAsia="等线"/>
                <w:color w:val="000000"/>
                <w:kern w:val="0"/>
                <w:sz w:val="16"/>
                <w:szCs w:val="16"/>
              </w:rPr>
              <w:t>04</w:t>
            </w:r>
            <w:r>
              <w:rPr>
                <w:rFonts w:eastAsia="楷体"/>
                <w:color w:val="000000"/>
                <w:kern w:val="0"/>
                <w:sz w:val="16"/>
                <w:szCs w:val="16"/>
              </w:rPr>
              <w:t>优</w:t>
            </w:r>
          </w:p>
        </w:tc>
        <w:tc>
          <w:tcPr>
            <w:tcW w:w="1007" w:type="dxa"/>
            <w:tcBorders>
              <w:top w:val="nil"/>
              <w:left w:val="nil"/>
              <w:bottom w:val="single" w:sz="4" w:space="0" w:color="auto"/>
              <w:right w:val="single" w:sz="4" w:space="0" w:color="auto"/>
            </w:tcBorders>
            <w:shd w:val="clear" w:color="auto" w:fill="auto"/>
            <w:noWrap/>
            <w:vAlign w:val="center"/>
          </w:tcPr>
          <w:p w14:paraId="3FB71E31"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2019-05-21</w:t>
            </w:r>
          </w:p>
        </w:tc>
        <w:tc>
          <w:tcPr>
            <w:tcW w:w="554" w:type="dxa"/>
            <w:tcBorders>
              <w:top w:val="nil"/>
              <w:left w:val="nil"/>
              <w:bottom w:val="single" w:sz="4" w:space="0" w:color="auto"/>
              <w:right w:val="single" w:sz="4" w:space="0" w:color="auto"/>
            </w:tcBorders>
            <w:shd w:val="clear" w:color="auto" w:fill="auto"/>
            <w:noWrap/>
            <w:vAlign w:val="center"/>
          </w:tcPr>
          <w:p w14:paraId="6F0E0AD3"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5.50</w:t>
            </w:r>
          </w:p>
        </w:tc>
        <w:tc>
          <w:tcPr>
            <w:tcW w:w="969" w:type="dxa"/>
            <w:tcBorders>
              <w:top w:val="nil"/>
              <w:left w:val="nil"/>
              <w:bottom w:val="single" w:sz="4" w:space="0" w:color="auto"/>
              <w:right w:val="single" w:sz="4" w:space="0" w:color="auto"/>
            </w:tcBorders>
            <w:shd w:val="clear" w:color="auto" w:fill="auto"/>
            <w:noWrap/>
            <w:vAlign w:val="center"/>
          </w:tcPr>
          <w:p w14:paraId="08C2365E"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信托受益权</w:t>
            </w:r>
          </w:p>
        </w:tc>
        <w:tc>
          <w:tcPr>
            <w:tcW w:w="806" w:type="dxa"/>
            <w:tcBorders>
              <w:top w:val="nil"/>
              <w:left w:val="nil"/>
              <w:bottom w:val="single" w:sz="4" w:space="0" w:color="auto"/>
              <w:right w:val="single" w:sz="4" w:space="0" w:color="auto"/>
            </w:tcBorders>
            <w:shd w:val="clear" w:color="auto" w:fill="auto"/>
            <w:noWrap/>
            <w:vAlign w:val="center"/>
          </w:tcPr>
          <w:p w14:paraId="1DAC756A"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7C211EFF"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3.92</w:t>
            </w:r>
          </w:p>
        </w:tc>
        <w:tc>
          <w:tcPr>
            <w:tcW w:w="802" w:type="dxa"/>
            <w:tcBorders>
              <w:top w:val="nil"/>
              <w:left w:val="nil"/>
              <w:bottom w:val="single" w:sz="4" w:space="0" w:color="auto"/>
              <w:right w:val="single" w:sz="4" w:space="0" w:color="auto"/>
            </w:tcBorders>
            <w:shd w:val="clear" w:color="auto" w:fill="auto"/>
            <w:noWrap/>
            <w:vAlign w:val="center"/>
          </w:tcPr>
          <w:p w14:paraId="1DAF2562"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0.56</w:t>
            </w:r>
          </w:p>
        </w:tc>
        <w:tc>
          <w:tcPr>
            <w:tcW w:w="1251" w:type="dxa"/>
            <w:tcBorders>
              <w:top w:val="nil"/>
              <w:left w:val="nil"/>
              <w:bottom w:val="single" w:sz="4" w:space="0" w:color="auto"/>
              <w:right w:val="single" w:sz="4" w:space="0" w:color="auto"/>
            </w:tcBorders>
            <w:shd w:val="clear" w:color="auto" w:fill="auto"/>
            <w:noWrap/>
          </w:tcPr>
          <w:p w14:paraId="6339E71B"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四川新希望房地产开发有限公司</w:t>
            </w:r>
          </w:p>
        </w:tc>
      </w:tr>
      <w:tr w:rsidR="00525C4A" w14:paraId="2E036B51"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7897E4CD"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139665.SZ</w:t>
            </w:r>
          </w:p>
        </w:tc>
        <w:tc>
          <w:tcPr>
            <w:tcW w:w="1004" w:type="dxa"/>
            <w:tcBorders>
              <w:top w:val="nil"/>
              <w:left w:val="nil"/>
              <w:bottom w:val="single" w:sz="4" w:space="0" w:color="auto"/>
              <w:right w:val="single" w:sz="4" w:space="0" w:color="auto"/>
            </w:tcBorders>
            <w:shd w:val="clear" w:color="auto" w:fill="auto"/>
            <w:noWrap/>
            <w:vAlign w:val="center"/>
          </w:tcPr>
          <w:p w14:paraId="7631937E"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r>
              <w:rPr>
                <w:rFonts w:eastAsia="楷体"/>
                <w:color w:val="000000"/>
                <w:kern w:val="0"/>
                <w:sz w:val="16"/>
                <w:szCs w:val="16"/>
              </w:rPr>
              <w:t>版纳</w:t>
            </w:r>
            <w:r>
              <w:rPr>
                <w:rFonts w:eastAsia="等线"/>
                <w:color w:val="000000"/>
                <w:kern w:val="0"/>
                <w:sz w:val="16"/>
                <w:szCs w:val="16"/>
              </w:rPr>
              <w:t>08</w:t>
            </w:r>
          </w:p>
        </w:tc>
        <w:tc>
          <w:tcPr>
            <w:tcW w:w="1007" w:type="dxa"/>
            <w:tcBorders>
              <w:top w:val="nil"/>
              <w:left w:val="nil"/>
              <w:bottom w:val="single" w:sz="4" w:space="0" w:color="auto"/>
              <w:right w:val="single" w:sz="4" w:space="0" w:color="auto"/>
            </w:tcBorders>
            <w:shd w:val="clear" w:color="auto" w:fill="auto"/>
            <w:noWrap/>
            <w:vAlign w:val="center"/>
          </w:tcPr>
          <w:p w14:paraId="66F42EE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2019-05-16</w:t>
            </w:r>
          </w:p>
        </w:tc>
        <w:tc>
          <w:tcPr>
            <w:tcW w:w="554" w:type="dxa"/>
            <w:tcBorders>
              <w:top w:val="nil"/>
              <w:left w:val="nil"/>
              <w:bottom w:val="single" w:sz="4" w:space="0" w:color="auto"/>
              <w:right w:val="single" w:sz="4" w:space="0" w:color="auto"/>
            </w:tcBorders>
            <w:shd w:val="clear" w:color="auto" w:fill="auto"/>
            <w:noWrap/>
            <w:vAlign w:val="center"/>
          </w:tcPr>
          <w:p w14:paraId="40B81D93"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7.00</w:t>
            </w:r>
          </w:p>
        </w:tc>
        <w:tc>
          <w:tcPr>
            <w:tcW w:w="969" w:type="dxa"/>
            <w:tcBorders>
              <w:top w:val="nil"/>
              <w:left w:val="nil"/>
              <w:bottom w:val="single" w:sz="4" w:space="0" w:color="auto"/>
              <w:right w:val="single" w:sz="4" w:space="0" w:color="auto"/>
            </w:tcBorders>
            <w:shd w:val="clear" w:color="auto" w:fill="auto"/>
            <w:noWrap/>
            <w:vAlign w:val="center"/>
          </w:tcPr>
          <w:p w14:paraId="72535914"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门票收入</w:t>
            </w:r>
          </w:p>
        </w:tc>
        <w:tc>
          <w:tcPr>
            <w:tcW w:w="806" w:type="dxa"/>
            <w:tcBorders>
              <w:top w:val="nil"/>
              <w:left w:val="nil"/>
              <w:bottom w:val="single" w:sz="4" w:space="0" w:color="auto"/>
              <w:right w:val="single" w:sz="4" w:space="0" w:color="auto"/>
            </w:tcBorders>
            <w:shd w:val="clear" w:color="auto" w:fill="auto"/>
            <w:noWrap/>
            <w:vAlign w:val="center"/>
          </w:tcPr>
          <w:p w14:paraId="028D5BD1"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040804AC"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3.85</w:t>
            </w:r>
          </w:p>
        </w:tc>
        <w:tc>
          <w:tcPr>
            <w:tcW w:w="802" w:type="dxa"/>
            <w:tcBorders>
              <w:top w:val="nil"/>
              <w:left w:val="nil"/>
              <w:bottom w:val="single" w:sz="4" w:space="0" w:color="auto"/>
              <w:right w:val="single" w:sz="4" w:space="0" w:color="auto"/>
            </w:tcBorders>
            <w:shd w:val="clear" w:color="auto" w:fill="auto"/>
            <w:noWrap/>
            <w:vAlign w:val="center"/>
          </w:tcPr>
          <w:p w14:paraId="42A7E040"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0.88</w:t>
            </w:r>
          </w:p>
        </w:tc>
        <w:tc>
          <w:tcPr>
            <w:tcW w:w="1251" w:type="dxa"/>
            <w:tcBorders>
              <w:top w:val="nil"/>
              <w:left w:val="nil"/>
              <w:bottom w:val="single" w:sz="4" w:space="0" w:color="auto"/>
              <w:right w:val="single" w:sz="4" w:space="0" w:color="auto"/>
            </w:tcBorders>
            <w:shd w:val="clear" w:color="auto" w:fill="auto"/>
            <w:noWrap/>
          </w:tcPr>
          <w:p w14:paraId="3D52D6B3"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西双版纳铭晟商业管理有限公司</w:t>
            </w:r>
          </w:p>
        </w:tc>
      </w:tr>
      <w:tr w:rsidR="00525C4A" w14:paraId="1ADC077F"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5438D78B"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156926.SH</w:t>
            </w:r>
          </w:p>
        </w:tc>
        <w:tc>
          <w:tcPr>
            <w:tcW w:w="1004" w:type="dxa"/>
            <w:tcBorders>
              <w:top w:val="nil"/>
              <w:left w:val="nil"/>
              <w:bottom w:val="single" w:sz="4" w:space="0" w:color="auto"/>
              <w:right w:val="single" w:sz="4" w:space="0" w:color="auto"/>
            </w:tcBorders>
            <w:shd w:val="clear" w:color="auto" w:fill="auto"/>
            <w:noWrap/>
            <w:vAlign w:val="center"/>
          </w:tcPr>
          <w:p w14:paraId="23B1D686" w14:textId="77777777" w:rsidR="00525C4A" w:rsidRDefault="004041B3">
            <w:pPr>
              <w:widowControl/>
              <w:spacing w:line="360" w:lineRule="exact"/>
              <w:ind w:firstLineChars="0" w:firstLine="0"/>
              <w:jc w:val="center"/>
              <w:rPr>
                <w:rFonts w:eastAsia="等线"/>
                <w:color w:val="000000"/>
                <w:kern w:val="0"/>
                <w:sz w:val="16"/>
                <w:szCs w:val="16"/>
              </w:rPr>
            </w:pPr>
            <w:r>
              <w:rPr>
                <w:rFonts w:eastAsia="楷体"/>
                <w:color w:val="000000"/>
                <w:kern w:val="0"/>
                <w:sz w:val="16"/>
                <w:szCs w:val="16"/>
              </w:rPr>
              <w:t>西安热</w:t>
            </w:r>
            <w:r>
              <w:rPr>
                <w:rFonts w:eastAsia="等线"/>
                <w:color w:val="000000"/>
                <w:kern w:val="0"/>
                <w:sz w:val="16"/>
                <w:szCs w:val="16"/>
              </w:rPr>
              <w:t>04</w:t>
            </w:r>
          </w:p>
        </w:tc>
        <w:tc>
          <w:tcPr>
            <w:tcW w:w="1007" w:type="dxa"/>
            <w:tcBorders>
              <w:top w:val="nil"/>
              <w:left w:val="nil"/>
              <w:bottom w:val="single" w:sz="4" w:space="0" w:color="auto"/>
              <w:right w:val="single" w:sz="4" w:space="0" w:color="auto"/>
            </w:tcBorders>
            <w:shd w:val="clear" w:color="auto" w:fill="auto"/>
            <w:noWrap/>
            <w:vAlign w:val="center"/>
          </w:tcPr>
          <w:p w14:paraId="787FA32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2019-05-08</w:t>
            </w:r>
          </w:p>
        </w:tc>
        <w:tc>
          <w:tcPr>
            <w:tcW w:w="554" w:type="dxa"/>
            <w:tcBorders>
              <w:top w:val="nil"/>
              <w:left w:val="nil"/>
              <w:bottom w:val="single" w:sz="4" w:space="0" w:color="auto"/>
              <w:right w:val="single" w:sz="4" w:space="0" w:color="auto"/>
            </w:tcBorders>
            <w:shd w:val="clear" w:color="auto" w:fill="auto"/>
            <w:noWrap/>
            <w:vAlign w:val="center"/>
          </w:tcPr>
          <w:p w14:paraId="53A2EC27"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4.78</w:t>
            </w:r>
          </w:p>
        </w:tc>
        <w:tc>
          <w:tcPr>
            <w:tcW w:w="969" w:type="dxa"/>
            <w:tcBorders>
              <w:top w:val="nil"/>
              <w:left w:val="nil"/>
              <w:bottom w:val="single" w:sz="4" w:space="0" w:color="auto"/>
              <w:right w:val="single" w:sz="4" w:space="0" w:color="auto"/>
            </w:tcBorders>
            <w:shd w:val="clear" w:color="auto" w:fill="auto"/>
            <w:noWrap/>
            <w:vAlign w:val="center"/>
          </w:tcPr>
          <w:p w14:paraId="2C4A7E0B"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基础设施</w:t>
            </w:r>
          </w:p>
          <w:p w14:paraId="40D238B9"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收费</w:t>
            </w:r>
          </w:p>
        </w:tc>
        <w:tc>
          <w:tcPr>
            <w:tcW w:w="806" w:type="dxa"/>
            <w:tcBorders>
              <w:top w:val="nil"/>
              <w:left w:val="nil"/>
              <w:bottom w:val="single" w:sz="4" w:space="0" w:color="auto"/>
              <w:right w:val="single" w:sz="4" w:space="0" w:color="auto"/>
            </w:tcBorders>
            <w:shd w:val="clear" w:color="auto" w:fill="auto"/>
            <w:noWrap/>
            <w:vAlign w:val="center"/>
          </w:tcPr>
          <w:p w14:paraId="5BD6EB0B"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5F03FD08"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3.72</w:t>
            </w:r>
          </w:p>
        </w:tc>
        <w:tc>
          <w:tcPr>
            <w:tcW w:w="802" w:type="dxa"/>
            <w:tcBorders>
              <w:top w:val="nil"/>
              <w:left w:val="nil"/>
              <w:bottom w:val="single" w:sz="4" w:space="0" w:color="auto"/>
              <w:right w:val="single" w:sz="4" w:space="0" w:color="auto"/>
            </w:tcBorders>
            <w:shd w:val="clear" w:color="auto" w:fill="auto"/>
            <w:noWrap/>
            <w:vAlign w:val="center"/>
          </w:tcPr>
          <w:p w14:paraId="370EF54C"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2.70</w:t>
            </w:r>
          </w:p>
        </w:tc>
        <w:tc>
          <w:tcPr>
            <w:tcW w:w="1251" w:type="dxa"/>
            <w:tcBorders>
              <w:top w:val="nil"/>
              <w:left w:val="nil"/>
              <w:bottom w:val="single" w:sz="4" w:space="0" w:color="auto"/>
              <w:right w:val="single" w:sz="4" w:space="0" w:color="auto"/>
            </w:tcBorders>
            <w:shd w:val="clear" w:color="auto" w:fill="auto"/>
            <w:noWrap/>
          </w:tcPr>
          <w:p w14:paraId="53E532D5"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西安市热力总公司</w:t>
            </w:r>
          </w:p>
        </w:tc>
      </w:tr>
      <w:tr w:rsidR="00525C4A" w14:paraId="24273581"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06185F1E"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139612.SZ</w:t>
            </w:r>
          </w:p>
        </w:tc>
        <w:tc>
          <w:tcPr>
            <w:tcW w:w="1004" w:type="dxa"/>
            <w:tcBorders>
              <w:top w:val="nil"/>
              <w:left w:val="nil"/>
              <w:bottom w:val="single" w:sz="4" w:space="0" w:color="auto"/>
              <w:right w:val="single" w:sz="4" w:space="0" w:color="auto"/>
            </w:tcBorders>
            <w:shd w:val="clear" w:color="auto" w:fill="auto"/>
            <w:noWrap/>
            <w:vAlign w:val="center"/>
          </w:tcPr>
          <w:p w14:paraId="7005BC6A"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r>
              <w:rPr>
                <w:rFonts w:eastAsia="楷体"/>
                <w:color w:val="000000"/>
                <w:kern w:val="0"/>
                <w:sz w:val="16"/>
                <w:szCs w:val="16"/>
              </w:rPr>
              <w:t>深能</w:t>
            </w:r>
            <w:r>
              <w:rPr>
                <w:rFonts w:eastAsia="等线"/>
                <w:color w:val="000000"/>
                <w:kern w:val="0"/>
                <w:sz w:val="16"/>
                <w:szCs w:val="16"/>
              </w:rPr>
              <w:t>A4</w:t>
            </w:r>
          </w:p>
        </w:tc>
        <w:tc>
          <w:tcPr>
            <w:tcW w:w="1007" w:type="dxa"/>
            <w:tcBorders>
              <w:top w:val="nil"/>
              <w:left w:val="nil"/>
              <w:bottom w:val="single" w:sz="4" w:space="0" w:color="auto"/>
              <w:right w:val="single" w:sz="4" w:space="0" w:color="auto"/>
            </w:tcBorders>
            <w:shd w:val="clear" w:color="auto" w:fill="auto"/>
            <w:noWrap/>
            <w:vAlign w:val="center"/>
          </w:tcPr>
          <w:p w14:paraId="271A296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2019-04-26</w:t>
            </w:r>
          </w:p>
        </w:tc>
        <w:tc>
          <w:tcPr>
            <w:tcW w:w="554" w:type="dxa"/>
            <w:tcBorders>
              <w:top w:val="nil"/>
              <w:left w:val="nil"/>
              <w:bottom w:val="single" w:sz="4" w:space="0" w:color="auto"/>
              <w:right w:val="single" w:sz="4" w:space="0" w:color="auto"/>
            </w:tcBorders>
            <w:shd w:val="clear" w:color="auto" w:fill="auto"/>
            <w:noWrap/>
            <w:vAlign w:val="center"/>
          </w:tcPr>
          <w:p w14:paraId="31B2B6F9"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4.28</w:t>
            </w:r>
          </w:p>
        </w:tc>
        <w:tc>
          <w:tcPr>
            <w:tcW w:w="969" w:type="dxa"/>
            <w:tcBorders>
              <w:top w:val="nil"/>
              <w:left w:val="nil"/>
              <w:bottom w:val="single" w:sz="4" w:space="0" w:color="auto"/>
              <w:right w:val="single" w:sz="4" w:space="0" w:color="auto"/>
            </w:tcBorders>
            <w:shd w:val="clear" w:color="auto" w:fill="auto"/>
            <w:noWrap/>
            <w:vAlign w:val="center"/>
          </w:tcPr>
          <w:p w14:paraId="30223989"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基础设施</w:t>
            </w:r>
          </w:p>
          <w:p w14:paraId="2C0616C3"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收费</w:t>
            </w:r>
          </w:p>
        </w:tc>
        <w:tc>
          <w:tcPr>
            <w:tcW w:w="806" w:type="dxa"/>
            <w:tcBorders>
              <w:top w:val="nil"/>
              <w:left w:val="nil"/>
              <w:bottom w:val="single" w:sz="4" w:space="0" w:color="auto"/>
              <w:right w:val="single" w:sz="4" w:space="0" w:color="auto"/>
            </w:tcBorders>
            <w:shd w:val="clear" w:color="auto" w:fill="auto"/>
            <w:noWrap/>
            <w:vAlign w:val="center"/>
          </w:tcPr>
          <w:p w14:paraId="00A3F01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2C3E4D2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4.00</w:t>
            </w:r>
          </w:p>
        </w:tc>
        <w:tc>
          <w:tcPr>
            <w:tcW w:w="802" w:type="dxa"/>
            <w:tcBorders>
              <w:top w:val="nil"/>
              <w:left w:val="nil"/>
              <w:bottom w:val="single" w:sz="4" w:space="0" w:color="auto"/>
              <w:right w:val="single" w:sz="4" w:space="0" w:color="auto"/>
            </w:tcBorders>
            <w:shd w:val="clear" w:color="auto" w:fill="auto"/>
            <w:noWrap/>
            <w:vAlign w:val="center"/>
          </w:tcPr>
          <w:p w14:paraId="6D222D0D"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1.60</w:t>
            </w:r>
          </w:p>
        </w:tc>
        <w:tc>
          <w:tcPr>
            <w:tcW w:w="1251" w:type="dxa"/>
            <w:tcBorders>
              <w:top w:val="nil"/>
              <w:left w:val="nil"/>
              <w:bottom w:val="single" w:sz="4" w:space="0" w:color="auto"/>
              <w:right w:val="single" w:sz="4" w:space="0" w:color="auto"/>
            </w:tcBorders>
            <w:shd w:val="clear" w:color="auto" w:fill="auto"/>
            <w:noWrap/>
          </w:tcPr>
          <w:p w14:paraId="5327424C"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深圳市能源环保有限公司</w:t>
            </w:r>
          </w:p>
        </w:tc>
      </w:tr>
      <w:tr w:rsidR="00525C4A" w14:paraId="58D26AD3"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0F3C4BD1"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159140.SH</w:t>
            </w:r>
          </w:p>
        </w:tc>
        <w:tc>
          <w:tcPr>
            <w:tcW w:w="1004" w:type="dxa"/>
            <w:tcBorders>
              <w:top w:val="nil"/>
              <w:left w:val="nil"/>
              <w:bottom w:val="single" w:sz="4" w:space="0" w:color="auto"/>
              <w:right w:val="single" w:sz="4" w:space="0" w:color="auto"/>
            </w:tcBorders>
            <w:shd w:val="clear" w:color="auto" w:fill="auto"/>
            <w:noWrap/>
            <w:vAlign w:val="center"/>
          </w:tcPr>
          <w:p w14:paraId="17353C03" w14:textId="77777777" w:rsidR="00525C4A" w:rsidRDefault="004041B3">
            <w:pPr>
              <w:widowControl/>
              <w:spacing w:line="360" w:lineRule="exact"/>
              <w:ind w:firstLineChars="0" w:firstLine="0"/>
              <w:jc w:val="center"/>
              <w:rPr>
                <w:rFonts w:eastAsia="等线"/>
                <w:color w:val="000000"/>
                <w:kern w:val="0"/>
                <w:sz w:val="16"/>
                <w:szCs w:val="16"/>
              </w:rPr>
            </w:pPr>
            <w:proofErr w:type="gramStart"/>
            <w:r>
              <w:rPr>
                <w:rFonts w:eastAsia="楷体"/>
                <w:color w:val="000000"/>
                <w:kern w:val="0"/>
                <w:sz w:val="16"/>
                <w:szCs w:val="16"/>
              </w:rPr>
              <w:t>保物二</w:t>
            </w:r>
            <w:r>
              <w:rPr>
                <w:rFonts w:eastAsia="等线"/>
                <w:color w:val="000000"/>
                <w:kern w:val="0"/>
                <w:sz w:val="16"/>
                <w:szCs w:val="16"/>
              </w:rPr>
              <w:t>4</w:t>
            </w:r>
            <w:proofErr w:type="gramEnd"/>
          </w:p>
        </w:tc>
        <w:tc>
          <w:tcPr>
            <w:tcW w:w="1007" w:type="dxa"/>
            <w:tcBorders>
              <w:top w:val="nil"/>
              <w:left w:val="nil"/>
              <w:bottom w:val="single" w:sz="4" w:space="0" w:color="auto"/>
              <w:right w:val="single" w:sz="4" w:space="0" w:color="auto"/>
            </w:tcBorders>
            <w:shd w:val="clear" w:color="auto" w:fill="auto"/>
            <w:noWrap/>
            <w:vAlign w:val="center"/>
          </w:tcPr>
          <w:p w14:paraId="704C0392"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2019-04-26</w:t>
            </w:r>
          </w:p>
        </w:tc>
        <w:tc>
          <w:tcPr>
            <w:tcW w:w="554" w:type="dxa"/>
            <w:tcBorders>
              <w:top w:val="nil"/>
              <w:left w:val="nil"/>
              <w:bottom w:val="single" w:sz="4" w:space="0" w:color="auto"/>
              <w:right w:val="single" w:sz="4" w:space="0" w:color="auto"/>
            </w:tcBorders>
            <w:shd w:val="clear" w:color="auto" w:fill="auto"/>
            <w:noWrap/>
            <w:vAlign w:val="center"/>
          </w:tcPr>
          <w:p w14:paraId="2F31F8FE"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4.60</w:t>
            </w:r>
          </w:p>
        </w:tc>
        <w:tc>
          <w:tcPr>
            <w:tcW w:w="969" w:type="dxa"/>
            <w:tcBorders>
              <w:top w:val="nil"/>
              <w:left w:val="nil"/>
              <w:bottom w:val="single" w:sz="4" w:space="0" w:color="auto"/>
              <w:right w:val="single" w:sz="4" w:space="0" w:color="auto"/>
            </w:tcBorders>
            <w:shd w:val="clear" w:color="auto" w:fill="auto"/>
            <w:noWrap/>
            <w:vAlign w:val="center"/>
          </w:tcPr>
          <w:p w14:paraId="2B29F2FB"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应收账款</w:t>
            </w:r>
          </w:p>
        </w:tc>
        <w:tc>
          <w:tcPr>
            <w:tcW w:w="806" w:type="dxa"/>
            <w:tcBorders>
              <w:top w:val="nil"/>
              <w:left w:val="nil"/>
              <w:bottom w:val="single" w:sz="4" w:space="0" w:color="auto"/>
              <w:right w:val="single" w:sz="4" w:space="0" w:color="auto"/>
            </w:tcBorders>
            <w:shd w:val="clear" w:color="auto" w:fill="auto"/>
            <w:noWrap/>
            <w:vAlign w:val="center"/>
          </w:tcPr>
          <w:p w14:paraId="035B3E5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5E7310BA"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3.76</w:t>
            </w:r>
          </w:p>
        </w:tc>
        <w:tc>
          <w:tcPr>
            <w:tcW w:w="802" w:type="dxa"/>
            <w:tcBorders>
              <w:top w:val="nil"/>
              <w:left w:val="nil"/>
              <w:bottom w:val="single" w:sz="4" w:space="0" w:color="auto"/>
              <w:right w:val="single" w:sz="4" w:space="0" w:color="auto"/>
            </w:tcBorders>
            <w:shd w:val="clear" w:color="auto" w:fill="auto"/>
            <w:noWrap/>
            <w:vAlign w:val="center"/>
          </w:tcPr>
          <w:p w14:paraId="7F55A53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1.15</w:t>
            </w:r>
          </w:p>
        </w:tc>
        <w:tc>
          <w:tcPr>
            <w:tcW w:w="1251" w:type="dxa"/>
            <w:tcBorders>
              <w:top w:val="nil"/>
              <w:left w:val="nil"/>
              <w:bottom w:val="single" w:sz="4" w:space="0" w:color="auto"/>
              <w:right w:val="single" w:sz="4" w:space="0" w:color="auto"/>
            </w:tcBorders>
            <w:shd w:val="clear" w:color="auto" w:fill="auto"/>
            <w:noWrap/>
          </w:tcPr>
          <w:p w14:paraId="13AFC2D7"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上海保利物业酒店管理集团有限公司</w:t>
            </w:r>
          </w:p>
        </w:tc>
      </w:tr>
      <w:tr w:rsidR="00525C4A" w14:paraId="37DC9D81"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1B590DC0"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159025.SH</w:t>
            </w:r>
          </w:p>
        </w:tc>
        <w:tc>
          <w:tcPr>
            <w:tcW w:w="1004" w:type="dxa"/>
            <w:tcBorders>
              <w:top w:val="nil"/>
              <w:left w:val="nil"/>
              <w:bottom w:val="single" w:sz="4" w:space="0" w:color="auto"/>
              <w:right w:val="single" w:sz="4" w:space="0" w:color="auto"/>
            </w:tcBorders>
            <w:shd w:val="clear" w:color="auto" w:fill="auto"/>
            <w:noWrap/>
            <w:vAlign w:val="center"/>
          </w:tcPr>
          <w:p w14:paraId="4271443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PR</w:t>
            </w:r>
            <w:r>
              <w:rPr>
                <w:rFonts w:eastAsia="楷体"/>
                <w:color w:val="000000"/>
                <w:kern w:val="0"/>
                <w:sz w:val="16"/>
                <w:szCs w:val="16"/>
              </w:rPr>
              <w:t>海尔</w:t>
            </w:r>
            <w:r>
              <w:rPr>
                <w:rFonts w:eastAsia="等线"/>
                <w:color w:val="000000"/>
                <w:kern w:val="0"/>
                <w:sz w:val="16"/>
                <w:szCs w:val="16"/>
              </w:rPr>
              <w:t>A4</w:t>
            </w:r>
          </w:p>
        </w:tc>
        <w:tc>
          <w:tcPr>
            <w:tcW w:w="1007" w:type="dxa"/>
            <w:tcBorders>
              <w:top w:val="nil"/>
              <w:left w:val="nil"/>
              <w:bottom w:val="single" w:sz="4" w:space="0" w:color="auto"/>
              <w:right w:val="single" w:sz="4" w:space="0" w:color="auto"/>
            </w:tcBorders>
            <w:shd w:val="clear" w:color="auto" w:fill="auto"/>
            <w:noWrap/>
            <w:vAlign w:val="center"/>
          </w:tcPr>
          <w:p w14:paraId="0E528DB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2019-04-11</w:t>
            </w:r>
          </w:p>
        </w:tc>
        <w:tc>
          <w:tcPr>
            <w:tcW w:w="554" w:type="dxa"/>
            <w:tcBorders>
              <w:top w:val="nil"/>
              <w:left w:val="nil"/>
              <w:bottom w:val="single" w:sz="4" w:space="0" w:color="auto"/>
              <w:right w:val="single" w:sz="4" w:space="0" w:color="auto"/>
            </w:tcBorders>
            <w:shd w:val="clear" w:color="auto" w:fill="auto"/>
            <w:noWrap/>
            <w:vAlign w:val="center"/>
          </w:tcPr>
          <w:p w14:paraId="1013142D"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6.00</w:t>
            </w:r>
          </w:p>
        </w:tc>
        <w:tc>
          <w:tcPr>
            <w:tcW w:w="969" w:type="dxa"/>
            <w:tcBorders>
              <w:top w:val="nil"/>
              <w:left w:val="nil"/>
              <w:bottom w:val="single" w:sz="4" w:space="0" w:color="auto"/>
              <w:right w:val="single" w:sz="4" w:space="0" w:color="auto"/>
            </w:tcBorders>
            <w:shd w:val="clear" w:color="auto" w:fill="auto"/>
            <w:noWrap/>
            <w:vAlign w:val="center"/>
          </w:tcPr>
          <w:p w14:paraId="46F9B766"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其他企业</w:t>
            </w:r>
          </w:p>
          <w:p w14:paraId="74FD8E9B"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债权</w:t>
            </w:r>
          </w:p>
        </w:tc>
        <w:tc>
          <w:tcPr>
            <w:tcW w:w="806" w:type="dxa"/>
            <w:tcBorders>
              <w:top w:val="nil"/>
              <w:left w:val="nil"/>
              <w:bottom w:val="single" w:sz="4" w:space="0" w:color="auto"/>
              <w:right w:val="single" w:sz="4" w:space="0" w:color="auto"/>
            </w:tcBorders>
            <w:shd w:val="clear" w:color="auto" w:fill="auto"/>
            <w:noWrap/>
            <w:vAlign w:val="center"/>
          </w:tcPr>
          <w:p w14:paraId="3E54C63F"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55463521"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3.83</w:t>
            </w:r>
          </w:p>
        </w:tc>
        <w:tc>
          <w:tcPr>
            <w:tcW w:w="802" w:type="dxa"/>
            <w:tcBorders>
              <w:top w:val="nil"/>
              <w:left w:val="nil"/>
              <w:bottom w:val="single" w:sz="4" w:space="0" w:color="auto"/>
              <w:right w:val="single" w:sz="4" w:space="0" w:color="auto"/>
            </w:tcBorders>
            <w:shd w:val="clear" w:color="auto" w:fill="auto"/>
            <w:noWrap/>
            <w:vAlign w:val="center"/>
          </w:tcPr>
          <w:p w14:paraId="01710F7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0.40</w:t>
            </w:r>
          </w:p>
        </w:tc>
        <w:tc>
          <w:tcPr>
            <w:tcW w:w="1251" w:type="dxa"/>
            <w:tcBorders>
              <w:top w:val="nil"/>
              <w:left w:val="nil"/>
              <w:bottom w:val="single" w:sz="4" w:space="0" w:color="auto"/>
              <w:right w:val="single" w:sz="4" w:space="0" w:color="auto"/>
            </w:tcBorders>
            <w:shd w:val="clear" w:color="auto" w:fill="auto"/>
            <w:noWrap/>
          </w:tcPr>
          <w:p w14:paraId="696A8E29"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青岛海尔地产服务有限公司</w:t>
            </w:r>
          </w:p>
        </w:tc>
      </w:tr>
      <w:tr w:rsidR="00525C4A" w14:paraId="25525C7F"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25931E4E"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139544.SZ</w:t>
            </w:r>
          </w:p>
        </w:tc>
        <w:tc>
          <w:tcPr>
            <w:tcW w:w="1004" w:type="dxa"/>
            <w:tcBorders>
              <w:top w:val="nil"/>
              <w:left w:val="nil"/>
              <w:bottom w:val="single" w:sz="4" w:space="0" w:color="auto"/>
              <w:right w:val="single" w:sz="4" w:space="0" w:color="auto"/>
            </w:tcBorders>
            <w:shd w:val="clear" w:color="auto" w:fill="auto"/>
            <w:noWrap/>
            <w:vAlign w:val="center"/>
          </w:tcPr>
          <w:p w14:paraId="17FE51E8"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r>
              <w:rPr>
                <w:rFonts w:eastAsia="楷体"/>
                <w:color w:val="000000"/>
                <w:kern w:val="0"/>
                <w:sz w:val="16"/>
                <w:szCs w:val="16"/>
              </w:rPr>
              <w:t>鹏星</w:t>
            </w:r>
            <w:r>
              <w:rPr>
                <w:rFonts w:eastAsia="等线"/>
                <w:color w:val="000000"/>
                <w:kern w:val="0"/>
                <w:sz w:val="16"/>
                <w:szCs w:val="16"/>
              </w:rPr>
              <w:t>04</w:t>
            </w:r>
          </w:p>
        </w:tc>
        <w:tc>
          <w:tcPr>
            <w:tcW w:w="1007" w:type="dxa"/>
            <w:tcBorders>
              <w:top w:val="nil"/>
              <w:left w:val="nil"/>
              <w:bottom w:val="single" w:sz="4" w:space="0" w:color="auto"/>
              <w:right w:val="single" w:sz="4" w:space="0" w:color="auto"/>
            </w:tcBorders>
            <w:shd w:val="clear" w:color="auto" w:fill="auto"/>
            <w:noWrap/>
            <w:vAlign w:val="center"/>
          </w:tcPr>
          <w:p w14:paraId="1298F44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2019-03-22</w:t>
            </w:r>
          </w:p>
        </w:tc>
        <w:tc>
          <w:tcPr>
            <w:tcW w:w="554" w:type="dxa"/>
            <w:tcBorders>
              <w:top w:val="nil"/>
              <w:left w:val="nil"/>
              <w:bottom w:val="single" w:sz="4" w:space="0" w:color="auto"/>
              <w:right w:val="single" w:sz="4" w:space="0" w:color="auto"/>
            </w:tcBorders>
            <w:shd w:val="clear" w:color="auto" w:fill="auto"/>
            <w:noWrap/>
            <w:vAlign w:val="center"/>
          </w:tcPr>
          <w:p w14:paraId="10DFBD62"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5.60</w:t>
            </w:r>
          </w:p>
        </w:tc>
        <w:tc>
          <w:tcPr>
            <w:tcW w:w="969" w:type="dxa"/>
            <w:tcBorders>
              <w:top w:val="nil"/>
              <w:left w:val="nil"/>
              <w:bottom w:val="single" w:sz="4" w:space="0" w:color="auto"/>
              <w:right w:val="single" w:sz="4" w:space="0" w:color="auto"/>
            </w:tcBorders>
            <w:shd w:val="clear" w:color="auto" w:fill="auto"/>
            <w:noWrap/>
            <w:vAlign w:val="center"/>
          </w:tcPr>
          <w:p w14:paraId="7271028F"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信托受益权</w:t>
            </w:r>
          </w:p>
        </w:tc>
        <w:tc>
          <w:tcPr>
            <w:tcW w:w="806" w:type="dxa"/>
            <w:tcBorders>
              <w:top w:val="nil"/>
              <w:left w:val="nil"/>
              <w:bottom w:val="single" w:sz="4" w:space="0" w:color="auto"/>
              <w:right w:val="single" w:sz="4" w:space="0" w:color="auto"/>
            </w:tcBorders>
            <w:shd w:val="clear" w:color="auto" w:fill="auto"/>
            <w:noWrap/>
            <w:vAlign w:val="center"/>
          </w:tcPr>
          <w:p w14:paraId="747C1D5C"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587F4489"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4.00</w:t>
            </w:r>
          </w:p>
        </w:tc>
        <w:tc>
          <w:tcPr>
            <w:tcW w:w="802" w:type="dxa"/>
            <w:tcBorders>
              <w:top w:val="nil"/>
              <w:left w:val="nil"/>
              <w:bottom w:val="single" w:sz="4" w:space="0" w:color="auto"/>
              <w:right w:val="single" w:sz="4" w:space="0" w:color="auto"/>
            </w:tcBorders>
            <w:shd w:val="clear" w:color="auto" w:fill="auto"/>
            <w:noWrap/>
            <w:vAlign w:val="center"/>
          </w:tcPr>
          <w:p w14:paraId="25752E30"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1.21</w:t>
            </w:r>
          </w:p>
        </w:tc>
        <w:tc>
          <w:tcPr>
            <w:tcW w:w="1251" w:type="dxa"/>
            <w:tcBorders>
              <w:top w:val="nil"/>
              <w:left w:val="nil"/>
              <w:bottom w:val="single" w:sz="4" w:space="0" w:color="auto"/>
              <w:right w:val="single" w:sz="4" w:space="0" w:color="auto"/>
            </w:tcBorders>
            <w:shd w:val="clear" w:color="auto" w:fill="auto"/>
            <w:noWrap/>
          </w:tcPr>
          <w:p w14:paraId="1B79A8ED" w14:textId="77777777" w:rsidR="00525C4A" w:rsidRDefault="004041B3">
            <w:pPr>
              <w:widowControl/>
              <w:spacing w:line="360" w:lineRule="exact"/>
              <w:ind w:firstLineChars="0" w:firstLine="0"/>
              <w:rPr>
                <w:rFonts w:eastAsia="等线"/>
                <w:color w:val="000000"/>
                <w:kern w:val="0"/>
                <w:sz w:val="16"/>
                <w:szCs w:val="16"/>
              </w:rPr>
            </w:pPr>
            <w:proofErr w:type="gramStart"/>
            <w:r>
              <w:rPr>
                <w:rFonts w:eastAsia="楷体"/>
                <w:color w:val="000000"/>
                <w:kern w:val="0"/>
                <w:sz w:val="16"/>
                <w:szCs w:val="16"/>
              </w:rPr>
              <w:t>深圳市港达投资</w:t>
            </w:r>
            <w:proofErr w:type="gramEnd"/>
            <w:r>
              <w:rPr>
                <w:rFonts w:eastAsia="楷体"/>
                <w:color w:val="000000"/>
                <w:kern w:val="0"/>
                <w:sz w:val="16"/>
                <w:szCs w:val="16"/>
              </w:rPr>
              <w:t>有限公司</w:t>
            </w:r>
          </w:p>
        </w:tc>
      </w:tr>
      <w:tr w:rsidR="00525C4A" w14:paraId="3D8CF2A7"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63B34A2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139501.SZ</w:t>
            </w:r>
          </w:p>
        </w:tc>
        <w:tc>
          <w:tcPr>
            <w:tcW w:w="1004" w:type="dxa"/>
            <w:tcBorders>
              <w:top w:val="nil"/>
              <w:left w:val="nil"/>
              <w:bottom w:val="single" w:sz="4" w:space="0" w:color="auto"/>
              <w:right w:val="single" w:sz="4" w:space="0" w:color="auto"/>
            </w:tcBorders>
            <w:shd w:val="clear" w:color="auto" w:fill="auto"/>
            <w:noWrap/>
            <w:vAlign w:val="center"/>
          </w:tcPr>
          <w:p w14:paraId="7030A816" w14:textId="77777777" w:rsidR="00525C4A" w:rsidRDefault="004041B3">
            <w:pPr>
              <w:widowControl/>
              <w:spacing w:line="360" w:lineRule="exact"/>
              <w:ind w:firstLineChars="0" w:firstLine="0"/>
              <w:jc w:val="center"/>
              <w:rPr>
                <w:rFonts w:eastAsia="等线"/>
                <w:color w:val="000000"/>
                <w:kern w:val="0"/>
                <w:sz w:val="16"/>
                <w:szCs w:val="16"/>
              </w:rPr>
            </w:pPr>
            <w:r>
              <w:rPr>
                <w:rFonts w:eastAsia="楷体"/>
                <w:color w:val="000000"/>
                <w:kern w:val="0"/>
                <w:sz w:val="16"/>
                <w:szCs w:val="16"/>
              </w:rPr>
              <w:t>广铁</w:t>
            </w:r>
            <w:r>
              <w:rPr>
                <w:rFonts w:eastAsia="等线"/>
                <w:color w:val="000000"/>
                <w:kern w:val="0"/>
                <w:sz w:val="16"/>
                <w:szCs w:val="16"/>
              </w:rPr>
              <w:t>1</w:t>
            </w:r>
            <w:r>
              <w:rPr>
                <w:rFonts w:eastAsia="楷体"/>
                <w:color w:val="000000"/>
                <w:kern w:val="0"/>
                <w:sz w:val="16"/>
                <w:szCs w:val="16"/>
              </w:rPr>
              <w:t>优</w:t>
            </w:r>
            <w:r>
              <w:rPr>
                <w:rFonts w:eastAsia="等线"/>
                <w:color w:val="000000"/>
                <w:kern w:val="0"/>
                <w:sz w:val="16"/>
                <w:szCs w:val="16"/>
              </w:rPr>
              <w:t>4</w:t>
            </w:r>
          </w:p>
        </w:tc>
        <w:tc>
          <w:tcPr>
            <w:tcW w:w="1007" w:type="dxa"/>
            <w:tcBorders>
              <w:top w:val="nil"/>
              <w:left w:val="nil"/>
              <w:bottom w:val="single" w:sz="4" w:space="0" w:color="auto"/>
              <w:right w:val="single" w:sz="4" w:space="0" w:color="auto"/>
            </w:tcBorders>
            <w:shd w:val="clear" w:color="auto" w:fill="auto"/>
            <w:noWrap/>
            <w:vAlign w:val="center"/>
          </w:tcPr>
          <w:p w14:paraId="15AD3FBE"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2019-03-15</w:t>
            </w:r>
          </w:p>
        </w:tc>
        <w:tc>
          <w:tcPr>
            <w:tcW w:w="554" w:type="dxa"/>
            <w:tcBorders>
              <w:top w:val="nil"/>
              <w:left w:val="nil"/>
              <w:bottom w:val="single" w:sz="4" w:space="0" w:color="auto"/>
              <w:right w:val="single" w:sz="4" w:space="0" w:color="auto"/>
            </w:tcBorders>
            <w:shd w:val="clear" w:color="auto" w:fill="auto"/>
            <w:noWrap/>
            <w:vAlign w:val="center"/>
          </w:tcPr>
          <w:p w14:paraId="3273174B"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4.05</w:t>
            </w:r>
          </w:p>
        </w:tc>
        <w:tc>
          <w:tcPr>
            <w:tcW w:w="969" w:type="dxa"/>
            <w:tcBorders>
              <w:top w:val="nil"/>
              <w:left w:val="nil"/>
              <w:bottom w:val="single" w:sz="4" w:space="0" w:color="auto"/>
              <w:right w:val="single" w:sz="4" w:space="0" w:color="auto"/>
            </w:tcBorders>
            <w:shd w:val="clear" w:color="auto" w:fill="auto"/>
            <w:noWrap/>
            <w:vAlign w:val="center"/>
          </w:tcPr>
          <w:p w14:paraId="045165BA"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基础设施</w:t>
            </w:r>
          </w:p>
          <w:p w14:paraId="41B83D01"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收费</w:t>
            </w:r>
          </w:p>
        </w:tc>
        <w:tc>
          <w:tcPr>
            <w:tcW w:w="806" w:type="dxa"/>
            <w:tcBorders>
              <w:top w:val="nil"/>
              <w:left w:val="nil"/>
              <w:bottom w:val="single" w:sz="4" w:space="0" w:color="auto"/>
              <w:right w:val="single" w:sz="4" w:space="0" w:color="auto"/>
            </w:tcBorders>
            <w:shd w:val="clear" w:color="auto" w:fill="auto"/>
            <w:noWrap/>
            <w:vAlign w:val="center"/>
          </w:tcPr>
          <w:p w14:paraId="54091E30"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7CD7F492"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3.77</w:t>
            </w:r>
          </w:p>
        </w:tc>
        <w:tc>
          <w:tcPr>
            <w:tcW w:w="802" w:type="dxa"/>
            <w:tcBorders>
              <w:top w:val="nil"/>
              <w:left w:val="nil"/>
              <w:bottom w:val="single" w:sz="4" w:space="0" w:color="auto"/>
              <w:right w:val="single" w:sz="4" w:space="0" w:color="auto"/>
            </w:tcBorders>
            <w:shd w:val="clear" w:color="auto" w:fill="auto"/>
            <w:noWrap/>
            <w:vAlign w:val="center"/>
          </w:tcPr>
          <w:p w14:paraId="03CE7CC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6.23</w:t>
            </w:r>
          </w:p>
        </w:tc>
        <w:tc>
          <w:tcPr>
            <w:tcW w:w="1251" w:type="dxa"/>
            <w:tcBorders>
              <w:top w:val="nil"/>
              <w:left w:val="nil"/>
              <w:bottom w:val="single" w:sz="4" w:space="0" w:color="auto"/>
              <w:right w:val="single" w:sz="4" w:space="0" w:color="auto"/>
            </w:tcBorders>
            <w:shd w:val="clear" w:color="auto" w:fill="auto"/>
            <w:noWrap/>
          </w:tcPr>
          <w:p w14:paraId="23959BF6"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广州地铁集团有限公司</w:t>
            </w:r>
          </w:p>
        </w:tc>
      </w:tr>
      <w:tr w:rsidR="00525C4A" w14:paraId="2449ECC9"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6345B2AE"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lastRenderedPageBreak/>
              <w:t>156621.SH</w:t>
            </w:r>
          </w:p>
        </w:tc>
        <w:tc>
          <w:tcPr>
            <w:tcW w:w="1004" w:type="dxa"/>
            <w:tcBorders>
              <w:top w:val="nil"/>
              <w:left w:val="nil"/>
              <w:bottom w:val="single" w:sz="4" w:space="0" w:color="auto"/>
              <w:right w:val="single" w:sz="4" w:space="0" w:color="auto"/>
            </w:tcBorders>
            <w:shd w:val="clear" w:color="auto" w:fill="auto"/>
            <w:noWrap/>
            <w:vAlign w:val="center"/>
          </w:tcPr>
          <w:p w14:paraId="03E49807" w14:textId="77777777" w:rsidR="00525C4A" w:rsidRDefault="004041B3">
            <w:pPr>
              <w:widowControl/>
              <w:spacing w:line="360" w:lineRule="exact"/>
              <w:ind w:firstLineChars="0" w:firstLine="0"/>
              <w:jc w:val="center"/>
              <w:rPr>
                <w:rFonts w:eastAsia="等线"/>
                <w:color w:val="000000"/>
                <w:kern w:val="0"/>
                <w:sz w:val="16"/>
                <w:szCs w:val="16"/>
              </w:rPr>
            </w:pPr>
            <w:r>
              <w:rPr>
                <w:rFonts w:eastAsia="楷体"/>
                <w:color w:val="000000"/>
                <w:kern w:val="0"/>
                <w:sz w:val="16"/>
                <w:szCs w:val="16"/>
              </w:rPr>
              <w:t>奥克</w:t>
            </w:r>
            <w:r>
              <w:rPr>
                <w:rFonts w:eastAsia="等线"/>
                <w:color w:val="000000"/>
                <w:kern w:val="0"/>
                <w:sz w:val="16"/>
                <w:szCs w:val="16"/>
              </w:rPr>
              <w:t>9A4</w:t>
            </w:r>
          </w:p>
        </w:tc>
        <w:tc>
          <w:tcPr>
            <w:tcW w:w="1007" w:type="dxa"/>
            <w:tcBorders>
              <w:top w:val="nil"/>
              <w:left w:val="nil"/>
              <w:bottom w:val="single" w:sz="4" w:space="0" w:color="auto"/>
              <w:right w:val="single" w:sz="4" w:space="0" w:color="auto"/>
            </w:tcBorders>
            <w:shd w:val="clear" w:color="auto" w:fill="auto"/>
            <w:noWrap/>
            <w:vAlign w:val="center"/>
          </w:tcPr>
          <w:p w14:paraId="73A8FDB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2019-03-13</w:t>
            </w:r>
          </w:p>
        </w:tc>
        <w:tc>
          <w:tcPr>
            <w:tcW w:w="554" w:type="dxa"/>
            <w:tcBorders>
              <w:top w:val="nil"/>
              <w:left w:val="nil"/>
              <w:bottom w:val="single" w:sz="4" w:space="0" w:color="auto"/>
              <w:right w:val="single" w:sz="4" w:space="0" w:color="auto"/>
            </w:tcBorders>
            <w:shd w:val="clear" w:color="auto" w:fill="auto"/>
            <w:noWrap/>
            <w:vAlign w:val="center"/>
          </w:tcPr>
          <w:p w14:paraId="351A1FA9"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6.30</w:t>
            </w:r>
          </w:p>
        </w:tc>
        <w:tc>
          <w:tcPr>
            <w:tcW w:w="969" w:type="dxa"/>
            <w:tcBorders>
              <w:top w:val="nil"/>
              <w:left w:val="nil"/>
              <w:bottom w:val="single" w:sz="4" w:space="0" w:color="auto"/>
              <w:right w:val="single" w:sz="4" w:space="0" w:color="auto"/>
            </w:tcBorders>
            <w:shd w:val="clear" w:color="auto" w:fill="auto"/>
            <w:noWrap/>
            <w:vAlign w:val="center"/>
          </w:tcPr>
          <w:p w14:paraId="463D69A4"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租赁租金</w:t>
            </w:r>
          </w:p>
        </w:tc>
        <w:tc>
          <w:tcPr>
            <w:tcW w:w="806" w:type="dxa"/>
            <w:tcBorders>
              <w:top w:val="nil"/>
              <w:left w:val="nil"/>
              <w:bottom w:val="single" w:sz="4" w:space="0" w:color="auto"/>
              <w:right w:val="single" w:sz="4" w:space="0" w:color="auto"/>
            </w:tcBorders>
            <w:shd w:val="clear" w:color="auto" w:fill="auto"/>
            <w:noWrap/>
            <w:vAlign w:val="center"/>
          </w:tcPr>
          <w:p w14:paraId="3D0A8ADA"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587D919B"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3.53</w:t>
            </w:r>
          </w:p>
        </w:tc>
        <w:tc>
          <w:tcPr>
            <w:tcW w:w="802" w:type="dxa"/>
            <w:tcBorders>
              <w:top w:val="nil"/>
              <w:left w:val="nil"/>
              <w:bottom w:val="single" w:sz="4" w:space="0" w:color="auto"/>
              <w:right w:val="single" w:sz="4" w:space="0" w:color="auto"/>
            </w:tcBorders>
            <w:shd w:val="clear" w:color="auto" w:fill="auto"/>
            <w:noWrap/>
            <w:vAlign w:val="center"/>
          </w:tcPr>
          <w:p w14:paraId="6447BAED"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0.68</w:t>
            </w:r>
          </w:p>
        </w:tc>
        <w:tc>
          <w:tcPr>
            <w:tcW w:w="1251" w:type="dxa"/>
            <w:tcBorders>
              <w:top w:val="nil"/>
              <w:left w:val="nil"/>
              <w:bottom w:val="single" w:sz="4" w:space="0" w:color="auto"/>
              <w:right w:val="single" w:sz="4" w:space="0" w:color="auto"/>
            </w:tcBorders>
            <w:shd w:val="clear" w:color="auto" w:fill="auto"/>
            <w:noWrap/>
          </w:tcPr>
          <w:p w14:paraId="2EDB0B36"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奥克斯融资租赁股份有限公司</w:t>
            </w:r>
          </w:p>
        </w:tc>
      </w:tr>
      <w:tr w:rsidR="00525C4A" w14:paraId="5E305F6A"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430DB083"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156749.SH</w:t>
            </w:r>
          </w:p>
        </w:tc>
        <w:tc>
          <w:tcPr>
            <w:tcW w:w="1004" w:type="dxa"/>
            <w:tcBorders>
              <w:top w:val="nil"/>
              <w:left w:val="nil"/>
              <w:bottom w:val="single" w:sz="4" w:space="0" w:color="auto"/>
              <w:right w:val="single" w:sz="4" w:space="0" w:color="auto"/>
            </w:tcBorders>
            <w:shd w:val="clear" w:color="auto" w:fill="auto"/>
            <w:noWrap/>
            <w:vAlign w:val="center"/>
          </w:tcPr>
          <w:p w14:paraId="7F397517" w14:textId="77777777" w:rsidR="00525C4A" w:rsidRDefault="004041B3">
            <w:pPr>
              <w:widowControl/>
              <w:spacing w:line="360" w:lineRule="exact"/>
              <w:ind w:firstLineChars="0" w:firstLine="0"/>
              <w:jc w:val="center"/>
              <w:rPr>
                <w:rFonts w:eastAsia="等线"/>
                <w:color w:val="000000"/>
                <w:kern w:val="0"/>
                <w:sz w:val="16"/>
                <w:szCs w:val="16"/>
              </w:rPr>
            </w:pPr>
            <w:r>
              <w:rPr>
                <w:rFonts w:eastAsia="楷体"/>
                <w:color w:val="000000"/>
                <w:kern w:val="0"/>
                <w:sz w:val="16"/>
                <w:szCs w:val="16"/>
              </w:rPr>
              <w:t>远海租</w:t>
            </w:r>
            <w:r>
              <w:rPr>
                <w:rFonts w:eastAsia="等线"/>
                <w:color w:val="000000"/>
                <w:kern w:val="0"/>
                <w:sz w:val="16"/>
                <w:szCs w:val="16"/>
              </w:rPr>
              <w:t>03</w:t>
            </w:r>
          </w:p>
        </w:tc>
        <w:tc>
          <w:tcPr>
            <w:tcW w:w="1007" w:type="dxa"/>
            <w:tcBorders>
              <w:top w:val="nil"/>
              <w:left w:val="nil"/>
              <w:bottom w:val="single" w:sz="4" w:space="0" w:color="auto"/>
              <w:right w:val="single" w:sz="4" w:space="0" w:color="auto"/>
            </w:tcBorders>
            <w:shd w:val="clear" w:color="auto" w:fill="auto"/>
            <w:noWrap/>
            <w:vAlign w:val="center"/>
          </w:tcPr>
          <w:p w14:paraId="5A4DFBF3"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2019-01-29</w:t>
            </w:r>
          </w:p>
        </w:tc>
        <w:tc>
          <w:tcPr>
            <w:tcW w:w="554" w:type="dxa"/>
            <w:tcBorders>
              <w:top w:val="nil"/>
              <w:left w:val="nil"/>
              <w:bottom w:val="single" w:sz="4" w:space="0" w:color="auto"/>
              <w:right w:val="single" w:sz="4" w:space="0" w:color="auto"/>
            </w:tcBorders>
            <w:shd w:val="clear" w:color="auto" w:fill="auto"/>
            <w:noWrap/>
            <w:vAlign w:val="center"/>
          </w:tcPr>
          <w:p w14:paraId="7CC77835"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5.65</w:t>
            </w:r>
          </w:p>
        </w:tc>
        <w:tc>
          <w:tcPr>
            <w:tcW w:w="969" w:type="dxa"/>
            <w:tcBorders>
              <w:top w:val="nil"/>
              <w:left w:val="nil"/>
              <w:bottom w:val="single" w:sz="4" w:space="0" w:color="auto"/>
              <w:right w:val="single" w:sz="4" w:space="0" w:color="auto"/>
            </w:tcBorders>
            <w:shd w:val="clear" w:color="auto" w:fill="auto"/>
            <w:noWrap/>
            <w:vAlign w:val="center"/>
          </w:tcPr>
          <w:p w14:paraId="0B5B8EC8"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租赁租金</w:t>
            </w:r>
          </w:p>
        </w:tc>
        <w:tc>
          <w:tcPr>
            <w:tcW w:w="806" w:type="dxa"/>
            <w:tcBorders>
              <w:top w:val="nil"/>
              <w:left w:val="nil"/>
              <w:bottom w:val="single" w:sz="4" w:space="0" w:color="auto"/>
              <w:right w:val="single" w:sz="4" w:space="0" w:color="auto"/>
            </w:tcBorders>
            <w:shd w:val="clear" w:color="auto" w:fill="auto"/>
            <w:noWrap/>
            <w:vAlign w:val="center"/>
          </w:tcPr>
          <w:p w14:paraId="5281362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4206F8B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3.56</w:t>
            </w:r>
          </w:p>
        </w:tc>
        <w:tc>
          <w:tcPr>
            <w:tcW w:w="802" w:type="dxa"/>
            <w:tcBorders>
              <w:top w:val="nil"/>
              <w:left w:val="nil"/>
              <w:bottom w:val="single" w:sz="4" w:space="0" w:color="auto"/>
              <w:right w:val="single" w:sz="4" w:space="0" w:color="auto"/>
            </w:tcBorders>
            <w:shd w:val="clear" w:color="auto" w:fill="auto"/>
            <w:noWrap/>
            <w:vAlign w:val="center"/>
          </w:tcPr>
          <w:p w14:paraId="20806511"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4.58</w:t>
            </w:r>
          </w:p>
        </w:tc>
        <w:tc>
          <w:tcPr>
            <w:tcW w:w="1251" w:type="dxa"/>
            <w:tcBorders>
              <w:top w:val="nil"/>
              <w:left w:val="nil"/>
              <w:bottom w:val="single" w:sz="4" w:space="0" w:color="auto"/>
              <w:right w:val="single" w:sz="4" w:space="0" w:color="auto"/>
            </w:tcBorders>
            <w:shd w:val="clear" w:color="auto" w:fill="auto"/>
            <w:noWrap/>
          </w:tcPr>
          <w:p w14:paraId="78B1F5D2"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中远海运租赁有限公司</w:t>
            </w:r>
          </w:p>
        </w:tc>
      </w:tr>
      <w:tr w:rsidR="00525C4A" w14:paraId="201D5F7D"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00C95588"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139963.SZ</w:t>
            </w:r>
          </w:p>
        </w:tc>
        <w:tc>
          <w:tcPr>
            <w:tcW w:w="1004" w:type="dxa"/>
            <w:tcBorders>
              <w:top w:val="nil"/>
              <w:left w:val="nil"/>
              <w:bottom w:val="single" w:sz="4" w:space="0" w:color="auto"/>
              <w:right w:val="single" w:sz="4" w:space="0" w:color="auto"/>
            </w:tcBorders>
            <w:shd w:val="clear" w:color="auto" w:fill="auto"/>
            <w:noWrap/>
            <w:vAlign w:val="center"/>
          </w:tcPr>
          <w:p w14:paraId="46E2E4B9"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r>
              <w:rPr>
                <w:rFonts w:eastAsia="楷体"/>
                <w:color w:val="000000"/>
                <w:kern w:val="0"/>
                <w:sz w:val="16"/>
                <w:szCs w:val="16"/>
              </w:rPr>
              <w:t>华强</w:t>
            </w:r>
            <w:r>
              <w:rPr>
                <w:rFonts w:eastAsia="等线"/>
                <w:color w:val="000000"/>
                <w:kern w:val="0"/>
                <w:sz w:val="16"/>
                <w:szCs w:val="16"/>
              </w:rPr>
              <w:t>04</w:t>
            </w:r>
          </w:p>
        </w:tc>
        <w:tc>
          <w:tcPr>
            <w:tcW w:w="1007" w:type="dxa"/>
            <w:tcBorders>
              <w:top w:val="nil"/>
              <w:left w:val="nil"/>
              <w:bottom w:val="single" w:sz="4" w:space="0" w:color="auto"/>
              <w:right w:val="single" w:sz="4" w:space="0" w:color="auto"/>
            </w:tcBorders>
            <w:shd w:val="clear" w:color="auto" w:fill="auto"/>
            <w:noWrap/>
            <w:vAlign w:val="center"/>
          </w:tcPr>
          <w:p w14:paraId="096D6E6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2019-09-25</w:t>
            </w:r>
          </w:p>
        </w:tc>
        <w:tc>
          <w:tcPr>
            <w:tcW w:w="554" w:type="dxa"/>
            <w:tcBorders>
              <w:top w:val="nil"/>
              <w:left w:val="nil"/>
              <w:bottom w:val="single" w:sz="4" w:space="0" w:color="auto"/>
              <w:right w:val="single" w:sz="4" w:space="0" w:color="auto"/>
            </w:tcBorders>
            <w:shd w:val="clear" w:color="auto" w:fill="auto"/>
            <w:noWrap/>
            <w:vAlign w:val="center"/>
          </w:tcPr>
          <w:p w14:paraId="4630C7D2"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5.10</w:t>
            </w:r>
          </w:p>
        </w:tc>
        <w:tc>
          <w:tcPr>
            <w:tcW w:w="969" w:type="dxa"/>
            <w:tcBorders>
              <w:top w:val="nil"/>
              <w:left w:val="nil"/>
              <w:bottom w:val="single" w:sz="4" w:space="0" w:color="auto"/>
              <w:right w:val="single" w:sz="4" w:space="0" w:color="auto"/>
            </w:tcBorders>
            <w:shd w:val="clear" w:color="auto" w:fill="auto"/>
            <w:noWrap/>
            <w:vAlign w:val="center"/>
          </w:tcPr>
          <w:p w14:paraId="586EA6CB"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应收账款</w:t>
            </w:r>
          </w:p>
        </w:tc>
        <w:tc>
          <w:tcPr>
            <w:tcW w:w="806" w:type="dxa"/>
            <w:tcBorders>
              <w:top w:val="nil"/>
              <w:left w:val="nil"/>
              <w:bottom w:val="single" w:sz="4" w:space="0" w:color="auto"/>
              <w:right w:val="single" w:sz="4" w:space="0" w:color="auto"/>
            </w:tcBorders>
            <w:shd w:val="clear" w:color="auto" w:fill="auto"/>
            <w:noWrap/>
            <w:vAlign w:val="center"/>
          </w:tcPr>
          <w:p w14:paraId="28019BFB"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60C9A4AE"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3.85</w:t>
            </w:r>
          </w:p>
        </w:tc>
        <w:tc>
          <w:tcPr>
            <w:tcW w:w="802" w:type="dxa"/>
            <w:tcBorders>
              <w:top w:val="nil"/>
              <w:left w:val="nil"/>
              <w:bottom w:val="single" w:sz="4" w:space="0" w:color="auto"/>
              <w:right w:val="single" w:sz="4" w:space="0" w:color="auto"/>
            </w:tcBorders>
            <w:shd w:val="clear" w:color="auto" w:fill="auto"/>
            <w:noWrap/>
            <w:vAlign w:val="center"/>
          </w:tcPr>
          <w:p w14:paraId="32BF7F6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1.50</w:t>
            </w:r>
          </w:p>
        </w:tc>
        <w:tc>
          <w:tcPr>
            <w:tcW w:w="1251" w:type="dxa"/>
            <w:tcBorders>
              <w:top w:val="nil"/>
              <w:left w:val="nil"/>
              <w:bottom w:val="single" w:sz="4" w:space="0" w:color="auto"/>
              <w:right w:val="single" w:sz="4" w:space="0" w:color="auto"/>
            </w:tcBorders>
            <w:shd w:val="clear" w:color="auto" w:fill="auto"/>
            <w:noWrap/>
          </w:tcPr>
          <w:p w14:paraId="7787643D"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深圳华强集团有限公司</w:t>
            </w:r>
          </w:p>
        </w:tc>
      </w:tr>
      <w:tr w:rsidR="00525C4A" w14:paraId="72AB3376"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21E50478"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159861.SH</w:t>
            </w:r>
          </w:p>
        </w:tc>
        <w:tc>
          <w:tcPr>
            <w:tcW w:w="1004" w:type="dxa"/>
            <w:tcBorders>
              <w:top w:val="nil"/>
              <w:left w:val="nil"/>
              <w:bottom w:val="single" w:sz="4" w:space="0" w:color="auto"/>
              <w:right w:val="single" w:sz="4" w:space="0" w:color="auto"/>
            </w:tcBorders>
            <w:shd w:val="clear" w:color="auto" w:fill="auto"/>
            <w:noWrap/>
            <w:vAlign w:val="center"/>
          </w:tcPr>
          <w:p w14:paraId="69E94310"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r>
              <w:rPr>
                <w:rFonts w:eastAsia="楷体"/>
                <w:color w:val="000000"/>
                <w:kern w:val="0"/>
                <w:sz w:val="16"/>
                <w:szCs w:val="16"/>
              </w:rPr>
              <w:t>长水</w:t>
            </w:r>
            <w:r>
              <w:rPr>
                <w:rFonts w:eastAsia="等线"/>
                <w:color w:val="000000"/>
                <w:kern w:val="0"/>
                <w:sz w:val="16"/>
                <w:szCs w:val="16"/>
              </w:rPr>
              <w:t>A4</w:t>
            </w:r>
          </w:p>
        </w:tc>
        <w:tc>
          <w:tcPr>
            <w:tcW w:w="1007" w:type="dxa"/>
            <w:tcBorders>
              <w:top w:val="nil"/>
              <w:left w:val="nil"/>
              <w:bottom w:val="single" w:sz="4" w:space="0" w:color="auto"/>
              <w:right w:val="single" w:sz="4" w:space="0" w:color="auto"/>
            </w:tcBorders>
            <w:shd w:val="clear" w:color="auto" w:fill="auto"/>
            <w:noWrap/>
            <w:vAlign w:val="center"/>
          </w:tcPr>
          <w:p w14:paraId="34BEA3FD"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2019-09-17</w:t>
            </w:r>
          </w:p>
        </w:tc>
        <w:tc>
          <w:tcPr>
            <w:tcW w:w="554" w:type="dxa"/>
            <w:tcBorders>
              <w:top w:val="nil"/>
              <w:left w:val="nil"/>
              <w:bottom w:val="single" w:sz="4" w:space="0" w:color="auto"/>
              <w:right w:val="single" w:sz="4" w:space="0" w:color="auto"/>
            </w:tcBorders>
            <w:shd w:val="clear" w:color="auto" w:fill="auto"/>
            <w:noWrap/>
            <w:vAlign w:val="center"/>
          </w:tcPr>
          <w:p w14:paraId="10A5FF53"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4.70</w:t>
            </w:r>
          </w:p>
        </w:tc>
        <w:tc>
          <w:tcPr>
            <w:tcW w:w="969" w:type="dxa"/>
            <w:tcBorders>
              <w:top w:val="nil"/>
              <w:left w:val="nil"/>
              <w:bottom w:val="single" w:sz="4" w:space="0" w:color="auto"/>
              <w:right w:val="single" w:sz="4" w:space="0" w:color="auto"/>
            </w:tcBorders>
            <w:shd w:val="clear" w:color="auto" w:fill="auto"/>
            <w:noWrap/>
            <w:vAlign w:val="center"/>
          </w:tcPr>
          <w:p w14:paraId="4B40C188"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其他企业</w:t>
            </w:r>
          </w:p>
          <w:p w14:paraId="0E4D68F5"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债权</w:t>
            </w:r>
          </w:p>
        </w:tc>
        <w:tc>
          <w:tcPr>
            <w:tcW w:w="806" w:type="dxa"/>
            <w:tcBorders>
              <w:top w:val="nil"/>
              <w:left w:val="nil"/>
              <w:bottom w:val="single" w:sz="4" w:space="0" w:color="auto"/>
              <w:right w:val="single" w:sz="4" w:space="0" w:color="auto"/>
            </w:tcBorders>
            <w:shd w:val="clear" w:color="auto" w:fill="auto"/>
            <w:noWrap/>
            <w:vAlign w:val="center"/>
          </w:tcPr>
          <w:p w14:paraId="4AC03DB8"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4C0C96F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3.95</w:t>
            </w:r>
          </w:p>
        </w:tc>
        <w:tc>
          <w:tcPr>
            <w:tcW w:w="802" w:type="dxa"/>
            <w:tcBorders>
              <w:top w:val="nil"/>
              <w:left w:val="nil"/>
              <w:bottom w:val="single" w:sz="4" w:space="0" w:color="auto"/>
              <w:right w:val="single" w:sz="4" w:space="0" w:color="auto"/>
            </w:tcBorders>
            <w:shd w:val="clear" w:color="auto" w:fill="auto"/>
            <w:noWrap/>
            <w:vAlign w:val="center"/>
          </w:tcPr>
          <w:p w14:paraId="1A080A0D"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2.49</w:t>
            </w:r>
          </w:p>
        </w:tc>
        <w:tc>
          <w:tcPr>
            <w:tcW w:w="1251" w:type="dxa"/>
            <w:tcBorders>
              <w:top w:val="nil"/>
              <w:left w:val="nil"/>
              <w:bottom w:val="single" w:sz="4" w:space="0" w:color="auto"/>
              <w:right w:val="single" w:sz="4" w:space="0" w:color="auto"/>
            </w:tcBorders>
            <w:shd w:val="clear" w:color="auto" w:fill="auto"/>
            <w:noWrap/>
          </w:tcPr>
          <w:p w14:paraId="41764E6B"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长沙供水有限公司</w:t>
            </w:r>
          </w:p>
        </w:tc>
      </w:tr>
      <w:tr w:rsidR="00525C4A" w14:paraId="37F9C54B"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2CE238D8"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156981.SH</w:t>
            </w:r>
          </w:p>
        </w:tc>
        <w:tc>
          <w:tcPr>
            <w:tcW w:w="1004" w:type="dxa"/>
            <w:tcBorders>
              <w:top w:val="nil"/>
              <w:left w:val="nil"/>
              <w:bottom w:val="single" w:sz="4" w:space="0" w:color="auto"/>
              <w:right w:val="single" w:sz="4" w:space="0" w:color="auto"/>
            </w:tcBorders>
            <w:shd w:val="clear" w:color="auto" w:fill="auto"/>
            <w:noWrap/>
            <w:vAlign w:val="center"/>
          </w:tcPr>
          <w:p w14:paraId="7DAB7D6C" w14:textId="77777777" w:rsidR="00525C4A" w:rsidRDefault="004041B3">
            <w:pPr>
              <w:widowControl/>
              <w:spacing w:line="360" w:lineRule="exact"/>
              <w:ind w:firstLineChars="0" w:firstLine="0"/>
              <w:jc w:val="center"/>
              <w:rPr>
                <w:rFonts w:eastAsia="等线"/>
                <w:color w:val="000000"/>
                <w:kern w:val="0"/>
                <w:sz w:val="16"/>
                <w:szCs w:val="16"/>
              </w:rPr>
            </w:pPr>
            <w:proofErr w:type="gramStart"/>
            <w:r>
              <w:rPr>
                <w:rFonts w:eastAsia="楷体"/>
                <w:color w:val="000000"/>
                <w:kern w:val="0"/>
                <w:sz w:val="16"/>
                <w:szCs w:val="16"/>
              </w:rPr>
              <w:t>遵</w:t>
            </w:r>
            <w:proofErr w:type="gramEnd"/>
            <w:r>
              <w:rPr>
                <w:rFonts w:eastAsia="楷体"/>
                <w:color w:val="000000"/>
                <w:kern w:val="0"/>
                <w:sz w:val="16"/>
                <w:szCs w:val="16"/>
              </w:rPr>
              <w:t>运</w:t>
            </w:r>
            <w:r>
              <w:rPr>
                <w:rFonts w:eastAsia="等线"/>
                <w:color w:val="000000"/>
                <w:kern w:val="0"/>
                <w:sz w:val="16"/>
                <w:szCs w:val="16"/>
              </w:rPr>
              <w:t>04</w:t>
            </w:r>
          </w:p>
        </w:tc>
        <w:tc>
          <w:tcPr>
            <w:tcW w:w="1007" w:type="dxa"/>
            <w:tcBorders>
              <w:top w:val="nil"/>
              <w:left w:val="nil"/>
              <w:bottom w:val="single" w:sz="4" w:space="0" w:color="auto"/>
              <w:right w:val="single" w:sz="4" w:space="0" w:color="auto"/>
            </w:tcBorders>
            <w:shd w:val="clear" w:color="auto" w:fill="auto"/>
            <w:noWrap/>
            <w:vAlign w:val="center"/>
          </w:tcPr>
          <w:p w14:paraId="36F798F6"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2019-09-06</w:t>
            </w:r>
          </w:p>
        </w:tc>
        <w:tc>
          <w:tcPr>
            <w:tcW w:w="554" w:type="dxa"/>
            <w:tcBorders>
              <w:top w:val="nil"/>
              <w:left w:val="nil"/>
              <w:bottom w:val="single" w:sz="4" w:space="0" w:color="auto"/>
              <w:right w:val="single" w:sz="4" w:space="0" w:color="auto"/>
            </w:tcBorders>
            <w:shd w:val="clear" w:color="auto" w:fill="auto"/>
            <w:noWrap/>
            <w:vAlign w:val="center"/>
          </w:tcPr>
          <w:p w14:paraId="53B3F19A"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7.50</w:t>
            </w:r>
          </w:p>
        </w:tc>
        <w:tc>
          <w:tcPr>
            <w:tcW w:w="969" w:type="dxa"/>
            <w:tcBorders>
              <w:top w:val="nil"/>
              <w:left w:val="nil"/>
              <w:bottom w:val="single" w:sz="4" w:space="0" w:color="auto"/>
              <w:right w:val="single" w:sz="4" w:space="0" w:color="auto"/>
            </w:tcBorders>
            <w:shd w:val="clear" w:color="auto" w:fill="auto"/>
            <w:noWrap/>
            <w:vAlign w:val="center"/>
          </w:tcPr>
          <w:p w14:paraId="394891CA"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基础设施</w:t>
            </w:r>
          </w:p>
          <w:p w14:paraId="300DBAFD"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收费</w:t>
            </w:r>
          </w:p>
        </w:tc>
        <w:tc>
          <w:tcPr>
            <w:tcW w:w="806" w:type="dxa"/>
            <w:tcBorders>
              <w:top w:val="nil"/>
              <w:left w:val="nil"/>
              <w:bottom w:val="single" w:sz="4" w:space="0" w:color="auto"/>
              <w:right w:val="single" w:sz="4" w:space="0" w:color="auto"/>
            </w:tcBorders>
            <w:shd w:val="clear" w:color="auto" w:fill="auto"/>
            <w:noWrap/>
            <w:vAlign w:val="center"/>
          </w:tcPr>
          <w:p w14:paraId="19CB5620"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28B3D7C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3.95</w:t>
            </w:r>
          </w:p>
        </w:tc>
        <w:tc>
          <w:tcPr>
            <w:tcW w:w="802" w:type="dxa"/>
            <w:tcBorders>
              <w:top w:val="nil"/>
              <w:left w:val="nil"/>
              <w:bottom w:val="single" w:sz="4" w:space="0" w:color="auto"/>
              <w:right w:val="single" w:sz="4" w:space="0" w:color="auto"/>
            </w:tcBorders>
            <w:shd w:val="clear" w:color="auto" w:fill="auto"/>
            <w:noWrap/>
            <w:vAlign w:val="center"/>
          </w:tcPr>
          <w:p w14:paraId="1669B21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0.57</w:t>
            </w:r>
          </w:p>
        </w:tc>
        <w:tc>
          <w:tcPr>
            <w:tcW w:w="1251" w:type="dxa"/>
            <w:tcBorders>
              <w:top w:val="nil"/>
              <w:left w:val="nil"/>
              <w:bottom w:val="single" w:sz="4" w:space="0" w:color="auto"/>
              <w:right w:val="single" w:sz="4" w:space="0" w:color="auto"/>
            </w:tcBorders>
            <w:shd w:val="clear" w:color="auto" w:fill="auto"/>
            <w:noWrap/>
          </w:tcPr>
          <w:p w14:paraId="6FE1795D"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贵州省遵义汽车运输</w:t>
            </w:r>
            <w:r>
              <w:rPr>
                <w:rFonts w:eastAsia="等线" w:hint="eastAsia"/>
                <w:color w:val="000000"/>
                <w:kern w:val="0"/>
                <w:sz w:val="16"/>
                <w:szCs w:val="16"/>
              </w:rPr>
              <w:t>（</w:t>
            </w:r>
            <w:r>
              <w:rPr>
                <w:rFonts w:eastAsia="楷体"/>
                <w:color w:val="000000"/>
                <w:kern w:val="0"/>
                <w:sz w:val="16"/>
                <w:szCs w:val="16"/>
              </w:rPr>
              <w:t>集团</w:t>
            </w:r>
            <w:r>
              <w:rPr>
                <w:rFonts w:eastAsia="等线" w:hint="eastAsia"/>
                <w:color w:val="000000"/>
                <w:kern w:val="0"/>
                <w:sz w:val="16"/>
                <w:szCs w:val="16"/>
              </w:rPr>
              <w:t>）</w:t>
            </w:r>
            <w:r>
              <w:rPr>
                <w:rFonts w:eastAsia="楷体"/>
                <w:color w:val="000000"/>
                <w:kern w:val="0"/>
                <w:sz w:val="16"/>
                <w:szCs w:val="16"/>
              </w:rPr>
              <w:t>有限责任公司</w:t>
            </w:r>
          </w:p>
        </w:tc>
      </w:tr>
      <w:tr w:rsidR="00525C4A" w14:paraId="255B5453" w14:textId="77777777">
        <w:trPr>
          <w:trHeight w:val="256"/>
        </w:trPr>
        <w:tc>
          <w:tcPr>
            <w:tcW w:w="873" w:type="dxa"/>
            <w:tcBorders>
              <w:top w:val="nil"/>
              <w:left w:val="single" w:sz="4" w:space="0" w:color="auto"/>
              <w:bottom w:val="single" w:sz="4" w:space="0" w:color="auto"/>
              <w:right w:val="single" w:sz="4" w:space="0" w:color="auto"/>
            </w:tcBorders>
            <w:shd w:val="clear" w:color="auto" w:fill="auto"/>
            <w:noWrap/>
            <w:vAlign w:val="center"/>
          </w:tcPr>
          <w:p w14:paraId="0412A64A"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159618.SH</w:t>
            </w:r>
          </w:p>
        </w:tc>
        <w:tc>
          <w:tcPr>
            <w:tcW w:w="1004" w:type="dxa"/>
            <w:tcBorders>
              <w:top w:val="nil"/>
              <w:left w:val="nil"/>
              <w:bottom w:val="single" w:sz="4" w:space="0" w:color="auto"/>
              <w:right w:val="single" w:sz="4" w:space="0" w:color="auto"/>
            </w:tcBorders>
            <w:shd w:val="clear" w:color="auto" w:fill="auto"/>
            <w:noWrap/>
            <w:vAlign w:val="center"/>
          </w:tcPr>
          <w:p w14:paraId="5A8228C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19</w:t>
            </w:r>
            <w:proofErr w:type="gramStart"/>
            <w:r>
              <w:rPr>
                <w:rFonts w:eastAsia="楷体"/>
                <w:color w:val="000000"/>
                <w:kern w:val="0"/>
                <w:sz w:val="16"/>
                <w:szCs w:val="16"/>
              </w:rPr>
              <w:t>遵</w:t>
            </w:r>
            <w:proofErr w:type="gramEnd"/>
            <w:r>
              <w:rPr>
                <w:rFonts w:eastAsia="楷体"/>
                <w:color w:val="000000"/>
                <w:kern w:val="0"/>
                <w:sz w:val="16"/>
                <w:szCs w:val="16"/>
              </w:rPr>
              <w:t>投</w:t>
            </w:r>
            <w:r>
              <w:rPr>
                <w:rFonts w:eastAsia="等线"/>
                <w:color w:val="000000"/>
                <w:kern w:val="0"/>
                <w:sz w:val="16"/>
                <w:szCs w:val="16"/>
              </w:rPr>
              <w:t>A4</w:t>
            </w:r>
          </w:p>
        </w:tc>
        <w:tc>
          <w:tcPr>
            <w:tcW w:w="1007" w:type="dxa"/>
            <w:tcBorders>
              <w:top w:val="nil"/>
              <w:left w:val="nil"/>
              <w:bottom w:val="single" w:sz="4" w:space="0" w:color="auto"/>
              <w:right w:val="single" w:sz="4" w:space="0" w:color="auto"/>
            </w:tcBorders>
            <w:shd w:val="clear" w:color="auto" w:fill="auto"/>
            <w:noWrap/>
            <w:vAlign w:val="center"/>
          </w:tcPr>
          <w:p w14:paraId="4E62D6C5"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2019-09-03</w:t>
            </w:r>
          </w:p>
        </w:tc>
        <w:tc>
          <w:tcPr>
            <w:tcW w:w="554" w:type="dxa"/>
            <w:tcBorders>
              <w:top w:val="nil"/>
              <w:left w:val="nil"/>
              <w:bottom w:val="single" w:sz="4" w:space="0" w:color="auto"/>
              <w:right w:val="single" w:sz="4" w:space="0" w:color="auto"/>
            </w:tcBorders>
            <w:shd w:val="clear" w:color="auto" w:fill="auto"/>
            <w:noWrap/>
            <w:vAlign w:val="center"/>
          </w:tcPr>
          <w:p w14:paraId="40D62F2A" w14:textId="77777777" w:rsidR="00525C4A" w:rsidRDefault="004041B3">
            <w:pPr>
              <w:widowControl/>
              <w:spacing w:line="360" w:lineRule="exact"/>
              <w:ind w:firstLineChars="0" w:firstLine="0"/>
              <w:jc w:val="center"/>
              <w:rPr>
                <w:rFonts w:eastAsia="等线"/>
                <w:color w:val="FF0000"/>
                <w:kern w:val="0"/>
                <w:sz w:val="16"/>
                <w:szCs w:val="16"/>
              </w:rPr>
            </w:pPr>
            <w:r>
              <w:rPr>
                <w:rFonts w:eastAsia="等线"/>
                <w:color w:val="FF0000"/>
                <w:kern w:val="0"/>
                <w:sz w:val="16"/>
                <w:szCs w:val="16"/>
              </w:rPr>
              <w:t>7.50</w:t>
            </w:r>
          </w:p>
        </w:tc>
        <w:tc>
          <w:tcPr>
            <w:tcW w:w="969" w:type="dxa"/>
            <w:tcBorders>
              <w:top w:val="nil"/>
              <w:left w:val="nil"/>
              <w:bottom w:val="single" w:sz="4" w:space="0" w:color="auto"/>
              <w:right w:val="single" w:sz="4" w:space="0" w:color="auto"/>
            </w:tcBorders>
            <w:shd w:val="clear" w:color="auto" w:fill="auto"/>
            <w:noWrap/>
            <w:vAlign w:val="center"/>
          </w:tcPr>
          <w:p w14:paraId="73DC31CD" w14:textId="77777777" w:rsidR="00525C4A" w:rsidRDefault="004041B3">
            <w:pPr>
              <w:widowControl/>
              <w:spacing w:line="360" w:lineRule="exact"/>
              <w:ind w:firstLineChars="0" w:firstLine="0"/>
              <w:jc w:val="center"/>
              <w:rPr>
                <w:rFonts w:eastAsia="楷体"/>
                <w:color w:val="FF0000"/>
                <w:kern w:val="0"/>
                <w:sz w:val="16"/>
                <w:szCs w:val="16"/>
              </w:rPr>
            </w:pPr>
            <w:r>
              <w:rPr>
                <w:rFonts w:eastAsia="楷体"/>
                <w:color w:val="FF0000"/>
                <w:kern w:val="0"/>
                <w:sz w:val="16"/>
                <w:szCs w:val="16"/>
              </w:rPr>
              <w:t>其他企业</w:t>
            </w:r>
          </w:p>
          <w:p w14:paraId="616F739E" w14:textId="77777777" w:rsidR="00525C4A" w:rsidRDefault="004041B3">
            <w:pPr>
              <w:widowControl/>
              <w:spacing w:line="360" w:lineRule="exact"/>
              <w:ind w:firstLineChars="0" w:firstLine="0"/>
              <w:jc w:val="center"/>
              <w:rPr>
                <w:rFonts w:eastAsia="等线"/>
                <w:color w:val="FF0000"/>
                <w:kern w:val="0"/>
                <w:sz w:val="16"/>
                <w:szCs w:val="16"/>
              </w:rPr>
            </w:pPr>
            <w:r>
              <w:rPr>
                <w:rFonts w:eastAsia="楷体"/>
                <w:color w:val="FF0000"/>
                <w:kern w:val="0"/>
                <w:sz w:val="16"/>
                <w:szCs w:val="16"/>
              </w:rPr>
              <w:t>债权</w:t>
            </w:r>
          </w:p>
        </w:tc>
        <w:tc>
          <w:tcPr>
            <w:tcW w:w="806" w:type="dxa"/>
            <w:tcBorders>
              <w:top w:val="nil"/>
              <w:left w:val="nil"/>
              <w:bottom w:val="single" w:sz="4" w:space="0" w:color="auto"/>
              <w:right w:val="single" w:sz="4" w:space="0" w:color="auto"/>
            </w:tcBorders>
            <w:shd w:val="clear" w:color="auto" w:fill="auto"/>
            <w:noWrap/>
            <w:vAlign w:val="center"/>
          </w:tcPr>
          <w:p w14:paraId="0BB34ED7"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AAA</w:t>
            </w:r>
          </w:p>
        </w:tc>
        <w:tc>
          <w:tcPr>
            <w:tcW w:w="689" w:type="dxa"/>
            <w:tcBorders>
              <w:top w:val="nil"/>
              <w:left w:val="nil"/>
              <w:bottom w:val="single" w:sz="4" w:space="0" w:color="auto"/>
              <w:right w:val="single" w:sz="4" w:space="0" w:color="auto"/>
            </w:tcBorders>
            <w:shd w:val="clear" w:color="auto" w:fill="auto"/>
            <w:noWrap/>
            <w:vAlign w:val="center"/>
          </w:tcPr>
          <w:p w14:paraId="78E44ACB"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3.89</w:t>
            </w:r>
          </w:p>
        </w:tc>
        <w:tc>
          <w:tcPr>
            <w:tcW w:w="802" w:type="dxa"/>
            <w:tcBorders>
              <w:top w:val="nil"/>
              <w:left w:val="nil"/>
              <w:bottom w:val="single" w:sz="4" w:space="0" w:color="auto"/>
              <w:right w:val="single" w:sz="4" w:space="0" w:color="auto"/>
            </w:tcBorders>
            <w:shd w:val="clear" w:color="auto" w:fill="auto"/>
            <w:noWrap/>
            <w:vAlign w:val="center"/>
          </w:tcPr>
          <w:p w14:paraId="691652E4" w14:textId="77777777" w:rsidR="00525C4A" w:rsidRDefault="004041B3">
            <w:pPr>
              <w:widowControl/>
              <w:spacing w:line="360" w:lineRule="exact"/>
              <w:ind w:firstLineChars="0" w:firstLine="0"/>
              <w:jc w:val="center"/>
              <w:rPr>
                <w:rFonts w:eastAsia="等线"/>
                <w:color w:val="000000"/>
                <w:kern w:val="0"/>
                <w:sz w:val="16"/>
                <w:szCs w:val="16"/>
              </w:rPr>
            </w:pPr>
            <w:r>
              <w:rPr>
                <w:rFonts w:eastAsia="等线"/>
                <w:color w:val="000000"/>
                <w:kern w:val="0"/>
                <w:sz w:val="16"/>
                <w:szCs w:val="16"/>
              </w:rPr>
              <w:t>1.22</w:t>
            </w:r>
          </w:p>
        </w:tc>
        <w:tc>
          <w:tcPr>
            <w:tcW w:w="1251" w:type="dxa"/>
            <w:tcBorders>
              <w:top w:val="nil"/>
              <w:left w:val="nil"/>
              <w:bottom w:val="single" w:sz="4" w:space="0" w:color="auto"/>
              <w:right w:val="single" w:sz="4" w:space="0" w:color="auto"/>
            </w:tcBorders>
            <w:shd w:val="clear" w:color="auto" w:fill="auto"/>
            <w:noWrap/>
          </w:tcPr>
          <w:p w14:paraId="1876EC7E" w14:textId="77777777" w:rsidR="00525C4A" w:rsidRDefault="004041B3">
            <w:pPr>
              <w:widowControl/>
              <w:spacing w:line="360" w:lineRule="exact"/>
              <w:ind w:firstLineChars="0" w:firstLine="0"/>
              <w:rPr>
                <w:rFonts w:eastAsia="等线"/>
                <w:color w:val="000000"/>
                <w:kern w:val="0"/>
                <w:sz w:val="16"/>
                <w:szCs w:val="16"/>
              </w:rPr>
            </w:pPr>
            <w:r>
              <w:rPr>
                <w:rFonts w:eastAsia="楷体"/>
                <w:color w:val="000000"/>
                <w:kern w:val="0"/>
                <w:sz w:val="16"/>
                <w:szCs w:val="16"/>
              </w:rPr>
              <w:t>遵义市投资</w:t>
            </w:r>
            <w:r>
              <w:rPr>
                <w:rFonts w:eastAsia="等线" w:hint="eastAsia"/>
                <w:color w:val="000000"/>
                <w:kern w:val="0"/>
                <w:sz w:val="16"/>
                <w:szCs w:val="16"/>
              </w:rPr>
              <w:t>（</w:t>
            </w:r>
            <w:r>
              <w:rPr>
                <w:rFonts w:eastAsia="楷体"/>
                <w:color w:val="000000"/>
                <w:kern w:val="0"/>
                <w:sz w:val="16"/>
                <w:szCs w:val="16"/>
              </w:rPr>
              <w:t>集团</w:t>
            </w:r>
            <w:r>
              <w:rPr>
                <w:rFonts w:eastAsia="等线" w:hint="eastAsia"/>
                <w:color w:val="000000"/>
                <w:kern w:val="0"/>
                <w:sz w:val="16"/>
                <w:szCs w:val="16"/>
              </w:rPr>
              <w:t>）</w:t>
            </w:r>
            <w:r>
              <w:rPr>
                <w:rFonts w:eastAsia="楷体"/>
                <w:color w:val="000000"/>
                <w:kern w:val="0"/>
                <w:sz w:val="16"/>
                <w:szCs w:val="16"/>
              </w:rPr>
              <w:t>有限责任公司</w:t>
            </w:r>
          </w:p>
        </w:tc>
      </w:tr>
    </w:tbl>
    <w:p w14:paraId="3BBEB09F" w14:textId="77777777" w:rsidR="00525C4A" w:rsidRDefault="004041B3">
      <w:pPr>
        <w:pStyle w:val="g"/>
        <w:widowControl w:val="0"/>
        <w:tabs>
          <w:tab w:val="left" w:pos="3960"/>
        </w:tabs>
        <w:ind w:firstLineChars="200" w:firstLine="420"/>
        <w:jc w:val="both"/>
        <w:rPr>
          <w:bCs/>
        </w:rPr>
      </w:pPr>
      <w:r>
        <w:rPr>
          <w:b w:val="0"/>
          <w:bCs/>
        </w:rPr>
        <w:t>数据来源：公开资料，兴业证券经济与金融研究院整理</w:t>
      </w:r>
    </w:p>
    <w:p w14:paraId="1D8A8DA5" w14:textId="77777777" w:rsidR="00525C4A" w:rsidRDefault="004041B3">
      <w:pPr>
        <w:pStyle w:val="2"/>
      </w:pPr>
      <w:bookmarkStart w:id="31" w:name="_Toc36378092"/>
      <w:r>
        <w:rPr>
          <w:rFonts w:hint="eastAsia"/>
        </w:rPr>
        <w:t>（二）</w:t>
      </w:r>
      <w:r>
        <w:t>平安证券</w:t>
      </w:r>
      <w:r>
        <w:t>-</w:t>
      </w:r>
      <w:r>
        <w:t>高新投知识产权</w:t>
      </w:r>
      <w:r>
        <w:t>1</w:t>
      </w:r>
      <w:r>
        <w:t>号资产支持专项计</w:t>
      </w:r>
      <w:r>
        <w:rPr>
          <w:rFonts w:hint="eastAsia"/>
        </w:rPr>
        <w:t>划</w:t>
      </w:r>
      <w:bookmarkEnd w:id="31"/>
    </w:p>
    <w:p w14:paraId="6768AA29" w14:textId="77777777" w:rsidR="00525C4A" w:rsidRDefault="004041B3">
      <w:pPr>
        <w:ind w:firstLine="480"/>
      </w:pPr>
      <w:r>
        <w:t>2019</w:t>
      </w:r>
      <w:r>
        <w:t>年</w:t>
      </w:r>
      <w:r>
        <w:t>12</w:t>
      </w:r>
      <w:r>
        <w:t>月</w:t>
      </w:r>
      <w:r>
        <w:t>26</w:t>
      </w:r>
      <w:r>
        <w:t>日，由</w:t>
      </w:r>
      <w:r>
        <w:rPr>
          <w:rFonts w:hint="eastAsia"/>
        </w:rPr>
        <w:t>深圳市高新投小额贷款有限公司</w:t>
      </w:r>
      <w:r>
        <w:t>（下称</w:t>
      </w:r>
      <w:r>
        <w:t>“</w:t>
      </w:r>
      <w:r>
        <w:rPr>
          <w:rFonts w:hint="eastAsia"/>
        </w:rPr>
        <w:t>高新投小贷公司</w:t>
      </w:r>
      <w:r>
        <w:t>”</w:t>
      </w:r>
      <w:r>
        <w:t>）发行的</w:t>
      </w:r>
      <w:r>
        <w:t>“</w:t>
      </w:r>
      <w:r>
        <w:t>平安证券</w:t>
      </w:r>
      <w:r>
        <w:t>-</w:t>
      </w:r>
      <w:r>
        <w:t>高新投知识产权</w:t>
      </w:r>
      <w:r>
        <w:t>1</w:t>
      </w:r>
      <w:r>
        <w:t>号资产支持专项计划</w:t>
      </w:r>
      <w:r>
        <w:t>”</w:t>
      </w:r>
      <w:r>
        <w:t>在深交所正式挂牌。</w:t>
      </w:r>
      <w:r>
        <w:rPr>
          <w:rFonts w:hint="eastAsia"/>
        </w:rPr>
        <w:t>这</w:t>
      </w:r>
      <w:r>
        <w:t>是中国特色社会主义先行</w:t>
      </w:r>
      <w:proofErr w:type="gramStart"/>
      <w:r>
        <w:t>示范区首单知识产权</w:t>
      </w:r>
      <w:proofErr w:type="gramEnd"/>
      <w:r>
        <w:t>证券化项目，也是</w:t>
      </w:r>
      <w:proofErr w:type="gramStart"/>
      <w:r>
        <w:t>全国首单以</w:t>
      </w:r>
      <w:proofErr w:type="gramEnd"/>
      <w:r>
        <w:t>小额贷款债权为基础资产类型的知识产权</w:t>
      </w:r>
      <w:r>
        <w:t>ABS</w:t>
      </w:r>
      <w:r>
        <w:t>产品</w:t>
      </w:r>
      <w:r>
        <w:rPr>
          <w:rFonts w:hint="eastAsia"/>
        </w:rPr>
        <w:t>，是</w:t>
      </w:r>
      <w:proofErr w:type="gramStart"/>
      <w:r>
        <w:t>科创型</w:t>
      </w:r>
      <w:proofErr w:type="gramEnd"/>
      <w:r>
        <w:t>企业知识产权与资本有效对接平台、破解科技企业融资难题的重要实践。</w:t>
      </w:r>
    </w:p>
    <w:p w14:paraId="3554E214" w14:textId="77777777" w:rsidR="00525C4A" w:rsidRDefault="004041B3">
      <w:pPr>
        <w:ind w:firstLine="480"/>
      </w:pPr>
      <w:r>
        <w:t>该产品以知识产权质押贷款债权为基础资产，贷款人或其关联方以拥有的知识产权</w:t>
      </w:r>
      <w:r>
        <w:rPr>
          <w:rFonts w:hint="eastAsia"/>
        </w:rPr>
        <w:t>（</w:t>
      </w:r>
      <w:r>
        <w:t>专利、软件著作权、实用新型等</w:t>
      </w:r>
      <w:r>
        <w:rPr>
          <w:rFonts w:hint="eastAsia"/>
        </w:rPr>
        <w:t>）</w:t>
      </w:r>
      <w:r>
        <w:t>向高新投小贷公司提供质押，项目首期入池的</w:t>
      </w:r>
      <w:r>
        <w:t>15</w:t>
      </w:r>
      <w:r>
        <w:t>家企业均为民营企业，较低的融资成本为项目持续发行、持续服务</w:t>
      </w:r>
      <w:proofErr w:type="gramStart"/>
      <w:r>
        <w:t>科创型</w:t>
      </w:r>
      <w:proofErr w:type="gramEnd"/>
      <w:r>
        <w:t>企业奠定了重要基础。</w:t>
      </w:r>
      <w:r>
        <w:rPr>
          <w:rFonts w:hint="eastAsia"/>
        </w:rPr>
        <w:t>该</w:t>
      </w:r>
      <w:r>
        <w:t>知识产权证券化项目</w:t>
      </w:r>
      <w:proofErr w:type="gramStart"/>
      <w:r>
        <w:t>储架整体</w:t>
      </w:r>
      <w:proofErr w:type="gramEnd"/>
      <w:r>
        <w:t>规模</w:t>
      </w:r>
      <w:r>
        <w:t>10</w:t>
      </w:r>
      <w:r>
        <w:t>亿元，此次为首期产品发行，规模</w:t>
      </w:r>
      <w:r>
        <w:t>1.24</w:t>
      </w:r>
      <w:r>
        <w:t>亿元。</w:t>
      </w:r>
    </w:p>
    <w:p w14:paraId="1471E46C" w14:textId="0A6EBDAA" w:rsidR="00525C4A" w:rsidRDefault="00521AA8">
      <w:pPr>
        <w:pStyle w:val="e"/>
        <w:spacing w:beforeLines="0" w:afterLines="0" w:line="560" w:lineRule="exact"/>
        <w:ind w:firstLine="480"/>
        <w:rPr>
          <w:rFonts w:ascii="Times New Roman"/>
          <w:b/>
          <w:bCs/>
        </w:rPr>
      </w:pPr>
      <w:bookmarkStart w:id="32" w:name="_Toc34325633"/>
      <w:r>
        <w:rPr>
          <w:rFonts w:ascii="Times New Roman" w:hint="eastAsia"/>
          <w:b/>
          <w:bCs/>
        </w:rPr>
        <w:lastRenderedPageBreak/>
        <w:t>表</w:t>
      </w:r>
      <w:r>
        <w:rPr>
          <w:rFonts w:ascii="Times New Roman" w:hint="eastAsia"/>
          <w:b/>
          <w:bCs/>
        </w:rPr>
        <w:t>6</w:t>
      </w:r>
      <w:r>
        <w:rPr>
          <w:rFonts w:ascii="Times New Roman" w:hint="eastAsia"/>
          <w:b/>
          <w:bCs/>
        </w:rPr>
        <w:t>：</w:t>
      </w:r>
      <w:r w:rsidR="004041B3">
        <w:rPr>
          <w:rFonts w:ascii="Times New Roman"/>
          <w:b/>
          <w:bCs/>
        </w:rPr>
        <w:t>平安证券</w:t>
      </w:r>
      <w:r w:rsidR="004041B3">
        <w:rPr>
          <w:rFonts w:ascii="Times New Roman"/>
          <w:b/>
          <w:bCs/>
        </w:rPr>
        <w:t>-</w:t>
      </w:r>
      <w:r w:rsidR="004041B3">
        <w:rPr>
          <w:rFonts w:ascii="Times New Roman"/>
          <w:b/>
          <w:bCs/>
        </w:rPr>
        <w:t>高新投知识产权</w:t>
      </w:r>
      <w:r w:rsidR="004041B3">
        <w:rPr>
          <w:rFonts w:ascii="Times New Roman"/>
          <w:b/>
          <w:bCs/>
        </w:rPr>
        <w:t>1</w:t>
      </w:r>
      <w:r w:rsidR="004041B3">
        <w:rPr>
          <w:rFonts w:ascii="Times New Roman"/>
          <w:b/>
          <w:bCs/>
        </w:rPr>
        <w:t>号发行情况</w:t>
      </w:r>
      <w:bookmarkEnd w:id="32"/>
    </w:p>
    <w:p w14:paraId="7054BDD3" w14:textId="77777777" w:rsidR="00525C4A" w:rsidRDefault="004041B3">
      <w:pPr>
        <w:pStyle w:val="e"/>
        <w:pBdr>
          <w:bottom w:val="single" w:sz="6" w:space="1" w:color="auto"/>
        </w:pBdr>
        <w:spacing w:beforeLines="0" w:afterLines="0" w:line="20" w:lineRule="exact"/>
        <w:ind w:firstLineChars="0" w:firstLine="0"/>
        <w:jc w:val="center"/>
        <w:rPr>
          <w:rFonts w:ascii="仿宋" w:eastAsia="仿宋" w:hAnsi="仿宋"/>
          <w:bCs/>
          <w:sz w:val="2"/>
          <w:szCs w:val="2"/>
        </w:rPr>
      </w:pPr>
      <w:r>
        <w:rPr>
          <w:noProof/>
          <w:sz w:val="2"/>
          <w:szCs w:val="2"/>
        </w:rPr>
        <w:drawing>
          <wp:anchor distT="0" distB="0" distL="0" distR="0" simplePos="0" relativeHeight="251664384" behindDoc="0" locked="0" layoutInCell="1" allowOverlap="1" wp14:anchorId="1E756EB9" wp14:editId="1A257784">
            <wp:simplePos x="0" y="0"/>
            <wp:positionH relativeFrom="column">
              <wp:posOffset>18415</wp:posOffset>
            </wp:positionH>
            <wp:positionV relativeFrom="paragraph">
              <wp:posOffset>14605</wp:posOffset>
            </wp:positionV>
            <wp:extent cx="5039995" cy="1029970"/>
            <wp:effectExtent l="0" t="0" r="4445" b="635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6"/>
                    <a:srcRect l="3025" t="5127" r="2600" b="5748"/>
                    <a:stretch>
                      <a:fillRect/>
                    </a:stretch>
                  </pic:blipFill>
                  <pic:spPr>
                    <a:xfrm>
                      <a:off x="0" y="0"/>
                      <a:ext cx="5039995" cy="1029970"/>
                    </a:xfrm>
                    <a:prstGeom prst="rect">
                      <a:avLst/>
                    </a:prstGeom>
                    <a:noFill/>
                    <a:ln>
                      <a:noFill/>
                    </a:ln>
                  </pic:spPr>
                </pic:pic>
              </a:graphicData>
            </a:graphic>
          </wp:anchor>
        </w:drawing>
      </w:r>
    </w:p>
    <w:p w14:paraId="7E034980" w14:textId="77777777" w:rsidR="00525C4A" w:rsidRDefault="004041B3">
      <w:pPr>
        <w:pStyle w:val="e"/>
        <w:spacing w:beforeLines="0" w:afterLines="0" w:line="276" w:lineRule="auto"/>
        <w:ind w:firstLine="420"/>
        <w:rPr>
          <w:sz w:val="21"/>
        </w:rPr>
      </w:pPr>
      <w:r>
        <w:rPr>
          <w:sz w:val="21"/>
        </w:rPr>
        <w:t>资料来源：公开资料、兴业证券经济与金融研究院整理</w:t>
      </w:r>
    </w:p>
    <w:p w14:paraId="5F27AB75" w14:textId="19AA3BA0" w:rsidR="00525C4A" w:rsidRDefault="004041B3">
      <w:pPr>
        <w:pStyle w:val="e"/>
        <w:spacing w:beforeLines="0" w:afterLines="0" w:line="560" w:lineRule="exact"/>
        <w:ind w:firstLine="480"/>
        <w:rPr>
          <w:rFonts w:ascii="Times New Roman"/>
          <w:b/>
          <w:bCs/>
        </w:rPr>
      </w:pPr>
      <w:r>
        <w:rPr>
          <w:rFonts w:ascii="Times New Roman"/>
          <w:b/>
          <w:bCs/>
        </w:rPr>
        <w:t>图</w:t>
      </w:r>
      <w:r w:rsidR="00521AA8">
        <w:rPr>
          <w:rFonts w:ascii="Times New Roman"/>
          <w:b/>
          <w:bCs/>
        </w:rPr>
        <w:t>9</w:t>
      </w:r>
      <w:r>
        <w:rPr>
          <w:rFonts w:ascii="Times New Roman"/>
          <w:b/>
          <w:bCs/>
        </w:rPr>
        <w:t xml:space="preserve">. </w:t>
      </w:r>
      <w:r>
        <w:rPr>
          <w:rFonts w:ascii="Times New Roman"/>
          <w:b/>
          <w:bCs/>
        </w:rPr>
        <w:t>交易结构</w:t>
      </w:r>
    </w:p>
    <w:p w14:paraId="0FE9A05E" w14:textId="77777777" w:rsidR="00525C4A" w:rsidRDefault="004041B3">
      <w:pPr>
        <w:pStyle w:val="e"/>
        <w:pBdr>
          <w:bottom w:val="single" w:sz="6" w:space="1" w:color="auto"/>
        </w:pBdr>
        <w:spacing w:beforeLines="0" w:afterLines="0" w:line="276" w:lineRule="auto"/>
        <w:ind w:firstLineChars="0" w:firstLine="0"/>
        <w:jc w:val="center"/>
        <w:rPr>
          <w:rFonts w:ascii="仿宋" w:eastAsia="仿宋" w:hAnsi="仿宋"/>
          <w:bCs/>
          <w:sz w:val="32"/>
          <w:szCs w:val="32"/>
        </w:rPr>
      </w:pPr>
      <w:r>
        <w:rPr>
          <w:noProof/>
        </w:rPr>
        <w:drawing>
          <wp:inline distT="0" distB="0" distL="0" distR="0" wp14:anchorId="2A66CCCC" wp14:editId="44CB7507">
            <wp:extent cx="4678680" cy="2190115"/>
            <wp:effectExtent l="0" t="0" r="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7"/>
                    <a:srcRect t="1506" b="2697"/>
                    <a:stretch>
                      <a:fillRect/>
                    </a:stretch>
                  </pic:blipFill>
                  <pic:spPr>
                    <a:xfrm>
                      <a:off x="0" y="0"/>
                      <a:ext cx="4678680" cy="2190115"/>
                    </a:xfrm>
                    <a:prstGeom prst="rect">
                      <a:avLst/>
                    </a:prstGeom>
                    <a:noFill/>
                    <a:ln w="9525">
                      <a:noFill/>
                      <a:miter lim="800000"/>
                      <a:headEnd/>
                      <a:tailEnd/>
                    </a:ln>
                  </pic:spPr>
                </pic:pic>
              </a:graphicData>
            </a:graphic>
          </wp:inline>
        </w:drawing>
      </w:r>
    </w:p>
    <w:p w14:paraId="10B9E91A" w14:textId="77777777" w:rsidR="00525C4A" w:rsidRDefault="004041B3">
      <w:pPr>
        <w:pStyle w:val="e"/>
        <w:spacing w:beforeLines="0" w:afterLines="0" w:line="276" w:lineRule="auto"/>
        <w:ind w:firstLine="420"/>
        <w:rPr>
          <w:sz w:val="21"/>
        </w:rPr>
      </w:pPr>
      <w:r>
        <w:rPr>
          <w:sz w:val="21"/>
        </w:rPr>
        <w:t>资料来源：公开资料、兴业证券经济与金融研究院整理</w:t>
      </w:r>
    </w:p>
    <w:p w14:paraId="473051B4" w14:textId="77777777" w:rsidR="00525C4A" w:rsidRDefault="004041B3">
      <w:pPr>
        <w:ind w:firstLine="480"/>
      </w:pPr>
      <w:r>
        <w:t>在交易结构上，认购人通过与计划管理人平安证券签订《认购协议》，将认购资金以专项资产管理方式委托平安证券管理，计划管理人设立并管理专项计划，认购人取得资产支持证券，成为资产支持证券持有人；平安证券将专项计划资金用于向发起人（原始权益人）购买基础资产，即发起人（原始权益人）在专项计划设立日转让给计划管理人的、发起人（原始权益人）依据借款合同对借款人所形成的货款本息请求权和其他权利及其附属担保权益。</w:t>
      </w:r>
    </w:p>
    <w:p w14:paraId="23BB3644" w14:textId="77777777" w:rsidR="00525C4A" w:rsidRDefault="004041B3">
      <w:pPr>
        <w:ind w:firstLine="480"/>
      </w:pPr>
      <w:r>
        <w:t>资产服务机构负责基础资产对应的应收货款的回收和催收，以及违约资产处置等基础资产管理工作；在发生差额支付启动事件后，深圳市高新投集团有限公司向专项计划提供补足的资金，并直接将资金划转至专项计划账户，以使专项计划账户内资金足以兑付优先级资产支持证券当期兑付日应付的预</w:t>
      </w:r>
      <w:r>
        <w:lastRenderedPageBreak/>
        <w:t>期收益及本金；计划管理人平安证券根据约定向托管银行平安银行发出分配指令，银行据此将相应资金拨划</w:t>
      </w:r>
      <w:proofErr w:type="gramStart"/>
      <w:r>
        <w:t>至登记</w:t>
      </w:r>
      <w:proofErr w:type="gramEnd"/>
      <w:r>
        <w:t>托管机构的指定账户用于支付资产支持证券本金和预期收益。</w:t>
      </w:r>
    </w:p>
    <w:p w14:paraId="601D9A4E" w14:textId="77777777" w:rsidR="00525C4A" w:rsidRDefault="004041B3">
      <w:pPr>
        <w:ind w:firstLine="480"/>
      </w:pPr>
      <w:r>
        <w:t>此专项计划结构设计中引入优先级</w:t>
      </w:r>
      <w:r>
        <w:t>/</w:t>
      </w:r>
      <w:r>
        <w:t>次级的分层设计、现金流超额覆盖、基础资产由高新投担保公司提供保证担保、知识产权质押、高新投集团提供差额支付及信用触发机制等信用增级措施。风险隔离方面，发起人（原始权益人）根据《资产买卖协议》将相关基础资产转让给计划管理人，计划管理人支付的购买价款为公平市场价格，能达到较好的风险隔离效果。</w:t>
      </w:r>
    </w:p>
    <w:p w14:paraId="6AB586BD" w14:textId="77777777" w:rsidR="00525C4A" w:rsidRDefault="004041B3">
      <w:pPr>
        <w:ind w:firstLine="480"/>
      </w:pPr>
      <w:r>
        <w:t>目前，深圳高新投集团有限公司注册资本</w:t>
      </w:r>
      <w:r>
        <w:t>88.52</w:t>
      </w:r>
      <w:r>
        <w:t>亿元，净资产超过</w:t>
      </w:r>
      <w:r>
        <w:t>200</w:t>
      </w:r>
      <w:r>
        <w:t>亿元，总资产达到</w:t>
      </w:r>
      <w:r>
        <w:t>300</w:t>
      </w:r>
      <w:r>
        <w:t>亿元，获全国主流评级机构主体信用</w:t>
      </w:r>
      <w:r>
        <w:t>AAA</w:t>
      </w:r>
      <w:r>
        <w:t>最高评级。</w:t>
      </w:r>
    </w:p>
    <w:p w14:paraId="50FEE9C9" w14:textId="77777777" w:rsidR="00525C4A" w:rsidRDefault="004041B3">
      <w:pPr>
        <w:ind w:firstLine="480"/>
      </w:pPr>
      <w:r>
        <w:t>平安证券</w:t>
      </w:r>
      <w:r>
        <w:t>-</w:t>
      </w:r>
      <w:r>
        <w:t>高新投知识产权</w:t>
      </w:r>
      <w:r>
        <w:t>1</w:t>
      </w:r>
      <w:r>
        <w:t>号专项计划基础资产合同期限为</w:t>
      </w:r>
      <w:r>
        <w:t>1</w:t>
      </w:r>
      <w:r>
        <w:t>年，借款利率为</w:t>
      </w:r>
      <w:r>
        <w:t>5%</w:t>
      </w:r>
      <w:r>
        <w:t>，借款人按照合同约定偿付贷款项下本息金额以及担保人触发其保证义务后支付的保证金额作为回款，用于支付偿付专项计划</w:t>
      </w:r>
      <w:r>
        <w:rPr>
          <w:rFonts w:hint="eastAsia"/>
        </w:rPr>
        <w:t>本息</w:t>
      </w:r>
      <w:r>
        <w:t>及预期收益并支付专项计划费用。此</w:t>
      </w:r>
      <w:proofErr w:type="gramStart"/>
      <w:r>
        <w:t>计划增值</w:t>
      </w:r>
      <w:proofErr w:type="gramEnd"/>
      <w:r>
        <w:t>税率</w:t>
      </w:r>
      <w:r>
        <w:t>3.26%</w:t>
      </w:r>
      <w:r>
        <w:t>，</w:t>
      </w:r>
      <w:proofErr w:type="spellStart"/>
      <w:r>
        <w:t>AAAsf</w:t>
      </w:r>
      <w:proofErr w:type="spellEnd"/>
      <w:r>
        <w:t>级预计利率</w:t>
      </w:r>
      <w:r>
        <w:t>1</w:t>
      </w:r>
      <w:r>
        <w:t>年期为</w:t>
      </w:r>
      <w:r>
        <w:t>3.80%/</w:t>
      </w:r>
      <w:r>
        <w:t>年。</w:t>
      </w:r>
    </w:p>
    <w:p w14:paraId="5E5B97CA" w14:textId="77777777" w:rsidR="00525C4A" w:rsidRDefault="004041B3">
      <w:pPr>
        <w:ind w:firstLine="480"/>
      </w:pPr>
      <w:r>
        <w:t>项目首期入池的基础资产借款人为</w:t>
      </w:r>
      <w:r>
        <w:t>15</w:t>
      </w:r>
      <w:r>
        <w:t>家民营企业，其中</w:t>
      </w:r>
      <w:r>
        <w:t>12</w:t>
      </w:r>
      <w:r>
        <w:t>家为制造业企业，另有</w:t>
      </w:r>
      <w:r>
        <w:t>2</w:t>
      </w:r>
      <w:r>
        <w:t>家信息技术业企业和</w:t>
      </w:r>
      <w:r>
        <w:t>1</w:t>
      </w:r>
      <w:r>
        <w:t>家建筑企业，贷款余额分别达</w:t>
      </w:r>
      <w:r>
        <w:t>8900</w:t>
      </w:r>
      <w:r>
        <w:t>万、</w:t>
      </w:r>
      <w:r>
        <w:t>2500</w:t>
      </w:r>
      <w:r>
        <w:t>万、</w:t>
      </w:r>
      <w:r>
        <w:t>1000</w:t>
      </w:r>
      <w:r>
        <w:t>万。</w:t>
      </w:r>
      <w:r>
        <w:t>15</w:t>
      </w:r>
      <w:r>
        <w:t>笔借款的底层质押物有</w:t>
      </w:r>
      <w:r>
        <w:t>10</w:t>
      </w:r>
      <w:r>
        <w:t>笔为实用新型专利，贷款余额</w:t>
      </w:r>
      <w:r>
        <w:t>8600</w:t>
      </w:r>
      <w:r>
        <w:t>万元，占比</w:t>
      </w:r>
      <w:r>
        <w:t>69.35%</w:t>
      </w:r>
      <w:r>
        <w:t>；</w:t>
      </w:r>
      <w:r>
        <w:t>3</w:t>
      </w:r>
      <w:r>
        <w:t>笔为发明专利，贷款余额</w:t>
      </w:r>
      <w:r>
        <w:t>2300</w:t>
      </w:r>
      <w:r>
        <w:t>万元；</w:t>
      </w:r>
      <w:r>
        <w:t>2</w:t>
      </w:r>
      <w:r>
        <w:t>笔软件著作权，贷款余额</w:t>
      </w:r>
      <w:r>
        <w:t>1500</w:t>
      </w:r>
      <w:r>
        <w:t>万元。</w:t>
      </w:r>
    </w:p>
    <w:p w14:paraId="7ADAFD11" w14:textId="77777777" w:rsidR="00525C4A" w:rsidRDefault="00525C4A">
      <w:pPr>
        <w:ind w:firstLine="480"/>
      </w:pPr>
    </w:p>
    <w:p w14:paraId="3E2B6977" w14:textId="434D86C1" w:rsidR="00525C4A" w:rsidRDefault="004041B3">
      <w:pPr>
        <w:pStyle w:val="e"/>
        <w:spacing w:beforeLines="0" w:afterLines="0" w:line="560" w:lineRule="exact"/>
        <w:ind w:firstLine="480"/>
        <w:rPr>
          <w:rFonts w:ascii="Times New Roman"/>
          <w:b/>
          <w:bCs/>
        </w:rPr>
      </w:pPr>
      <w:bookmarkStart w:id="33" w:name="_Toc34325635"/>
      <w:r>
        <w:rPr>
          <w:rFonts w:ascii="Times New Roman"/>
          <w:b/>
          <w:bCs/>
        </w:rPr>
        <w:t>图</w:t>
      </w:r>
      <w:r>
        <w:rPr>
          <w:rFonts w:ascii="Times New Roman" w:hint="eastAsia"/>
          <w:b/>
          <w:bCs/>
        </w:rPr>
        <w:t>1</w:t>
      </w:r>
      <w:r w:rsidR="00521AA8">
        <w:rPr>
          <w:rFonts w:ascii="Times New Roman"/>
          <w:b/>
          <w:bCs/>
        </w:rPr>
        <w:t>0</w:t>
      </w:r>
      <w:r>
        <w:rPr>
          <w:rFonts w:ascii="Times New Roman"/>
          <w:b/>
          <w:bCs/>
        </w:rPr>
        <w:t xml:space="preserve">. </w:t>
      </w:r>
      <w:r>
        <w:rPr>
          <w:rFonts w:ascii="Times New Roman"/>
          <w:b/>
          <w:bCs/>
        </w:rPr>
        <w:t>基础资产借款</w:t>
      </w:r>
      <w:proofErr w:type="gramStart"/>
      <w:r>
        <w:rPr>
          <w:rFonts w:ascii="Times New Roman"/>
          <w:b/>
          <w:bCs/>
        </w:rPr>
        <w:t>人行业</w:t>
      </w:r>
      <w:proofErr w:type="gramEnd"/>
      <w:r>
        <w:rPr>
          <w:rFonts w:ascii="Times New Roman"/>
          <w:b/>
          <w:bCs/>
        </w:rPr>
        <w:t>分布统计</w:t>
      </w:r>
      <w:bookmarkEnd w:id="33"/>
    </w:p>
    <w:p w14:paraId="2279D07A" w14:textId="77777777" w:rsidR="00525C4A" w:rsidRDefault="004041B3">
      <w:pPr>
        <w:pStyle w:val="e"/>
        <w:pBdr>
          <w:bottom w:val="single" w:sz="6" w:space="1" w:color="auto"/>
        </w:pBdr>
        <w:spacing w:beforeLines="0" w:afterLines="0"/>
        <w:ind w:firstLine="480"/>
        <w:rPr>
          <w:rFonts w:ascii="仿宋" w:eastAsia="仿宋" w:hAnsi="仿宋"/>
          <w:bCs/>
          <w:sz w:val="32"/>
          <w:szCs w:val="32"/>
        </w:rPr>
      </w:pPr>
      <w:r>
        <w:rPr>
          <w:noProof/>
        </w:rPr>
        <w:lastRenderedPageBreak/>
        <w:drawing>
          <wp:inline distT="0" distB="0" distL="0" distR="0" wp14:anchorId="4C55779B" wp14:editId="05DA403E">
            <wp:extent cx="2583180" cy="1783080"/>
            <wp:effectExtent l="1905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8"/>
                    <a:srcRect/>
                    <a:stretch>
                      <a:fillRect/>
                    </a:stretch>
                  </pic:blipFill>
                  <pic:spPr>
                    <a:xfrm>
                      <a:off x="0" y="0"/>
                      <a:ext cx="2583180" cy="1783080"/>
                    </a:xfrm>
                    <a:prstGeom prst="rect">
                      <a:avLst/>
                    </a:prstGeom>
                    <a:noFill/>
                    <a:ln w="9525">
                      <a:noFill/>
                      <a:miter lim="800000"/>
                      <a:headEnd/>
                      <a:tailEnd/>
                    </a:ln>
                  </pic:spPr>
                </pic:pic>
              </a:graphicData>
            </a:graphic>
          </wp:inline>
        </w:drawing>
      </w:r>
    </w:p>
    <w:p w14:paraId="363F8E6B" w14:textId="77777777" w:rsidR="00525C4A" w:rsidRDefault="004041B3">
      <w:pPr>
        <w:pStyle w:val="e"/>
        <w:spacing w:beforeLines="0" w:afterLines="0" w:line="276" w:lineRule="auto"/>
        <w:ind w:firstLine="420"/>
        <w:rPr>
          <w:sz w:val="21"/>
        </w:rPr>
      </w:pPr>
      <w:r>
        <w:rPr>
          <w:sz w:val="21"/>
        </w:rPr>
        <w:t>资料来源：公开资料、兴业证券经济与金融研究院整理</w:t>
      </w:r>
    </w:p>
    <w:p w14:paraId="3F477E41" w14:textId="77777777" w:rsidR="00525C4A" w:rsidRDefault="00525C4A">
      <w:pPr>
        <w:pStyle w:val="e"/>
        <w:spacing w:beforeLines="0" w:afterLines="0" w:line="276" w:lineRule="auto"/>
        <w:ind w:firstLine="480"/>
      </w:pPr>
    </w:p>
    <w:p w14:paraId="34C36638" w14:textId="3A346BA4" w:rsidR="00525C4A" w:rsidRDefault="004041B3">
      <w:pPr>
        <w:pStyle w:val="e"/>
        <w:spacing w:beforeLines="0" w:afterLines="0" w:line="560" w:lineRule="exact"/>
        <w:ind w:firstLine="480"/>
        <w:rPr>
          <w:rFonts w:ascii="Times New Roman"/>
          <w:b/>
          <w:bCs/>
        </w:rPr>
      </w:pPr>
      <w:bookmarkStart w:id="34" w:name="_Toc34325636"/>
      <w:r>
        <w:rPr>
          <w:rFonts w:ascii="Times New Roman"/>
          <w:b/>
          <w:bCs/>
        </w:rPr>
        <w:t>图</w:t>
      </w:r>
      <w:r>
        <w:rPr>
          <w:rFonts w:ascii="Times New Roman" w:hint="eastAsia"/>
          <w:b/>
          <w:bCs/>
        </w:rPr>
        <w:t>1</w:t>
      </w:r>
      <w:r w:rsidR="00521AA8">
        <w:rPr>
          <w:rFonts w:ascii="Times New Roman"/>
          <w:b/>
          <w:bCs/>
        </w:rPr>
        <w:t>1</w:t>
      </w:r>
      <w:r>
        <w:rPr>
          <w:rFonts w:ascii="Times New Roman"/>
          <w:b/>
          <w:bCs/>
        </w:rPr>
        <w:t xml:space="preserve">. </w:t>
      </w:r>
      <w:r>
        <w:rPr>
          <w:rFonts w:ascii="Times New Roman"/>
          <w:b/>
          <w:bCs/>
        </w:rPr>
        <w:t>知识产权质押类型分布统计</w:t>
      </w:r>
      <w:bookmarkEnd w:id="34"/>
    </w:p>
    <w:p w14:paraId="47354DAE" w14:textId="77777777" w:rsidR="00525C4A" w:rsidRDefault="004041B3">
      <w:pPr>
        <w:pStyle w:val="e"/>
        <w:pBdr>
          <w:bottom w:val="single" w:sz="6" w:space="1" w:color="auto"/>
        </w:pBdr>
        <w:spacing w:beforeLines="0" w:afterLines="0"/>
        <w:ind w:firstLine="480"/>
        <w:rPr>
          <w:rFonts w:ascii="Times New Roman"/>
          <w:b/>
          <w:bCs/>
        </w:rPr>
      </w:pPr>
      <w:r>
        <w:rPr>
          <w:noProof/>
        </w:rPr>
        <w:drawing>
          <wp:inline distT="0" distB="0" distL="0" distR="0" wp14:anchorId="20DF3037" wp14:editId="2D496F78">
            <wp:extent cx="3863340" cy="1981200"/>
            <wp:effectExtent l="0" t="0" r="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F1F628" w14:textId="77777777" w:rsidR="00525C4A" w:rsidRDefault="004041B3">
      <w:pPr>
        <w:pStyle w:val="e"/>
        <w:spacing w:beforeLines="0" w:afterLines="0" w:line="276" w:lineRule="auto"/>
        <w:ind w:firstLine="420"/>
        <w:rPr>
          <w:sz w:val="21"/>
        </w:rPr>
      </w:pPr>
      <w:r>
        <w:rPr>
          <w:sz w:val="21"/>
        </w:rPr>
        <w:t>资料来源：公开资料、兴业证券经济与金融研究院整理</w:t>
      </w:r>
    </w:p>
    <w:p w14:paraId="777D5696" w14:textId="77777777" w:rsidR="00525C4A" w:rsidRDefault="00525C4A">
      <w:pPr>
        <w:ind w:firstLine="480"/>
      </w:pPr>
    </w:p>
    <w:p w14:paraId="1E6FB493" w14:textId="77777777" w:rsidR="00525C4A" w:rsidRDefault="004041B3">
      <w:pPr>
        <w:ind w:firstLine="480"/>
      </w:pPr>
      <w:r>
        <w:t>地区分布上，南山区为借款人的主要所在地，贷款共</w:t>
      </w:r>
      <w:r>
        <w:t>6</w:t>
      </w:r>
      <w:r>
        <w:t>笔，贷款余额达</w:t>
      </w:r>
      <w:r>
        <w:t>4300</w:t>
      </w:r>
      <w:r>
        <w:t>万元，占总额的</w:t>
      </w:r>
      <w:r>
        <w:t>34.68%</w:t>
      </w:r>
      <w:r>
        <w:t>。其次为福田区、光明新区及宝安区，贷款余额分别占比</w:t>
      </w:r>
      <w:r>
        <w:t>20.15%</w:t>
      </w:r>
      <w:r>
        <w:t>、</w:t>
      </w:r>
      <w:r>
        <w:t>18.55%</w:t>
      </w:r>
      <w:r>
        <w:t>、</w:t>
      </w:r>
      <w:r>
        <w:t>16.13%</w:t>
      </w:r>
      <w:r>
        <w:t>。</w:t>
      </w:r>
    </w:p>
    <w:p w14:paraId="3E6F3D73" w14:textId="77777777" w:rsidR="00525C4A" w:rsidRDefault="00525C4A">
      <w:pPr>
        <w:ind w:firstLine="480"/>
      </w:pPr>
    </w:p>
    <w:p w14:paraId="4C953AA5" w14:textId="40977BB7" w:rsidR="00525C4A" w:rsidRDefault="004041B3">
      <w:pPr>
        <w:pStyle w:val="e"/>
        <w:spacing w:beforeLines="0" w:afterLines="0" w:line="560" w:lineRule="exact"/>
        <w:ind w:firstLine="480"/>
        <w:rPr>
          <w:rFonts w:ascii="Times New Roman"/>
          <w:b/>
          <w:bCs/>
        </w:rPr>
      </w:pPr>
      <w:r>
        <w:rPr>
          <w:rFonts w:ascii="Times New Roman"/>
          <w:b/>
          <w:bCs/>
        </w:rPr>
        <w:t>图</w:t>
      </w:r>
      <w:r>
        <w:rPr>
          <w:rFonts w:ascii="Times New Roman" w:hint="eastAsia"/>
          <w:b/>
          <w:bCs/>
        </w:rPr>
        <w:t>1</w:t>
      </w:r>
      <w:r w:rsidR="00521AA8">
        <w:rPr>
          <w:rFonts w:ascii="Times New Roman"/>
          <w:b/>
          <w:bCs/>
        </w:rPr>
        <w:t>2</w:t>
      </w:r>
      <w:r>
        <w:rPr>
          <w:rFonts w:ascii="Times New Roman"/>
          <w:b/>
          <w:bCs/>
        </w:rPr>
        <w:t xml:space="preserve">. </w:t>
      </w:r>
      <w:r>
        <w:rPr>
          <w:rFonts w:ascii="Times New Roman"/>
          <w:b/>
          <w:bCs/>
        </w:rPr>
        <w:t>基础资产借款人地区分布</w:t>
      </w:r>
    </w:p>
    <w:p w14:paraId="13F7ABED" w14:textId="77777777" w:rsidR="00525C4A" w:rsidRDefault="004041B3">
      <w:pPr>
        <w:pStyle w:val="e"/>
        <w:pBdr>
          <w:bottom w:val="single" w:sz="6" w:space="1" w:color="auto"/>
        </w:pBdr>
        <w:spacing w:beforeLines="0" w:afterLines="0"/>
        <w:ind w:firstLine="480"/>
        <w:rPr>
          <w:rFonts w:ascii="Times New Roman"/>
          <w:b/>
          <w:bCs/>
        </w:rPr>
      </w:pPr>
      <w:r>
        <w:rPr>
          <w:noProof/>
        </w:rPr>
        <w:lastRenderedPageBreak/>
        <w:drawing>
          <wp:inline distT="0" distB="0" distL="0" distR="0" wp14:anchorId="75461EFD" wp14:editId="1E1FCC4B">
            <wp:extent cx="3632835" cy="2444115"/>
            <wp:effectExtent l="0" t="0" r="1380" b="1338"/>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8B70BA" w14:textId="77777777" w:rsidR="00525C4A" w:rsidRDefault="004041B3">
      <w:pPr>
        <w:pStyle w:val="e"/>
        <w:spacing w:beforeLines="0" w:afterLines="0" w:line="276" w:lineRule="auto"/>
        <w:ind w:firstLine="420"/>
        <w:rPr>
          <w:sz w:val="21"/>
        </w:rPr>
      </w:pPr>
      <w:r>
        <w:rPr>
          <w:sz w:val="21"/>
        </w:rPr>
        <w:t>资料来源：公开资料、兴业证券经济与金融研究院整理</w:t>
      </w:r>
    </w:p>
    <w:p w14:paraId="437049F1" w14:textId="77777777" w:rsidR="00525C4A" w:rsidRDefault="004041B3">
      <w:pPr>
        <w:pStyle w:val="2"/>
      </w:pPr>
      <w:bookmarkStart w:id="35" w:name="_Toc36378093"/>
      <w:r>
        <w:rPr>
          <w:rFonts w:hint="eastAsia"/>
        </w:rPr>
        <w:t>（三）南山区</w:t>
      </w:r>
      <w:r>
        <w:rPr>
          <w:rFonts w:hint="eastAsia"/>
        </w:rPr>
        <w:t>-</w:t>
      </w:r>
      <w:r>
        <w:rPr>
          <w:rFonts w:hint="eastAsia"/>
        </w:rPr>
        <w:t>中山证券</w:t>
      </w:r>
      <w:r>
        <w:rPr>
          <w:rFonts w:hint="eastAsia"/>
        </w:rPr>
        <w:t>-</w:t>
      </w:r>
      <w:r>
        <w:rPr>
          <w:rFonts w:hint="eastAsia"/>
        </w:rPr>
        <w:t>高新投知识产权</w:t>
      </w:r>
      <w:r>
        <w:rPr>
          <w:rFonts w:hint="eastAsia"/>
        </w:rPr>
        <w:t>1</w:t>
      </w:r>
      <w:r>
        <w:rPr>
          <w:rFonts w:hint="eastAsia"/>
        </w:rPr>
        <w:t>期资产支持计划（疫情防控）</w:t>
      </w:r>
      <w:bookmarkEnd w:id="35"/>
    </w:p>
    <w:p w14:paraId="45D16922" w14:textId="77777777" w:rsidR="00525C4A" w:rsidRDefault="004041B3">
      <w:pPr>
        <w:ind w:firstLine="480"/>
      </w:pPr>
      <w:r>
        <w:rPr>
          <w:rFonts w:hint="eastAsia"/>
        </w:rPr>
        <w:t>2020</w:t>
      </w:r>
      <w:r>
        <w:rPr>
          <w:rFonts w:hint="eastAsia"/>
        </w:rPr>
        <w:t>年</w:t>
      </w:r>
      <w:r>
        <w:rPr>
          <w:rFonts w:hint="eastAsia"/>
        </w:rPr>
        <w:t>3</w:t>
      </w:r>
      <w:r>
        <w:rPr>
          <w:rFonts w:hint="eastAsia"/>
        </w:rPr>
        <w:t>月</w:t>
      </w:r>
      <w:r>
        <w:rPr>
          <w:rFonts w:hint="eastAsia"/>
        </w:rPr>
        <w:t>25</w:t>
      </w:r>
      <w:r>
        <w:rPr>
          <w:rFonts w:hint="eastAsia"/>
        </w:rPr>
        <w:t>日，为满足当下新冠肺炎疫情防控物资生产企业的资金需求，深圳市高新投集团发起的“南山区</w:t>
      </w:r>
      <w:r>
        <w:rPr>
          <w:rFonts w:hint="eastAsia"/>
        </w:rPr>
        <w:t>-</w:t>
      </w:r>
      <w:r>
        <w:rPr>
          <w:rFonts w:hint="eastAsia"/>
        </w:rPr>
        <w:t>中山证券</w:t>
      </w:r>
      <w:r>
        <w:rPr>
          <w:rFonts w:hint="eastAsia"/>
        </w:rPr>
        <w:t>-</w:t>
      </w:r>
      <w:r>
        <w:rPr>
          <w:rFonts w:hint="eastAsia"/>
        </w:rPr>
        <w:t>高新投知识产权</w:t>
      </w:r>
      <w:r>
        <w:rPr>
          <w:rFonts w:hint="eastAsia"/>
        </w:rPr>
        <w:t>1</w:t>
      </w:r>
      <w:r>
        <w:rPr>
          <w:rFonts w:hint="eastAsia"/>
        </w:rPr>
        <w:t>期资产支持计划（疫情防控）”正式发行，这是</w:t>
      </w:r>
      <w:proofErr w:type="gramStart"/>
      <w:r>
        <w:rPr>
          <w:rFonts w:hint="eastAsia"/>
        </w:rPr>
        <w:t>深圳市首单疫情</w:t>
      </w:r>
      <w:proofErr w:type="gramEnd"/>
      <w:r>
        <w:rPr>
          <w:rFonts w:hint="eastAsia"/>
        </w:rPr>
        <w:t>防控专项知识产权证券化项目，也是南</w:t>
      </w:r>
      <w:proofErr w:type="gramStart"/>
      <w:r>
        <w:rPr>
          <w:rFonts w:hint="eastAsia"/>
        </w:rPr>
        <w:t>山区首单知识产权</w:t>
      </w:r>
      <w:proofErr w:type="gramEnd"/>
      <w:r>
        <w:rPr>
          <w:rFonts w:hint="eastAsia"/>
        </w:rPr>
        <w:t>证券化产品。</w:t>
      </w:r>
    </w:p>
    <w:p w14:paraId="0DBB1B3D" w14:textId="77777777" w:rsidR="00525C4A" w:rsidRDefault="004041B3">
      <w:pPr>
        <w:ind w:firstLine="480"/>
      </w:pPr>
      <w:r>
        <w:rPr>
          <w:rFonts w:hint="eastAsia"/>
        </w:rPr>
        <w:t>此次疫情防控专项属于“南山区</w:t>
      </w:r>
      <w:r>
        <w:rPr>
          <w:rFonts w:hint="eastAsia"/>
        </w:rPr>
        <w:t>-</w:t>
      </w:r>
      <w:r>
        <w:rPr>
          <w:rFonts w:hint="eastAsia"/>
        </w:rPr>
        <w:t>中山证券</w:t>
      </w:r>
      <w:r>
        <w:rPr>
          <w:rFonts w:hint="eastAsia"/>
        </w:rPr>
        <w:t>-</w:t>
      </w:r>
      <w:r>
        <w:rPr>
          <w:rFonts w:hint="eastAsia"/>
        </w:rPr>
        <w:t>高新投知识产权</w:t>
      </w:r>
      <w:r>
        <w:rPr>
          <w:rFonts w:hint="eastAsia"/>
        </w:rPr>
        <w:t>1-5</w:t>
      </w:r>
      <w:r>
        <w:rPr>
          <w:rFonts w:hint="eastAsia"/>
        </w:rPr>
        <w:t>期资产支持专项计划”</w:t>
      </w:r>
      <w:proofErr w:type="gramStart"/>
      <w:r>
        <w:rPr>
          <w:rFonts w:hint="eastAsia"/>
        </w:rPr>
        <w:t>储架首期</w:t>
      </w:r>
      <w:proofErr w:type="gramEnd"/>
      <w:r>
        <w:rPr>
          <w:rFonts w:hint="eastAsia"/>
        </w:rPr>
        <w:t>发行产品，</w:t>
      </w:r>
      <w:proofErr w:type="gramStart"/>
      <w:r>
        <w:rPr>
          <w:rFonts w:hint="eastAsia"/>
        </w:rPr>
        <w:t>储架整体</w:t>
      </w:r>
      <w:proofErr w:type="gramEnd"/>
      <w:r>
        <w:rPr>
          <w:rFonts w:hint="eastAsia"/>
        </w:rPr>
        <w:t>规模</w:t>
      </w:r>
      <w:r>
        <w:rPr>
          <w:rFonts w:hint="eastAsia"/>
        </w:rPr>
        <w:t>10</w:t>
      </w:r>
      <w:r>
        <w:rPr>
          <w:rFonts w:hint="eastAsia"/>
        </w:rPr>
        <w:t>亿元，首期发行规模</w:t>
      </w:r>
      <w:r>
        <w:rPr>
          <w:rFonts w:hint="eastAsia"/>
        </w:rPr>
        <w:t>3.2</w:t>
      </w:r>
      <w:r>
        <w:rPr>
          <w:rFonts w:hint="eastAsia"/>
        </w:rPr>
        <w:t>亿元。根据不同风险、收益和期限特征，分为优先级资产支持证券和次级资产支持证券，其中，被评为</w:t>
      </w:r>
      <w:proofErr w:type="spellStart"/>
      <w:r>
        <w:rPr>
          <w:rFonts w:hint="eastAsia"/>
        </w:rPr>
        <w:t>AAAsf</w:t>
      </w:r>
      <w:proofErr w:type="spellEnd"/>
      <w:r>
        <w:rPr>
          <w:rFonts w:hint="eastAsia"/>
        </w:rPr>
        <w:t>级的优先级资产支持证券目标募集规模</w:t>
      </w:r>
      <w:r>
        <w:rPr>
          <w:rFonts w:hint="eastAsia"/>
        </w:rPr>
        <w:t>3.19</w:t>
      </w:r>
      <w:r>
        <w:rPr>
          <w:rFonts w:hint="eastAsia"/>
        </w:rPr>
        <w:t>亿元。本次专项的单笔借款合同最高贷款额为</w:t>
      </w:r>
      <w:r>
        <w:rPr>
          <w:rFonts w:hint="eastAsia"/>
        </w:rPr>
        <w:t>6000</w:t>
      </w:r>
      <w:r>
        <w:rPr>
          <w:rFonts w:hint="eastAsia"/>
        </w:rPr>
        <w:t>万元，单笔借款合同平均贷款额为</w:t>
      </w:r>
      <w:r>
        <w:rPr>
          <w:rFonts w:hint="eastAsia"/>
        </w:rPr>
        <w:t>2666.67</w:t>
      </w:r>
      <w:r>
        <w:rPr>
          <w:rFonts w:hint="eastAsia"/>
        </w:rPr>
        <w:t>万元，借款利率为</w:t>
      </w:r>
      <w:r>
        <w:rPr>
          <w:rFonts w:hint="eastAsia"/>
        </w:rPr>
        <w:t>4.96%</w:t>
      </w:r>
      <w:r>
        <w:rPr>
          <w:rFonts w:hint="eastAsia"/>
        </w:rPr>
        <w:t>。经过南山区政府补贴和深圳高新</w:t>
      </w:r>
      <w:proofErr w:type="gramStart"/>
      <w:r>
        <w:rPr>
          <w:rFonts w:hint="eastAsia"/>
        </w:rPr>
        <w:t>投费用</w:t>
      </w:r>
      <w:proofErr w:type="gramEnd"/>
      <w:r>
        <w:rPr>
          <w:rFonts w:hint="eastAsia"/>
        </w:rPr>
        <w:t>减免，</w:t>
      </w:r>
      <w:r>
        <w:rPr>
          <w:rFonts w:hint="eastAsia"/>
        </w:rPr>
        <w:t>12</w:t>
      </w:r>
      <w:r>
        <w:rPr>
          <w:rFonts w:hint="eastAsia"/>
        </w:rPr>
        <w:t>家入池企业实际融资成本仅为</w:t>
      </w:r>
      <w:r>
        <w:rPr>
          <w:rFonts w:hint="eastAsia"/>
        </w:rPr>
        <w:t>2.98%/</w:t>
      </w:r>
      <w:r>
        <w:rPr>
          <w:rFonts w:hint="eastAsia"/>
        </w:rPr>
        <w:t>年，极大地降低疫情防控和治疗物资生产企业融资成本，改善疫情防控和治疗物资生产企业现金流，为当前我国新冠病毒疫情防控攻坚战做出积极贡献，重振民营企业的经营信心和热情。</w:t>
      </w:r>
    </w:p>
    <w:p w14:paraId="5E10BD7D" w14:textId="77777777" w:rsidR="00525C4A" w:rsidRDefault="004041B3">
      <w:pPr>
        <w:ind w:firstLine="480"/>
      </w:pPr>
      <w:r>
        <w:rPr>
          <w:rFonts w:hint="eastAsia"/>
        </w:rPr>
        <w:t>发起人（原始权益人）为深圳市高新投小额贷款有限公司，差额补偿人为</w:t>
      </w:r>
      <w:r>
        <w:rPr>
          <w:rFonts w:hint="eastAsia"/>
        </w:rPr>
        <w:lastRenderedPageBreak/>
        <w:t>深圳市高新投融资担保有限公司，计划管理人和推广机构为中山证券，托管行是北京银行，投资人有民生银行、光大银行，参与中介机构包括中诚信国际信评、金杜律师事务所、天职国际会计师事务所、中金</w:t>
      </w:r>
      <w:proofErr w:type="gramStart"/>
      <w:r>
        <w:rPr>
          <w:rFonts w:hint="eastAsia"/>
        </w:rPr>
        <w:t>浩</w:t>
      </w:r>
      <w:proofErr w:type="gramEnd"/>
      <w:r>
        <w:rPr>
          <w:rFonts w:hint="eastAsia"/>
        </w:rPr>
        <w:t>资产评估等。</w:t>
      </w:r>
    </w:p>
    <w:p w14:paraId="43424571" w14:textId="77777777" w:rsidR="00525C4A" w:rsidRDefault="004041B3">
      <w:pPr>
        <w:ind w:firstLine="480"/>
      </w:pPr>
      <w:r>
        <w:rPr>
          <w:rFonts w:hint="eastAsia"/>
        </w:rPr>
        <w:t>疫情防控专项的入池基础资产借款人是</w:t>
      </w:r>
      <w:r>
        <w:rPr>
          <w:rFonts w:hint="eastAsia"/>
        </w:rPr>
        <w:t>12</w:t>
      </w:r>
      <w:r>
        <w:rPr>
          <w:rFonts w:hint="eastAsia"/>
        </w:rPr>
        <w:t>家新冠肺炎疫情防控物资生产企业，均是生物医药、高端装备、通讯设备、医疗设备、电子设备、化工等领域的领军企业，积极参与新冠疫情防控工作，依靠核心专利技术共抗疫情。</w:t>
      </w:r>
    </w:p>
    <w:p w14:paraId="606EE281" w14:textId="77777777" w:rsidR="00525C4A" w:rsidRDefault="004041B3">
      <w:pPr>
        <w:ind w:firstLine="480"/>
      </w:pPr>
      <w:r>
        <w:rPr>
          <w:rFonts w:hint="eastAsia"/>
        </w:rPr>
        <w:t>疫情防控</w:t>
      </w:r>
      <w:proofErr w:type="gramStart"/>
      <w:r>
        <w:rPr>
          <w:rFonts w:hint="eastAsia"/>
        </w:rPr>
        <w:t>专项以</w:t>
      </w:r>
      <w:proofErr w:type="gramEnd"/>
      <w:r>
        <w:rPr>
          <w:rFonts w:hint="eastAsia"/>
        </w:rPr>
        <w:t>专利质押模式为参与疫情防控物资生产企业实现融资需求。在国家知识产权局专利质押申请受理部门的大力支持和指导下，本次疫情防控专项的所有专利质押登记申请手续实现了急收急办、快速处理，</w:t>
      </w:r>
      <w:r>
        <w:rPr>
          <w:rFonts w:hint="eastAsia"/>
        </w:rPr>
        <w:t>1</w:t>
      </w:r>
      <w:r>
        <w:rPr>
          <w:rFonts w:hint="eastAsia"/>
        </w:rPr>
        <w:t>个工作日内完成电子化登记并取得了专利质押通知书，极大地加快了本次疫情防控专项的工作进程和实施效率，保障了本次疫情防控专项如期发行。</w:t>
      </w:r>
    </w:p>
    <w:p w14:paraId="18F462A1" w14:textId="77777777" w:rsidR="00525C4A" w:rsidRDefault="004041B3">
      <w:pPr>
        <w:ind w:firstLine="480"/>
      </w:pPr>
      <w:r>
        <w:rPr>
          <w:rFonts w:hint="eastAsia"/>
        </w:rPr>
        <w:t>本次疫情防控专项计划是深圳市南山区落实《中共中央国务院关于支持深圳建设中国特色社会主义先行示范区的意见》关于“探索知识产权证券化，规范有序建设知识产权和科技成果产权交易中心”的工作要求、积极应对新冠病毒疫情、在特殊时期为辖区内企业解决融资难题的重大成果。目前南山区开展知识产权证券化工作已完成破冰阶段，后续将继续推进</w:t>
      </w:r>
      <w:r>
        <w:rPr>
          <w:rFonts w:hint="eastAsia"/>
        </w:rPr>
        <w:t>2</w:t>
      </w:r>
      <w:r>
        <w:rPr>
          <w:rFonts w:hint="eastAsia"/>
        </w:rPr>
        <w:t>期和</w:t>
      </w:r>
      <w:r>
        <w:rPr>
          <w:rFonts w:hint="eastAsia"/>
        </w:rPr>
        <w:t>3</w:t>
      </w:r>
      <w:r>
        <w:rPr>
          <w:rFonts w:hint="eastAsia"/>
        </w:rPr>
        <w:t>期资产专项支持计划的发行工作。</w:t>
      </w:r>
    </w:p>
    <w:p w14:paraId="72788650" w14:textId="77777777" w:rsidR="00525C4A" w:rsidRDefault="004041B3">
      <w:pPr>
        <w:ind w:firstLine="482"/>
        <w:rPr>
          <w:rFonts w:ascii="Times New Roman"/>
          <w:b/>
          <w:bCs/>
        </w:rPr>
      </w:pPr>
      <w:r>
        <w:rPr>
          <w:rFonts w:ascii="Times New Roman" w:hint="eastAsia"/>
          <w:b/>
          <w:bCs/>
        </w:rPr>
        <w:br w:type="page"/>
      </w:r>
    </w:p>
    <w:p w14:paraId="14C5A460" w14:textId="4680C994" w:rsidR="00525C4A" w:rsidRDefault="004041B3">
      <w:pPr>
        <w:pStyle w:val="e"/>
        <w:spacing w:beforeLines="0" w:afterLines="0" w:line="560" w:lineRule="exact"/>
        <w:ind w:firstLine="480"/>
        <w:rPr>
          <w:rFonts w:ascii="Times New Roman"/>
          <w:b/>
          <w:bCs/>
        </w:rPr>
      </w:pPr>
      <w:r>
        <w:rPr>
          <w:rFonts w:ascii="Times New Roman" w:hint="eastAsia"/>
          <w:b/>
          <w:bCs/>
        </w:rPr>
        <w:lastRenderedPageBreak/>
        <w:t>图</w:t>
      </w:r>
      <w:r>
        <w:rPr>
          <w:rFonts w:ascii="Times New Roman" w:hint="eastAsia"/>
          <w:b/>
          <w:bCs/>
        </w:rPr>
        <w:t>1</w:t>
      </w:r>
      <w:r w:rsidR="00521AA8">
        <w:rPr>
          <w:rFonts w:ascii="Times New Roman"/>
          <w:b/>
          <w:bCs/>
        </w:rPr>
        <w:t>3</w:t>
      </w:r>
      <w:r>
        <w:rPr>
          <w:rFonts w:ascii="Times New Roman"/>
          <w:b/>
          <w:bCs/>
        </w:rPr>
        <w:t xml:space="preserve">. </w:t>
      </w:r>
      <w:r>
        <w:rPr>
          <w:rFonts w:ascii="Times New Roman" w:hint="eastAsia"/>
          <w:b/>
          <w:bCs/>
        </w:rPr>
        <w:t>交易结构</w:t>
      </w:r>
    </w:p>
    <w:p w14:paraId="7D3FAD58" w14:textId="77777777" w:rsidR="00525C4A" w:rsidRDefault="004041B3">
      <w:pPr>
        <w:pStyle w:val="e"/>
        <w:pBdr>
          <w:bottom w:val="single" w:sz="6" w:space="1" w:color="auto"/>
        </w:pBdr>
        <w:spacing w:beforeLines="0" w:afterLines="0"/>
        <w:ind w:firstLineChars="0" w:firstLine="0"/>
        <w:jc w:val="center"/>
        <w:rPr>
          <w:rFonts w:ascii="仿宋" w:eastAsia="仿宋" w:hAnsi="仿宋"/>
          <w:sz w:val="32"/>
          <w:szCs w:val="32"/>
        </w:rPr>
      </w:pPr>
      <w:r>
        <w:rPr>
          <w:noProof/>
        </w:rPr>
        <w:drawing>
          <wp:inline distT="0" distB="0" distL="0" distR="0" wp14:anchorId="44ED20CD" wp14:editId="58104438">
            <wp:extent cx="5039995" cy="3319780"/>
            <wp:effectExtent l="0" t="0" r="444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5039995" cy="3319780"/>
                    </a:xfrm>
                    <a:prstGeom prst="rect">
                      <a:avLst/>
                    </a:prstGeom>
                  </pic:spPr>
                </pic:pic>
              </a:graphicData>
            </a:graphic>
          </wp:inline>
        </w:drawing>
      </w:r>
    </w:p>
    <w:p w14:paraId="0EEA0B33" w14:textId="77777777" w:rsidR="00525C4A" w:rsidRDefault="004041B3">
      <w:pPr>
        <w:pStyle w:val="e"/>
        <w:spacing w:beforeLines="0" w:afterLines="0" w:line="276" w:lineRule="auto"/>
        <w:ind w:firstLine="420"/>
        <w:rPr>
          <w:sz w:val="21"/>
        </w:rPr>
      </w:pPr>
      <w:r>
        <w:rPr>
          <w:rFonts w:hint="eastAsia"/>
          <w:sz w:val="21"/>
        </w:rPr>
        <w:t>资料来源：公开资料、智慧财富知识产权金融研究院整理</w:t>
      </w:r>
    </w:p>
    <w:p w14:paraId="43BC4B50" w14:textId="77777777" w:rsidR="00525C4A" w:rsidRDefault="00525C4A">
      <w:pPr>
        <w:pStyle w:val="e"/>
        <w:spacing w:beforeLines="0" w:afterLines="0"/>
        <w:ind w:firstLine="640"/>
        <w:rPr>
          <w:rFonts w:ascii="仿宋" w:eastAsia="仿宋" w:hAnsi="仿宋"/>
          <w:sz w:val="32"/>
          <w:szCs w:val="32"/>
        </w:rPr>
      </w:pPr>
    </w:p>
    <w:p w14:paraId="29A22736" w14:textId="77777777" w:rsidR="00525C4A" w:rsidRDefault="004041B3">
      <w:pPr>
        <w:pStyle w:val="1"/>
      </w:pPr>
      <w:bookmarkStart w:id="36" w:name="_Toc36378094"/>
      <w:r>
        <w:rPr>
          <w:rFonts w:hint="eastAsia"/>
        </w:rPr>
        <w:lastRenderedPageBreak/>
        <w:t>五、广东知识产权证券化操作指引</w:t>
      </w:r>
      <w:bookmarkEnd w:id="36"/>
    </w:p>
    <w:p w14:paraId="4CC712B7" w14:textId="77777777" w:rsidR="00525C4A" w:rsidRDefault="004041B3">
      <w:pPr>
        <w:pStyle w:val="2"/>
      </w:pPr>
      <w:bookmarkStart w:id="37" w:name="_Toc36378095"/>
      <w:r>
        <w:rPr>
          <w:rFonts w:hint="eastAsia"/>
        </w:rPr>
        <w:t>（一）开展知识产权证券化的基础条件</w:t>
      </w:r>
      <w:bookmarkEnd w:id="37"/>
    </w:p>
    <w:p w14:paraId="0C25D6FE" w14:textId="77777777" w:rsidR="00525C4A" w:rsidRDefault="004041B3">
      <w:pPr>
        <w:pStyle w:val="3"/>
        <w:ind w:firstLine="482"/>
      </w:pPr>
      <w:bookmarkStart w:id="38" w:name="_Toc36378096"/>
      <w:r>
        <w:rPr>
          <w:rFonts w:hint="eastAsia"/>
        </w:rPr>
        <w:t>1</w:t>
      </w:r>
      <w:r>
        <w:rPr>
          <w:rFonts w:hint="eastAsia"/>
        </w:rPr>
        <w:t>、企业基础</w:t>
      </w:r>
      <w:bookmarkEnd w:id="38"/>
    </w:p>
    <w:p w14:paraId="22B57FF4" w14:textId="77777777" w:rsidR="00525C4A" w:rsidRDefault="004041B3">
      <w:pPr>
        <w:ind w:firstLine="480"/>
        <w:rPr>
          <w:rFonts w:ascii="仿宋" w:eastAsia="仿宋" w:hAnsi="仿宋"/>
          <w:szCs w:val="32"/>
        </w:rPr>
      </w:pPr>
      <w:r>
        <w:rPr>
          <w:rFonts w:hint="eastAsia"/>
        </w:rPr>
        <w:t>创新型企业的产生和发展，是开展知识产权证券化试点的必要物质前提。广东省通过知识产权战略、创新驱动发展战略和高新技术企业培育计划的实施，现已培育发展了一批创新型企业。这其中，既有具备先发优势的引领型创新企业，也有大量拥有自主创新成果和知识产权的高水平创新企业。数据显示，截至</w:t>
      </w:r>
      <w:r>
        <w:rPr>
          <w:rFonts w:hint="eastAsia"/>
        </w:rPr>
        <w:t>2018</w:t>
      </w:r>
      <w:r>
        <w:rPr>
          <w:rFonts w:hint="eastAsia"/>
        </w:rPr>
        <w:t>年底，广东高新技术企业已经达到</w:t>
      </w:r>
      <w:r>
        <w:rPr>
          <w:rFonts w:hint="eastAsia"/>
        </w:rPr>
        <w:t>4.5</w:t>
      </w:r>
      <w:r>
        <w:rPr>
          <w:rFonts w:hint="eastAsia"/>
        </w:rPr>
        <w:t>万余家，总量居全国第一。截止</w:t>
      </w:r>
      <w:r>
        <w:rPr>
          <w:rFonts w:hint="eastAsia"/>
        </w:rPr>
        <w:t>2016</w:t>
      </w:r>
      <w:r>
        <w:rPr>
          <w:rFonts w:hint="eastAsia"/>
        </w:rPr>
        <w:t>年，广东关键核心技术自给率已达</w:t>
      </w:r>
      <w:r>
        <w:rPr>
          <w:rFonts w:hint="eastAsia"/>
        </w:rPr>
        <w:t>71%;</w:t>
      </w:r>
      <w:r>
        <w:rPr>
          <w:rFonts w:hint="eastAsia"/>
        </w:rPr>
        <w:t>科技进步贡献率达</w:t>
      </w:r>
      <w:r>
        <w:rPr>
          <w:rFonts w:hint="eastAsia"/>
        </w:rPr>
        <w:t>57%</w:t>
      </w:r>
      <w:r>
        <w:rPr>
          <w:rFonts w:hint="eastAsia"/>
        </w:rPr>
        <w:t>，基本达到创新型国家和地区的水平。此外，除了作为创新主体核心支柱的创新型企业之外，还有一大批从事知识产权创造和运营的高等学校、职业院校、研究机构、交易机构、自然人等创新主体。上述这些创新主体，尤其是数量庞大的现有创新型企业和潜在创新型企业的存在与发展，为广东开展知识产权证券化试点提供了重要的企业基础。</w:t>
      </w:r>
    </w:p>
    <w:p w14:paraId="27FA7787" w14:textId="77777777" w:rsidR="00525C4A" w:rsidRDefault="004041B3">
      <w:pPr>
        <w:pStyle w:val="3"/>
        <w:ind w:firstLine="482"/>
      </w:pPr>
      <w:bookmarkStart w:id="39" w:name="_Toc36378097"/>
      <w:r>
        <w:rPr>
          <w:rFonts w:hint="eastAsia"/>
        </w:rPr>
        <w:t>2</w:t>
      </w:r>
      <w:r>
        <w:rPr>
          <w:rFonts w:hint="eastAsia"/>
        </w:rPr>
        <w:t>、产业基础</w:t>
      </w:r>
      <w:bookmarkEnd w:id="39"/>
    </w:p>
    <w:p w14:paraId="4EC83F3F" w14:textId="77777777" w:rsidR="00525C4A" w:rsidRDefault="004041B3">
      <w:pPr>
        <w:ind w:firstLine="480"/>
      </w:pPr>
      <w:r>
        <w:rPr>
          <w:rFonts w:hint="eastAsia"/>
        </w:rPr>
        <w:t>知识产权证券化，是对高新技术产业的定向支持，也是促进低端产业向高端产业转型升级的重要手段。如果没有高新技术产业的适度发展，知识产权证券化不仅失去了存在的根基，更失去了发展的意义。通过数十年的建设，广东的高新技术产业和战略性新兴产业获得了长足的发展。</w:t>
      </w:r>
      <w:r>
        <w:rPr>
          <w:rFonts w:hint="eastAsia"/>
        </w:rPr>
        <w:t>2018</w:t>
      </w:r>
      <w:r>
        <w:rPr>
          <w:rFonts w:hint="eastAsia"/>
        </w:rPr>
        <w:t>年，广东实现地区生产总值</w:t>
      </w:r>
      <w:r>
        <w:rPr>
          <w:rFonts w:hint="eastAsia"/>
        </w:rPr>
        <w:t>97277.77</w:t>
      </w:r>
      <w:r>
        <w:rPr>
          <w:rFonts w:hint="eastAsia"/>
        </w:rPr>
        <w:t>亿元，比上年增长</w:t>
      </w:r>
      <w:r>
        <w:rPr>
          <w:rFonts w:hint="eastAsia"/>
        </w:rPr>
        <w:t>6.8%</w:t>
      </w:r>
      <w:r>
        <w:rPr>
          <w:rFonts w:hint="eastAsia"/>
        </w:rPr>
        <w:t>，其中，高技术制造业增加值比上年增长</w:t>
      </w:r>
      <w:r>
        <w:rPr>
          <w:rFonts w:hint="eastAsia"/>
        </w:rPr>
        <w:t>9.5%</w:t>
      </w:r>
      <w:r>
        <w:rPr>
          <w:rFonts w:hint="eastAsia"/>
        </w:rPr>
        <w:t>，</w:t>
      </w:r>
      <w:proofErr w:type="gramStart"/>
      <w:r>
        <w:rPr>
          <w:rFonts w:hint="eastAsia"/>
        </w:rPr>
        <w:t>占规模</w:t>
      </w:r>
      <w:proofErr w:type="gramEnd"/>
      <w:r>
        <w:rPr>
          <w:rFonts w:hint="eastAsia"/>
        </w:rPr>
        <w:t>以上工业增加值的比重为</w:t>
      </w:r>
      <w:r>
        <w:rPr>
          <w:rFonts w:hint="eastAsia"/>
        </w:rPr>
        <w:t>31.5%</w:t>
      </w:r>
      <w:r>
        <w:rPr>
          <w:rFonts w:hint="eastAsia"/>
        </w:rPr>
        <w:t>，比上年提高</w:t>
      </w:r>
      <w:r>
        <w:rPr>
          <w:rFonts w:hint="eastAsia"/>
        </w:rPr>
        <w:t>2.7</w:t>
      </w:r>
      <w:r>
        <w:rPr>
          <w:rFonts w:hint="eastAsia"/>
        </w:rPr>
        <w:t>个百分点；先进制造业增加值比上年增长</w:t>
      </w:r>
      <w:r>
        <w:rPr>
          <w:rFonts w:hint="eastAsia"/>
        </w:rPr>
        <w:t>7.8%</w:t>
      </w:r>
      <w:r>
        <w:rPr>
          <w:rFonts w:hint="eastAsia"/>
        </w:rPr>
        <w:t>，</w:t>
      </w:r>
      <w:proofErr w:type="gramStart"/>
      <w:r>
        <w:rPr>
          <w:rFonts w:hint="eastAsia"/>
        </w:rPr>
        <w:t>占规模</w:t>
      </w:r>
      <w:proofErr w:type="gramEnd"/>
      <w:r>
        <w:rPr>
          <w:rFonts w:hint="eastAsia"/>
        </w:rPr>
        <w:t>以上工业增加值的比重为</w:t>
      </w:r>
      <w:r>
        <w:rPr>
          <w:rFonts w:hint="eastAsia"/>
        </w:rPr>
        <w:t>56.4%</w:t>
      </w:r>
      <w:r>
        <w:rPr>
          <w:rFonts w:hint="eastAsia"/>
        </w:rPr>
        <w:t>，比上年提高</w:t>
      </w:r>
      <w:r>
        <w:rPr>
          <w:rFonts w:hint="eastAsia"/>
        </w:rPr>
        <w:t>3.2</w:t>
      </w:r>
      <w:r>
        <w:rPr>
          <w:rFonts w:hint="eastAsia"/>
        </w:rPr>
        <w:t>个百分点。高新技术产业和先进制造业在广东的快速健康发展，为广东开展知识产权证券化试点提供了重要的产业基础。</w:t>
      </w:r>
    </w:p>
    <w:p w14:paraId="732F3F7B" w14:textId="77777777" w:rsidR="00525C4A" w:rsidRDefault="004041B3">
      <w:pPr>
        <w:pStyle w:val="3"/>
        <w:ind w:firstLine="482"/>
      </w:pPr>
      <w:bookmarkStart w:id="40" w:name="_Toc36378098"/>
      <w:r>
        <w:rPr>
          <w:rFonts w:hint="eastAsia"/>
        </w:rPr>
        <w:t>3</w:t>
      </w:r>
      <w:r>
        <w:rPr>
          <w:rFonts w:hint="eastAsia"/>
        </w:rPr>
        <w:t>、资产基础</w:t>
      </w:r>
      <w:bookmarkEnd w:id="40"/>
    </w:p>
    <w:p w14:paraId="76A34B97" w14:textId="77777777" w:rsidR="00525C4A" w:rsidRDefault="004041B3">
      <w:pPr>
        <w:ind w:firstLine="480"/>
      </w:pPr>
      <w:r>
        <w:rPr>
          <w:rFonts w:hint="eastAsia"/>
        </w:rPr>
        <w:lastRenderedPageBreak/>
        <w:t>知识产权证券化的本质是以创新主体在未来特定期间内所合法拥有的知识产权收入即未来收益作基础，支撑创新主体通过发行资产支持证券向资本市场筹措研发和生产经营资金。因此，创新主体是否真正拥有合法、充足的未来知识产权收益权（即知识产权收入现金流），将成为能否实施知识产权证券化以及知识产权证券化最终能否成功的决定性因素。而创造并拥有高质量的知识产权，是创新主体获得未来知识产权收入现金流的先决前提；充分实施和有效运用高质量的知识产权，则是创新主体获得未来知识产权收入现金流的直接源泉。近年来，广东创造和拥有了大量知识产权存量，截至</w:t>
      </w:r>
      <w:r>
        <w:rPr>
          <w:rFonts w:hint="eastAsia"/>
        </w:rPr>
        <w:t>2019</w:t>
      </w:r>
      <w:r>
        <w:rPr>
          <w:rFonts w:hint="eastAsia"/>
        </w:rPr>
        <w:t>年</w:t>
      </w:r>
      <w:r>
        <w:rPr>
          <w:rFonts w:hint="eastAsia"/>
        </w:rPr>
        <w:t>12</w:t>
      </w:r>
      <w:r>
        <w:rPr>
          <w:rFonts w:hint="eastAsia"/>
        </w:rPr>
        <w:t>月底，广东有效发明专利量</w:t>
      </w:r>
      <w:r>
        <w:rPr>
          <w:rFonts w:hint="eastAsia"/>
        </w:rPr>
        <w:t>295869</w:t>
      </w:r>
      <w:r>
        <w:rPr>
          <w:rFonts w:hint="eastAsia"/>
        </w:rPr>
        <w:t>件，占全国总量的</w:t>
      </w:r>
      <w:r>
        <w:rPr>
          <w:rFonts w:hint="eastAsia"/>
        </w:rPr>
        <w:t>15.36%</w:t>
      </w:r>
      <w:r>
        <w:rPr>
          <w:rFonts w:hint="eastAsia"/>
        </w:rPr>
        <w:t>，广东同比增长</w:t>
      </w:r>
      <w:r>
        <w:rPr>
          <w:rFonts w:hint="eastAsia"/>
        </w:rPr>
        <w:t>19.04%</w:t>
      </w:r>
      <w:r>
        <w:rPr>
          <w:rFonts w:hint="eastAsia"/>
        </w:rPr>
        <w:t>，比全国平均水平高</w:t>
      </w:r>
      <w:r>
        <w:rPr>
          <w:rFonts w:hint="eastAsia"/>
        </w:rPr>
        <w:t>3.17</w:t>
      </w:r>
      <w:r>
        <w:rPr>
          <w:rFonts w:hint="eastAsia"/>
        </w:rPr>
        <w:t>个百分点，有效发明专利量保持全国首位。广东存量知识产权将继续产生知识产权收入现金流，为推进知识产权证券化提供了坚实的资产基础。</w:t>
      </w:r>
    </w:p>
    <w:p w14:paraId="7197CE13" w14:textId="77777777" w:rsidR="00525C4A" w:rsidRDefault="004041B3">
      <w:pPr>
        <w:pStyle w:val="3"/>
        <w:ind w:firstLine="482"/>
      </w:pPr>
      <w:bookmarkStart w:id="41" w:name="_Toc36378099"/>
      <w:r>
        <w:rPr>
          <w:rFonts w:hint="eastAsia"/>
        </w:rPr>
        <w:t>4</w:t>
      </w:r>
      <w:r>
        <w:rPr>
          <w:rFonts w:hint="eastAsia"/>
        </w:rPr>
        <w:t>、市场基础</w:t>
      </w:r>
      <w:bookmarkEnd w:id="41"/>
    </w:p>
    <w:p w14:paraId="67C9903B" w14:textId="77777777" w:rsidR="00525C4A" w:rsidRDefault="004041B3">
      <w:pPr>
        <w:ind w:firstLine="480"/>
      </w:pPr>
      <w:r>
        <w:rPr>
          <w:rFonts w:hint="eastAsia"/>
        </w:rPr>
        <w:t>知识产权证券化是一种典型的市场融资机制。该机制的建立和运行，必须具备一定的市场基础。其中，市场需求、市场主体和市场交易平台对知识产权资产支持证券市场的形成和发展至关重要。知识产权资产支持证券市场属于多层次资本市场尤其是资产支持证券市场的重要组成部份。通过</w:t>
      </w:r>
      <w:r>
        <w:rPr>
          <w:rFonts w:hint="eastAsia"/>
        </w:rPr>
        <w:t>20</w:t>
      </w:r>
      <w:r>
        <w:rPr>
          <w:rFonts w:hint="eastAsia"/>
        </w:rPr>
        <w:t>多年的长期发展实践，我国现已初步建立起多层次的资本市场，特别是资产支持证券市场（包括企业资产支持证券市场和银行贷款资产支持证券市场）的发展也已经具备了一定的规模，资产支持证券的市场需求、市场主体和市场交易平台建设也都呈现出良好的发展态势，这为广东开展知识产权证券化试点奠定了良好的市场基础。</w:t>
      </w:r>
    </w:p>
    <w:p w14:paraId="3AAF25D7" w14:textId="77777777" w:rsidR="00525C4A" w:rsidRDefault="004041B3">
      <w:pPr>
        <w:ind w:firstLine="482"/>
      </w:pPr>
      <w:r>
        <w:rPr>
          <w:rFonts w:hint="eastAsia"/>
          <w:b/>
          <w:bCs/>
        </w:rPr>
        <w:t>（</w:t>
      </w:r>
      <w:r>
        <w:rPr>
          <w:rFonts w:hint="eastAsia"/>
          <w:b/>
          <w:bCs/>
        </w:rPr>
        <w:t>1</w:t>
      </w:r>
      <w:r>
        <w:rPr>
          <w:rFonts w:hint="eastAsia"/>
          <w:b/>
          <w:bCs/>
        </w:rPr>
        <w:t>）市场需求旺盛。</w:t>
      </w:r>
      <w:r>
        <w:rPr>
          <w:rFonts w:hint="eastAsia"/>
        </w:rPr>
        <w:t>知识产权证券化的市场需求主要</w:t>
      </w:r>
      <w:proofErr w:type="gramStart"/>
      <w:r>
        <w:rPr>
          <w:rFonts w:hint="eastAsia"/>
        </w:rPr>
        <w:t>由创新</w:t>
      </w:r>
      <w:proofErr w:type="gramEnd"/>
      <w:r>
        <w:rPr>
          <w:rFonts w:hint="eastAsia"/>
        </w:rPr>
        <w:t>者的证券化融资需求与合格投资者对资产支持证券产品的投资需求两部分构成。创新者的证券化融资需求，一直都是困扰广东创新型企业的难题，广东作为经济大省，合格投资者对优质证券产品的投资需求和投资意愿一直都很旺盛。</w:t>
      </w:r>
    </w:p>
    <w:p w14:paraId="6C4B6CFD" w14:textId="77777777" w:rsidR="00525C4A" w:rsidRDefault="004041B3">
      <w:pPr>
        <w:ind w:firstLine="482"/>
      </w:pPr>
      <w:r>
        <w:rPr>
          <w:rFonts w:hint="eastAsia"/>
          <w:b/>
          <w:bCs/>
        </w:rPr>
        <w:t>（</w:t>
      </w:r>
      <w:r>
        <w:rPr>
          <w:rFonts w:hint="eastAsia"/>
          <w:b/>
          <w:bCs/>
        </w:rPr>
        <w:t>2</w:t>
      </w:r>
      <w:r>
        <w:rPr>
          <w:rFonts w:hint="eastAsia"/>
          <w:b/>
          <w:bCs/>
        </w:rPr>
        <w:t>）市场主体发展状况良好。</w:t>
      </w:r>
      <w:r>
        <w:rPr>
          <w:rFonts w:hint="eastAsia"/>
        </w:rPr>
        <w:t>知识产权证券化，往往需要有发起人（原</w:t>
      </w:r>
      <w:r>
        <w:rPr>
          <w:rFonts w:hint="eastAsia"/>
        </w:rPr>
        <w:lastRenderedPageBreak/>
        <w:t>始权益人）、借款人、知识产权服务机构、</w:t>
      </w:r>
      <w:proofErr w:type="gramStart"/>
      <w:r>
        <w:rPr>
          <w:rFonts w:hint="eastAsia"/>
        </w:rPr>
        <w:t>专计划</w:t>
      </w:r>
      <w:proofErr w:type="gramEnd"/>
      <w:r>
        <w:rPr>
          <w:rFonts w:hint="eastAsia"/>
        </w:rPr>
        <w:t>管理人、资产评估机构、信用增级机构、法律顾问、证券评级机构、投资人等重要主体的参与。目前，上述市场主体在广东的发展状况良好，这将为广东开展知识产权证券化试点工作提供了良好市场主体支撑。</w:t>
      </w:r>
    </w:p>
    <w:p w14:paraId="24A1157B" w14:textId="77777777" w:rsidR="00525C4A" w:rsidRDefault="004041B3">
      <w:pPr>
        <w:ind w:firstLine="482"/>
      </w:pPr>
      <w:r>
        <w:rPr>
          <w:rFonts w:hint="eastAsia"/>
          <w:b/>
          <w:bCs/>
        </w:rPr>
        <w:t>（</w:t>
      </w:r>
      <w:r>
        <w:rPr>
          <w:rFonts w:hint="eastAsia"/>
          <w:b/>
          <w:bCs/>
        </w:rPr>
        <w:t>3</w:t>
      </w:r>
      <w:r>
        <w:rPr>
          <w:rFonts w:hint="eastAsia"/>
          <w:b/>
          <w:bCs/>
        </w:rPr>
        <w:t>）市场交易平台完整。</w:t>
      </w:r>
      <w:r>
        <w:rPr>
          <w:rFonts w:hint="eastAsia"/>
        </w:rPr>
        <w:t>知识产权证券化是一种典型的市场融资机制，必须通过一定的市场来开展运作，证券市场由发行市场（一级市场）和交易市场（二级市场）组成。知识产权证券的发行可以借助证券公司既有的资产支持证券发行市场（一级市场）来运作；知识产权资产支持证券的交易，则必须通过上海证券交易所或者深圳证券交易所的固定收益证券综合电子平台、或者综合协议交易平台来完成。深圳证券交易所就设立在广东行政区域内，这为广东开展知识产权证券化试点提供了极大的市场便利。</w:t>
      </w:r>
    </w:p>
    <w:p w14:paraId="52C1D4FE" w14:textId="77777777" w:rsidR="00525C4A" w:rsidRDefault="004041B3">
      <w:pPr>
        <w:pStyle w:val="2"/>
      </w:pPr>
      <w:bookmarkStart w:id="42" w:name="_Toc36378100"/>
      <w:r>
        <w:rPr>
          <w:rFonts w:hint="eastAsia"/>
        </w:rPr>
        <w:t>（二）知识产权证券化的难点和风险点</w:t>
      </w:r>
      <w:bookmarkEnd w:id="42"/>
    </w:p>
    <w:p w14:paraId="7114EEC9" w14:textId="77777777" w:rsidR="00525C4A" w:rsidRDefault="004041B3">
      <w:pPr>
        <w:pStyle w:val="3"/>
        <w:ind w:firstLine="482"/>
      </w:pPr>
      <w:bookmarkStart w:id="43" w:name="_Toc36378101"/>
      <w:r>
        <w:rPr>
          <w:rFonts w:hint="eastAsia"/>
        </w:rPr>
        <w:t>1</w:t>
      </w:r>
      <w:r>
        <w:rPr>
          <w:rFonts w:hint="eastAsia"/>
        </w:rPr>
        <w:t>、知识产权证券化难点</w:t>
      </w:r>
      <w:bookmarkEnd w:id="43"/>
    </w:p>
    <w:p w14:paraId="4B197F0B" w14:textId="77777777" w:rsidR="00525C4A" w:rsidRDefault="004041B3">
      <w:pPr>
        <w:ind w:firstLine="480"/>
      </w:pPr>
      <w:r>
        <w:rPr>
          <w:rFonts w:hint="eastAsia"/>
        </w:rPr>
        <w:t>知识产权</w:t>
      </w:r>
      <w:proofErr w:type="gramStart"/>
      <w:r>
        <w:rPr>
          <w:rFonts w:hint="eastAsia"/>
        </w:rPr>
        <w:t>证券化较</w:t>
      </w:r>
      <w:proofErr w:type="gramEnd"/>
      <w:r>
        <w:rPr>
          <w:rFonts w:hint="eastAsia"/>
        </w:rPr>
        <w:t>传统资产证券化更复杂，知识产权证券化发展的瓶颈，主要包括知识产权价值评估难、未来收益稳定性差、知识产权保护力度不够等。</w:t>
      </w:r>
    </w:p>
    <w:p w14:paraId="2C2BA3BC" w14:textId="77777777" w:rsidR="00525C4A" w:rsidRDefault="004041B3">
      <w:pPr>
        <w:ind w:firstLine="480"/>
      </w:pPr>
      <w:r>
        <w:rPr>
          <w:rFonts w:hint="eastAsia"/>
        </w:rPr>
        <w:t>一是知识产权评估难。鉴于知识产权独特的无形性等特点，知识产权价值评估一直是资产评估领域的难点。此外，知识产权证券化涉及领域颇为广泛，包含法律、财务、高科技、企业经营等方面，导致知识产权证券产品的投资人在判断知识产权证券化产品投资价值时，须具备相关专业领域知识。例如，知识产权的创新程度、权利范围、授权范围、生产成本、技术更新速度、授权条件等。</w:t>
      </w:r>
    </w:p>
    <w:p w14:paraId="21353BDD" w14:textId="77777777" w:rsidR="00525C4A" w:rsidRDefault="004041B3">
      <w:pPr>
        <w:ind w:firstLine="480"/>
      </w:pPr>
      <w:r>
        <w:rPr>
          <w:rFonts w:hint="eastAsia"/>
        </w:rPr>
        <w:t>二是基础资产可预期现金收入流量稳定性差。知识产权固有的不稳定性不可避免地给知识产权证券化带来比其他资产证券化更多的风险。知识产权固有的无形性以及地域性限制、时间性限制也使得知识产权这一特殊资产难以预计和测算其未来的收益。尤其是专利领域，技术的发展变化极容易导致供求结构的改变，进而影响知识产权的现金流。再如，专利技术水平的高低与</w:t>
      </w:r>
      <w:r>
        <w:rPr>
          <w:rFonts w:hint="eastAsia"/>
        </w:rPr>
        <w:lastRenderedPageBreak/>
        <w:t>保护力度直接影响知识产权的价值，技术水平高则被复制、模仿、超越的可能性就低，保护力度低则被复制、模仿、超越的可能性就高，从而影响知识产权的价值及未来现金流的稳定性。</w:t>
      </w:r>
    </w:p>
    <w:p w14:paraId="12465B97" w14:textId="77777777" w:rsidR="00525C4A" w:rsidRDefault="004041B3">
      <w:pPr>
        <w:ind w:firstLine="480"/>
      </w:pPr>
      <w:r>
        <w:rPr>
          <w:rFonts w:hint="eastAsia"/>
        </w:rPr>
        <w:t>三是税费成本高。知识产权证券化交易中，税收与融资成本直接相关，如果税收过高，将降低发行证券的收益率，增加证券化成本，增加交易风险。但目前我国税收制度分别对发起人（原始权益人）、特殊目的机构（</w:t>
      </w:r>
      <w:r>
        <w:rPr>
          <w:rFonts w:hint="eastAsia"/>
        </w:rPr>
        <w:t>SPV</w:t>
      </w:r>
      <w:r>
        <w:rPr>
          <w:rFonts w:hint="eastAsia"/>
        </w:rPr>
        <w:t>）和投资者征收不同种类的税收，冲高了企业的用资成本。</w:t>
      </w:r>
    </w:p>
    <w:p w14:paraId="30345C37" w14:textId="77777777" w:rsidR="00525C4A" w:rsidRDefault="004041B3">
      <w:pPr>
        <w:ind w:firstLine="480"/>
        <w:rPr>
          <w:rFonts w:ascii="仿宋" w:eastAsia="仿宋" w:hAnsi="仿宋"/>
          <w:szCs w:val="32"/>
        </w:rPr>
      </w:pPr>
      <w:r>
        <w:rPr>
          <w:rFonts w:hint="eastAsia"/>
        </w:rPr>
        <w:t>四是信用增级较难。在知识产权证券化交易中，信用增级是关键环节，直接涉及到知识产权证券化融资成本。信用等级高的证券化产品，融资成本低，信用等级低的证券化产品，风险较高，融资成本高。信用增</w:t>
      </w:r>
      <w:proofErr w:type="gramStart"/>
      <w:r>
        <w:rPr>
          <w:rFonts w:hint="eastAsia"/>
        </w:rPr>
        <w:t>级需要</w:t>
      </w:r>
      <w:proofErr w:type="gramEnd"/>
      <w:r>
        <w:rPr>
          <w:rFonts w:hint="eastAsia"/>
        </w:rPr>
        <w:t>信用等级高的担保机构作保，符合条件的担保机构有限，且这些机构涉及知识产权业务较少，很难寻找到合适的担保机构为知识产权证券化产品担保。</w:t>
      </w:r>
    </w:p>
    <w:p w14:paraId="63C271D6" w14:textId="77777777" w:rsidR="00525C4A" w:rsidRDefault="004041B3">
      <w:pPr>
        <w:pStyle w:val="3"/>
        <w:ind w:firstLine="482"/>
      </w:pPr>
      <w:bookmarkStart w:id="44" w:name="_Toc36378102"/>
      <w:r>
        <w:rPr>
          <w:rFonts w:hint="eastAsia"/>
        </w:rPr>
        <w:t>2</w:t>
      </w:r>
      <w:r>
        <w:rPr>
          <w:rFonts w:hint="eastAsia"/>
        </w:rPr>
        <w:t>、知识产权证券化风险点</w:t>
      </w:r>
      <w:bookmarkEnd w:id="44"/>
    </w:p>
    <w:p w14:paraId="35960000" w14:textId="77777777" w:rsidR="00525C4A" w:rsidRDefault="004041B3">
      <w:pPr>
        <w:ind w:firstLine="480"/>
      </w:pPr>
      <w:r>
        <w:rPr>
          <w:rFonts w:hint="eastAsia"/>
        </w:rPr>
        <w:t>从知识产权的运作流程看，证券化的过程就是将风险和收益重新组合和分配的过程：发起人（原始权益人）通过证券化将未来的资产变现。由此可见，未来能够产生稳定的现金流是证券化交易成功进行的基础。但由于知识产权的现金流通常存在不确定性，及基础资产价值难以评估等问题，在知识产权证券化过程中主要存在五种风险：</w:t>
      </w:r>
    </w:p>
    <w:p w14:paraId="568AD0FF" w14:textId="77777777" w:rsidR="00525C4A" w:rsidRDefault="004041B3">
      <w:pPr>
        <w:ind w:firstLine="480"/>
      </w:pPr>
      <w:r>
        <w:rPr>
          <w:rFonts w:hint="eastAsia"/>
        </w:rPr>
        <w:t>一是市场接受度风险。因知识产权评估难问题的存在，对于证券化基础知识产权资产的市场接受</w:t>
      </w:r>
      <w:proofErr w:type="gramStart"/>
      <w:r>
        <w:rPr>
          <w:rFonts w:hint="eastAsia"/>
        </w:rPr>
        <w:t>度难以</w:t>
      </w:r>
      <w:proofErr w:type="gramEnd"/>
      <w:r>
        <w:rPr>
          <w:rFonts w:hint="eastAsia"/>
        </w:rPr>
        <w:t>客观描述，评估师大多依靠经验加以推断，基础资产估值的不确定性较高，特别是那些没有任何交易或实施记录的知识产权。</w:t>
      </w:r>
    </w:p>
    <w:p w14:paraId="2680AE0A" w14:textId="77777777" w:rsidR="00525C4A" w:rsidRDefault="004041B3">
      <w:pPr>
        <w:ind w:firstLine="480"/>
      </w:pPr>
      <w:r>
        <w:rPr>
          <w:rFonts w:hint="eastAsia"/>
        </w:rPr>
        <w:t>二是技术替代风险。知识产权存在被未来新技术超越或取代的风险较大。若发生技术的更新换代，原知识产权价值及未来可能产生的收益将大打折扣。</w:t>
      </w:r>
    </w:p>
    <w:p w14:paraId="31A18296" w14:textId="77777777" w:rsidR="00525C4A" w:rsidRDefault="004041B3">
      <w:pPr>
        <w:ind w:firstLine="480"/>
      </w:pPr>
      <w:r>
        <w:rPr>
          <w:rFonts w:hint="eastAsia"/>
        </w:rPr>
        <w:t>三是债务不履行风险。即知识产权被授权人未依约给付授权金的风险。这将影响到发行知识产权证券本息是否能实时清偿。若知识产权授权人能授权给信用良好的被授权人，则可大幅降低债务不履行风险。</w:t>
      </w:r>
    </w:p>
    <w:p w14:paraId="1C1B7CE0" w14:textId="77777777" w:rsidR="00525C4A" w:rsidRDefault="004041B3">
      <w:pPr>
        <w:ind w:firstLine="480"/>
      </w:pPr>
      <w:r>
        <w:rPr>
          <w:rFonts w:hint="eastAsia"/>
        </w:rPr>
        <w:lastRenderedPageBreak/>
        <w:t>四是授权人或服务机构违约风险。授权人有义务为被授权人提供后续技术支持及协助产品开发者。若授权人日后未履行</w:t>
      </w:r>
      <w:proofErr w:type="gramStart"/>
      <w:r>
        <w:rPr>
          <w:rFonts w:hint="eastAsia"/>
        </w:rPr>
        <w:t>此义务</w:t>
      </w:r>
      <w:proofErr w:type="gramEnd"/>
      <w:r>
        <w:rPr>
          <w:rFonts w:hint="eastAsia"/>
        </w:rPr>
        <w:t>时，被授权人可能拒绝继续支付权利金或选择终止授权合同，进而导致收益枯竭的风险；或者服务机构未按时收取授权费，也会影响收益稳定性的风险。</w:t>
      </w:r>
    </w:p>
    <w:p w14:paraId="659262AF" w14:textId="77777777" w:rsidR="00525C4A" w:rsidRDefault="004041B3">
      <w:pPr>
        <w:ind w:firstLine="480"/>
      </w:pPr>
      <w:r>
        <w:rPr>
          <w:rFonts w:hint="eastAsia"/>
        </w:rPr>
        <w:t>五是法律风险。这是知识产权证券化最重要的风险类型。例如知识产权因无效撤销、侵权或知识产权权利人破产等法律事实造成知识产权无法正常实施，影响现金流的实现，特别是因产品责任诉讼所产生的庞大法律费用，都会对知识产权价值造成巨大负面影响。</w:t>
      </w:r>
    </w:p>
    <w:p w14:paraId="3BE0AE17" w14:textId="77777777" w:rsidR="00525C4A" w:rsidRDefault="004041B3">
      <w:pPr>
        <w:pStyle w:val="2"/>
      </w:pPr>
      <w:bookmarkStart w:id="45" w:name="_Toc36378103"/>
      <w:r>
        <w:rPr>
          <w:rFonts w:hint="eastAsia"/>
        </w:rPr>
        <w:t>（三）知识产权证券化操作实务</w:t>
      </w:r>
      <w:bookmarkEnd w:id="45"/>
    </w:p>
    <w:p w14:paraId="35836C04" w14:textId="77777777" w:rsidR="00525C4A" w:rsidRDefault="004041B3">
      <w:pPr>
        <w:pStyle w:val="3"/>
        <w:ind w:firstLine="482"/>
      </w:pPr>
      <w:bookmarkStart w:id="46" w:name="_Toc36378104"/>
      <w:r>
        <w:rPr>
          <w:rFonts w:hint="eastAsia"/>
        </w:rPr>
        <w:t>1</w:t>
      </w:r>
      <w:r>
        <w:rPr>
          <w:rFonts w:hint="eastAsia"/>
        </w:rPr>
        <w:t>、知识产权证券化架构</w:t>
      </w:r>
      <w:bookmarkEnd w:id="46"/>
    </w:p>
    <w:p w14:paraId="0DD3B01F" w14:textId="77777777" w:rsidR="00525C4A" w:rsidRDefault="004041B3">
      <w:pPr>
        <w:ind w:firstLine="480"/>
      </w:pPr>
      <w:r>
        <w:t>知识产权证券化属于知识产权产生资金方式之一，即将知识产权现在或未来所产生</w:t>
      </w:r>
      <w:r>
        <w:rPr>
          <w:rFonts w:hint="eastAsia"/>
        </w:rPr>
        <w:t>的收益</w:t>
      </w:r>
      <w:r>
        <w:t>，</w:t>
      </w:r>
      <w:r>
        <w:rPr>
          <w:rFonts w:hint="eastAsia"/>
        </w:rPr>
        <w:t>通</w:t>
      </w:r>
      <w:r>
        <w:t>过财务金融技术转化可交易</w:t>
      </w:r>
      <w:r>
        <w:rPr>
          <w:rFonts w:hint="eastAsia"/>
        </w:rPr>
        <w:t>的</w:t>
      </w:r>
      <w:r>
        <w:t>证券。</w:t>
      </w:r>
      <w:r>
        <w:rPr>
          <w:rFonts w:hint="eastAsia"/>
        </w:rPr>
        <w:t>与</w:t>
      </w:r>
      <w:r>
        <w:t>其他金融资产证券</w:t>
      </w:r>
      <w:r>
        <w:rPr>
          <w:rFonts w:hint="eastAsia"/>
        </w:rPr>
        <w:t>一样</w:t>
      </w:r>
      <w:r>
        <w:t>，知识产权证券化</w:t>
      </w:r>
      <w:r>
        <w:rPr>
          <w:rFonts w:hint="eastAsia"/>
        </w:rPr>
        <w:t>过程也需引入特殊目的机构（</w:t>
      </w:r>
      <w:r>
        <w:t>SPV</w:t>
      </w:r>
      <w:r>
        <w:rPr>
          <w:rFonts w:hint="eastAsia"/>
        </w:rPr>
        <w:t>）</w:t>
      </w:r>
      <w:r>
        <w:t>以汇集、管理</w:t>
      </w:r>
      <w:r>
        <w:rPr>
          <w:rFonts w:hint="eastAsia"/>
        </w:rPr>
        <w:t>知识产权未来收益，</w:t>
      </w:r>
      <w:r>
        <w:t>并隔离破产风险。</w:t>
      </w:r>
    </w:p>
    <w:p w14:paraId="0D184080" w14:textId="122AD3CF" w:rsidR="00525C4A" w:rsidRDefault="004041B3">
      <w:pPr>
        <w:pStyle w:val="e"/>
        <w:spacing w:beforeLines="0" w:afterLines="0" w:line="560" w:lineRule="exact"/>
        <w:ind w:firstLine="480"/>
        <w:rPr>
          <w:rFonts w:ascii="Times New Roman"/>
          <w:b/>
          <w:bCs/>
        </w:rPr>
      </w:pPr>
      <w:bookmarkStart w:id="47" w:name="_Toc10837532"/>
      <w:bookmarkStart w:id="48" w:name="_Toc34325616"/>
      <w:r>
        <w:rPr>
          <w:rFonts w:ascii="Times New Roman"/>
          <w:b/>
          <w:bCs/>
        </w:rPr>
        <w:t>图</w:t>
      </w:r>
      <w:r>
        <w:rPr>
          <w:rFonts w:ascii="Times New Roman" w:hint="eastAsia"/>
          <w:b/>
          <w:bCs/>
        </w:rPr>
        <w:t>1</w:t>
      </w:r>
      <w:bookmarkEnd w:id="47"/>
      <w:r w:rsidR="00521AA8">
        <w:rPr>
          <w:rFonts w:ascii="Times New Roman"/>
          <w:b/>
          <w:bCs/>
        </w:rPr>
        <w:t>4</w:t>
      </w:r>
      <w:r>
        <w:rPr>
          <w:rFonts w:ascii="Times New Roman"/>
          <w:b/>
          <w:bCs/>
        </w:rPr>
        <w:t xml:space="preserve">. </w:t>
      </w:r>
      <w:r>
        <w:rPr>
          <w:rFonts w:ascii="Times New Roman"/>
          <w:b/>
          <w:bCs/>
        </w:rPr>
        <w:t>知识产权证券化架构图</w:t>
      </w:r>
      <w:bookmarkEnd w:id="48"/>
    </w:p>
    <w:p w14:paraId="766F1A8E" w14:textId="77777777" w:rsidR="00525C4A" w:rsidRDefault="004041B3">
      <w:pPr>
        <w:pStyle w:val="e"/>
        <w:pBdr>
          <w:bottom w:val="single" w:sz="6" w:space="1" w:color="auto"/>
        </w:pBdr>
        <w:spacing w:beforeLines="0" w:afterLines="0"/>
        <w:ind w:firstLineChars="0" w:firstLine="0"/>
        <w:jc w:val="center"/>
        <w:rPr>
          <w:rFonts w:ascii="Times New Roman"/>
          <w:b/>
          <w:bCs/>
        </w:rPr>
      </w:pPr>
      <w:r>
        <w:rPr>
          <w:noProof/>
        </w:rPr>
        <w:drawing>
          <wp:inline distT="0" distB="0" distL="0" distR="0" wp14:anchorId="0315F9D4" wp14:editId="7D1DF98D">
            <wp:extent cx="4860290" cy="2726690"/>
            <wp:effectExtent l="0" t="0" r="127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32"/>
                    <a:srcRect l="12247" t="4373" b="7452"/>
                    <a:stretch>
                      <a:fillRect/>
                    </a:stretch>
                  </pic:blipFill>
                  <pic:spPr>
                    <a:xfrm>
                      <a:off x="0" y="0"/>
                      <a:ext cx="4860290" cy="2726690"/>
                    </a:xfrm>
                    <a:prstGeom prst="rect">
                      <a:avLst/>
                    </a:prstGeom>
                    <a:noFill/>
                    <a:ln>
                      <a:noFill/>
                    </a:ln>
                  </pic:spPr>
                </pic:pic>
              </a:graphicData>
            </a:graphic>
          </wp:inline>
        </w:drawing>
      </w:r>
    </w:p>
    <w:p w14:paraId="1F5AB24C" w14:textId="77777777" w:rsidR="00525C4A" w:rsidRDefault="004041B3">
      <w:pPr>
        <w:pStyle w:val="e"/>
        <w:spacing w:beforeLines="0" w:afterLines="0" w:line="276" w:lineRule="auto"/>
        <w:ind w:firstLine="420"/>
        <w:rPr>
          <w:sz w:val="21"/>
        </w:rPr>
      </w:pPr>
      <w:r>
        <w:rPr>
          <w:sz w:val="21"/>
        </w:rPr>
        <w:t>资料来源：智慧财产权月刊</w:t>
      </w:r>
      <w:r>
        <w:rPr>
          <w:sz w:val="21"/>
        </w:rPr>
        <w:t>170</w:t>
      </w:r>
      <w:r>
        <w:rPr>
          <w:sz w:val="21"/>
        </w:rPr>
        <w:t>期、兴业证券经济与金融研究院整理</w:t>
      </w:r>
    </w:p>
    <w:p w14:paraId="7576D90F" w14:textId="77777777" w:rsidR="00525C4A" w:rsidRDefault="004041B3">
      <w:pPr>
        <w:ind w:firstLine="480"/>
      </w:pPr>
      <w:r>
        <w:lastRenderedPageBreak/>
        <w:t>交易主体</w:t>
      </w:r>
      <w:r>
        <w:rPr>
          <w:rFonts w:hint="eastAsia"/>
        </w:rPr>
        <w:t>是</w:t>
      </w:r>
      <w:r>
        <w:t>资产证券化交易过程中的关键参与人，</w:t>
      </w:r>
      <w:r>
        <w:rPr>
          <w:rFonts w:hint="eastAsia"/>
        </w:rPr>
        <w:t>包括</w:t>
      </w:r>
      <w:r>
        <w:t>发起人</w:t>
      </w:r>
      <w:r>
        <w:rPr>
          <w:rFonts w:hint="eastAsia"/>
        </w:rPr>
        <w:t>（原始权益人）</w:t>
      </w:r>
      <w:r>
        <w:t>、特殊目的</w:t>
      </w:r>
      <w:r>
        <w:rPr>
          <w:rFonts w:hint="eastAsia"/>
        </w:rPr>
        <w:t>机构</w:t>
      </w:r>
      <w:r>
        <w:t>（</w:t>
      </w:r>
      <w:r>
        <w:t>SPV</w:t>
      </w:r>
      <w:r>
        <w:t>）和投资者，</w:t>
      </w:r>
      <w:r>
        <w:rPr>
          <w:rFonts w:hint="eastAsia"/>
        </w:rPr>
        <w:t>共同</w:t>
      </w:r>
      <w:r>
        <w:t>构建一个完整有效的交易结构，资产证券化就会顺利进行。</w:t>
      </w:r>
    </w:p>
    <w:p w14:paraId="6B721147" w14:textId="77777777" w:rsidR="00525C4A" w:rsidRDefault="004041B3">
      <w:pPr>
        <w:ind w:firstLine="480"/>
      </w:pPr>
      <w:r>
        <w:t>在这一过程中，发起人（原始权益人）是</w:t>
      </w:r>
      <w:r>
        <w:rPr>
          <w:rFonts w:hint="eastAsia"/>
        </w:rPr>
        <w:t>基础资产</w:t>
      </w:r>
      <w:r>
        <w:t>的所有者，</w:t>
      </w:r>
      <w:r>
        <w:rPr>
          <w:rFonts w:hint="eastAsia"/>
        </w:rPr>
        <w:t>发起人（原始权益人）把基础资产</w:t>
      </w:r>
      <w:r>
        <w:t>打包出售给专门为资产证券化服务的特殊目的</w:t>
      </w:r>
      <w:r>
        <w:rPr>
          <w:rFonts w:hint="eastAsia"/>
        </w:rPr>
        <w:t>机构（</w:t>
      </w:r>
      <w:r>
        <w:rPr>
          <w:rFonts w:hint="eastAsia"/>
        </w:rPr>
        <w:t>S</w:t>
      </w:r>
      <w:r>
        <w:t>PV</w:t>
      </w:r>
      <w:r>
        <w:rPr>
          <w:rFonts w:hint="eastAsia"/>
        </w:rPr>
        <w:t>），有责任保证基础资产的真实性、有效性、合法性。</w:t>
      </w:r>
    </w:p>
    <w:p w14:paraId="120DC250" w14:textId="77777777" w:rsidR="00525C4A" w:rsidRDefault="004041B3">
      <w:pPr>
        <w:ind w:firstLine="480"/>
      </w:pPr>
      <w:r>
        <w:t>特殊目的机构（</w:t>
      </w:r>
      <w:r>
        <w:t>SPV</w:t>
      </w:r>
      <w:r>
        <w:t>）获得</w:t>
      </w:r>
      <w:r>
        <w:rPr>
          <w:rFonts w:hint="eastAsia"/>
        </w:rPr>
        <w:t>基础</w:t>
      </w:r>
      <w:r>
        <w:t>资产后，将资产进行剥离重组、信用评级并增级，最后委托</w:t>
      </w:r>
      <w:r>
        <w:rPr>
          <w:rFonts w:hint="eastAsia"/>
        </w:rPr>
        <w:t>券商</w:t>
      </w:r>
      <w:r>
        <w:t>在</w:t>
      </w:r>
      <w:r>
        <w:rPr>
          <w:rFonts w:hint="eastAsia"/>
        </w:rPr>
        <w:t>证券交易所</w:t>
      </w:r>
      <w:r>
        <w:t>发行资产支持证券</w:t>
      </w:r>
      <w:r>
        <w:rPr>
          <w:rFonts w:hint="eastAsia"/>
        </w:rPr>
        <w:t>。</w:t>
      </w:r>
    </w:p>
    <w:p w14:paraId="34E431BB" w14:textId="77777777" w:rsidR="00525C4A" w:rsidRDefault="004041B3">
      <w:pPr>
        <w:ind w:firstLine="480"/>
      </w:pPr>
      <w:r>
        <w:t>投资者在证券市场上购买</w:t>
      </w:r>
      <w:r>
        <w:rPr>
          <w:rFonts w:hint="eastAsia"/>
        </w:rPr>
        <w:t>知识产权</w:t>
      </w:r>
      <w:r>
        <w:t>证券</w:t>
      </w:r>
      <w:r>
        <w:rPr>
          <w:rFonts w:hint="eastAsia"/>
        </w:rPr>
        <w:t>化产品。</w:t>
      </w:r>
      <w:r>
        <w:t>最后，投资者的本金与利息</w:t>
      </w:r>
      <w:r>
        <w:rPr>
          <w:rFonts w:hint="eastAsia"/>
        </w:rPr>
        <w:t>将通过基础资产产生的收益获得兑现</w:t>
      </w:r>
      <w:r>
        <w:t>。</w:t>
      </w:r>
    </w:p>
    <w:p w14:paraId="3154B564" w14:textId="77777777" w:rsidR="00525C4A" w:rsidRDefault="004041B3">
      <w:pPr>
        <w:pStyle w:val="3"/>
        <w:ind w:firstLine="482"/>
      </w:pPr>
      <w:bookmarkStart w:id="49" w:name="_Toc36378105"/>
      <w:r>
        <w:rPr>
          <w:rFonts w:hint="eastAsia"/>
        </w:rPr>
        <w:t>2</w:t>
      </w:r>
      <w:r>
        <w:rPr>
          <w:rFonts w:hint="eastAsia"/>
        </w:rPr>
        <w:t>、知识产权证券化流程</w:t>
      </w:r>
      <w:bookmarkEnd w:id="49"/>
    </w:p>
    <w:p w14:paraId="19BF8ABB" w14:textId="77777777" w:rsidR="00525C4A" w:rsidRDefault="004041B3">
      <w:pPr>
        <w:ind w:firstLine="482"/>
      </w:pPr>
      <w:r>
        <w:rPr>
          <w:rFonts w:hint="eastAsia"/>
          <w:b/>
          <w:bCs/>
        </w:rPr>
        <w:t>（</w:t>
      </w:r>
      <w:r>
        <w:rPr>
          <w:rFonts w:hint="eastAsia"/>
          <w:b/>
          <w:bCs/>
        </w:rPr>
        <w:t>1</w:t>
      </w:r>
      <w:r>
        <w:rPr>
          <w:rFonts w:hint="eastAsia"/>
          <w:b/>
          <w:bCs/>
        </w:rPr>
        <w:t>）交易流程</w:t>
      </w:r>
    </w:p>
    <w:p w14:paraId="6439F3C2" w14:textId="77777777" w:rsidR="00525C4A" w:rsidRDefault="004041B3">
      <w:pPr>
        <w:ind w:firstLine="480"/>
      </w:pPr>
      <w:r>
        <w:rPr>
          <w:rFonts w:hint="eastAsia"/>
        </w:rPr>
        <w:t>知识产权证券化具有资产证券化的共同特性。在券商、资产评估机构等专业机构的安排下，发起人（原始权益人）按一定标准挑选出符合条件的知识产权，并将其组合成知识产权资产池，然后将其出售或信托给特殊目的机构（</w:t>
      </w:r>
      <w:r>
        <w:t>SPV</w:t>
      </w:r>
      <w:r>
        <w:rPr>
          <w:rFonts w:hint="eastAsia"/>
        </w:rPr>
        <w:t>）。特殊目的机构（</w:t>
      </w:r>
      <w:r>
        <w:rPr>
          <w:rFonts w:hint="eastAsia"/>
        </w:rPr>
        <w:t>SPV</w:t>
      </w:r>
      <w:r>
        <w:rPr>
          <w:rFonts w:hint="eastAsia"/>
        </w:rPr>
        <w:t>）对受让的知识产权进行加工、信用增级与包装，使基础资产达到一定的质量与信用级别。此后，特殊目的机构（</w:t>
      </w:r>
      <w:r>
        <w:rPr>
          <w:rFonts w:hint="eastAsia"/>
        </w:rPr>
        <w:t>SPV</w:t>
      </w:r>
      <w:r>
        <w:rPr>
          <w:rFonts w:hint="eastAsia"/>
        </w:rPr>
        <w:t>）通过投资银行等机构的安排，以基础资产为支撑向投资者发行知识产权资产证券。最后，特殊目的机构（</w:t>
      </w:r>
      <w:r>
        <w:rPr>
          <w:rFonts w:hint="eastAsia"/>
        </w:rPr>
        <w:t>SPV</w:t>
      </w:r>
      <w:r>
        <w:rPr>
          <w:rFonts w:hint="eastAsia"/>
        </w:rPr>
        <w:t>）将发行证券所募资金作为基础资产对</w:t>
      </w:r>
      <w:proofErr w:type="gramStart"/>
      <w:r>
        <w:rPr>
          <w:rFonts w:hint="eastAsia"/>
        </w:rPr>
        <w:t>价支付</w:t>
      </w:r>
      <w:proofErr w:type="gramEnd"/>
      <w:r>
        <w:rPr>
          <w:rFonts w:hint="eastAsia"/>
        </w:rPr>
        <w:t>给发起人（原始权益人），将基础资产产生的净现金</w:t>
      </w:r>
      <w:proofErr w:type="gramStart"/>
      <w:r>
        <w:rPr>
          <w:rFonts w:hint="eastAsia"/>
        </w:rPr>
        <w:t>流作为</w:t>
      </w:r>
      <w:proofErr w:type="gramEnd"/>
      <w:r>
        <w:rPr>
          <w:rFonts w:hint="eastAsia"/>
        </w:rPr>
        <w:t>投资收益支付给知识产权资产证券持有者。具体的知识产权证券化交易流程如下：</w:t>
      </w:r>
    </w:p>
    <w:p w14:paraId="1E4952CA" w14:textId="77777777" w:rsidR="00525C4A" w:rsidRDefault="004041B3">
      <w:pPr>
        <w:ind w:firstLine="480"/>
      </w:pPr>
      <w:r>
        <w:rPr>
          <w:rFonts w:hint="eastAsia"/>
        </w:rPr>
        <w:t>第一步，创建知识产权资产池。发起人（原始权益人）对能产生可预测现金流的知识产权进行选择打包，构建知识产权资产池。该知识产权可以是发起人（原始权益人）原始所有，也可以由发起人（原始权益人）从知识产权许可人处获得。为了能够成功地发行证券，发起人（原始权益人）先要对自己拥有的能够产生未来收益的知识产权进行梳理和完成价值评估，然后根据证券化目标确定将哪些知识产权用于证券化，最后把这些知识产权组合，形成一</w:t>
      </w:r>
      <w:r>
        <w:rPr>
          <w:rFonts w:hint="eastAsia"/>
        </w:rPr>
        <w:lastRenderedPageBreak/>
        <w:t>个资产池。</w:t>
      </w:r>
    </w:p>
    <w:p w14:paraId="7DF9C5C7" w14:textId="77777777" w:rsidR="00525C4A" w:rsidRDefault="004041B3">
      <w:pPr>
        <w:ind w:firstLine="480"/>
      </w:pPr>
      <w:r>
        <w:rPr>
          <w:rFonts w:hint="eastAsia"/>
        </w:rPr>
        <w:t>第二步，转移知识产权</w:t>
      </w:r>
      <w:proofErr w:type="gramStart"/>
      <w:r>
        <w:rPr>
          <w:rFonts w:hint="eastAsia"/>
        </w:rPr>
        <w:t>资产池至特殊</w:t>
      </w:r>
      <w:proofErr w:type="gramEnd"/>
      <w:r>
        <w:rPr>
          <w:rFonts w:hint="eastAsia"/>
        </w:rPr>
        <w:t>目的机构（</w:t>
      </w:r>
      <w:r>
        <w:rPr>
          <w:rFonts w:hint="eastAsia"/>
        </w:rPr>
        <w:t>SPV</w:t>
      </w:r>
      <w:r>
        <w:rPr>
          <w:rFonts w:hint="eastAsia"/>
        </w:rPr>
        <w:t>）。特殊目的机构（</w:t>
      </w:r>
      <w:r>
        <w:rPr>
          <w:rFonts w:hint="eastAsia"/>
        </w:rPr>
        <w:t>SPV</w:t>
      </w:r>
      <w:r>
        <w:rPr>
          <w:rFonts w:hint="eastAsia"/>
        </w:rPr>
        <w:t>）是一个具有破产隔离功能的特殊目的载体，将知识产权资产池移转给</w:t>
      </w:r>
      <w:proofErr w:type="gramStart"/>
      <w:r>
        <w:rPr>
          <w:rFonts w:hint="eastAsia"/>
        </w:rPr>
        <w:t>该目的</w:t>
      </w:r>
      <w:proofErr w:type="gramEnd"/>
      <w:r>
        <w:rPr>
          <w:rFonts w:hint="eastAsia"/>
        </w:rPr>
        <w:t>载体，可以使被证券化资产从发起人（原始权益人）的资产中独立出来，实现破产隔离功能。万一</w:t>
      </w:r>
      <w:r>
        <w:t>发起人（原始权益人）破产，</w:t>
      </w:r>
      <w:r>
        <w:rPr>
          <w:rFonts w:hint="eastAsia"/>
        </w:rPr>
        <w:t>由于</w:t>
      </w:r>
      <w:r>
        <w:t>被证券化的知识产权资产</w:t>
      </w:r>
      <w:r>
        <w:rPr>
          <w:rFonts w:hint="eastAsia"/>
        </w:rPr>
        <w:t>已</w:t>
      </w:r>
      <w:r>
        <w:t>被转移给特殊目的机构（</w:t>
      </w:r>
      <w:r>
        <w:t>SPV</w:t>
      </w:r>
      <w:r>
        <w:t>）</w:t>
      </w:r>
      <w:r>
        <w:rPr>
          <w:rFonts w:hint="eastAsia"/>
        </w:rPr>
        <w:t>，证券化资产池内的知识产权便不属于其他无担保债权人获偿的范围之内。</w:t>
      </w:r>
    </w:p>
    <w:p w14:paraId="72255E8C" w14:textId="77777777" w:rsidR="00525C4A" w:rsidRDefault="004041B3">
      <w:pPr>
        <w:ind w:firstLine="480"/>
      </w:pPr>
      <w:r>
        <w:rPr>
          <w:rFonts w:hint="eastAsia"/>
        </w:rPr>
        <w:t>第三步，完善交易结构，进行知识产权价值评估。根据知识产权期限、知识产权涉及的行业等特点，特殊目的机构（</w:t>
      </w:r>
      <w:r>
        <w:rPr>
          <w:rFonts w:hint="eastAsia"/>
        </w:rPr>
        <w:t>SPV</w:t>
      </w:r>
      <w:r>
        <w:rPr>
          <w:rFonts w:hint="eastAsia"/>
        </w:rPr>
        <w:t>）对资产池的风险和收益进行结构性重组，降低总体风险水平。此外，特殊目的机构（</w:t>
      </w:r>
      <w:r>
        <w:rPr>
          <w:rFonts w:hint="eastAsia"/>
        </w:rPr>
        <w:t>SPV</w:t>
      </w:r>
      <w:r>
        <w:rPr>
          <w:rFonts w:hint="eastAsia"/>
        </w:rPr>
        <w:t>）与发起人（原始权益人）一起确定托管银行并签订托管合同，与银行达成提供流动性支持的周转协议，与券商达成承销协议，以完善交易结构。随后，请信用评级机构对这个交易结构及设计的知识产权支持证券进行内部评级。</w:t>
      </w:r>
    </w:p>
    <w:p w14:paraId="1EA9196C" w14:textId="77777777" w:rsidR="00525C4A" w:rsidRDefault="004041B3">
      <w:pPr>
        <w:ind w:firstLine="480"/>
      </w:pPr>
      <w:r>
        <w:rPr>
          <w:rFonts w:hint="eastAsia"/>
        </w:rPr>
        <w:t>第四步，信用增级。特殊目的机构（</w:t>
      </w:r>
      <w:r>
        <w:rPr>
          <w:rFonts w:hint="eastAsia"/>
        </w:rPr>
        <w:t>SPV</w:t>
      </w:r>
      <w:r>
        <w:rPr>
          <w:rFonts w:hint="eastAsia"/>
        </w:rPr>
        <w:t>）受让的基础资产往往难以达到理想的信用级别，为吸引投资者，特殊目的机构（</w:t>
      </w:r>
      <w:r>
        <w:rPr>
          <w:rFonts w:hint="eastAsia"/>
        </w:rPr>
        <w:t>SPV</w:t>
      </w:r>
      <w:r>
        <w:rPr>
          <w:rFonts w:hint="eastAsia"/>
        </w:rPr>
        <w:t>）需要综合考虑成本和信用等级因素，进行必要的信用增级，保证证券达到投资者要求的信用级别。信用增</w:t>
      </w:r>
      <w:proofErr w:type="gramStart"/>
      <w:r>
        <w:rPr>
          <w:rFonts w:hint="eastAsia"/>
        </w:rPr>
        <w:t>级方式</w:t>
      </w:r>
      <w:proofErr w:type="gramEnd"/>
      <w:r>
        <w:rPr>
          <w:rFonts w:hint="eastAsia"/>
        </w:rPr>
        <w:t>有三种：一是破产隔离，即通过剔除发起人（原始权益人）破产风险对投资收益的影响，提高知识产权支持证券信用等级；二是划分优先证券和次级证券，使优先证券清</w:t>
      </w:r>
      <w:proofErr w:type="gramStart"/>
      <w:r>
        <w:rPr>
          <w:rFonts w:hint="eastAsia"/>
        </w:rPr>
        <w:t>付本息</w:t>
      </w:r>
      <w:proofErr w:type="gramEnd"/>
      <w:r>
        <w:rPr>
          <w:rFonts w:hint="eastAsia"/>
        </w:rPr>
        <w:t>先于次级证券，即清付优先证券本息后再对次级证券还本，这样就降低了优先证券风险，提高了它的信用等级；三是金融担保、第三方担保，即特殊目的机构（</w:t>
      </w:r>
      <w:r>
        <w:rPr>
          <w:rFonts w:hint="eastAsia"/>
        </w:rPr>
        <w:t>SPV</w:t>
      </w:r>
      <w:r>
        <w:rPr>
          <w:rFonts w:hint="eastAsia"/>
        </w:rPr>
        <w:t>）向信用级别很高的专业金融担保公司办理金融担保，由担保公司向投资者保证特殊目的机构（</w:t>
      </w:r>
      <w:r>
        <w:rPr>
          <w:rFonts w:hint="eastAsia"/>
        </w:rPr>
        <w:t>SPV</w:t>
      </w:r>
      <w:r>
        <w:rPr>
          <w:rFonts w:hint="eastAsia"/>
        </w:rPr>
        <w:t>）将按期履行还本付息义务。这样，可将知识产权支持证券信用提升到金融担保公司的信用评级水平。</w:t>
      </w:r>
    </w:p>
    <w:p w14:paraId="584101C0" w14:textId="77777777" w:rsidR="00525C4A" w:rsidRDefault="004041B3">
      <w:pPr>
        <w:ind w:firstLine="480"/>
      </w:pPr>
      <w:r>
        <w:rPr>
          <w:rFonts w:hint="eastAsia"/>
        </w:rPr>
        <w:t>第五步，发行评级。信用增级后，普通投资者无法考察发起人（原始权益人）对知识产权证券还本付息的能力，需要有一个独立的信用评级机构完成这一工作。特殊目的机构（</w:t>
      </w:r>
      <w:r>
        <w:rPr>
          <w:rFonts w:hint="eastAsia"/>
        </w:rPr>
        <w:t>SPV</w:t>
      </w:r>
      <w:r>
        <w:rPr>
          <w:rFonts w:hint="eastAsia"/>
        </w:rPr>
        <w:t>）聘请信用评级机构对资产证券进行正式的发行评级，信用评级机构应向投资者公告评级结果。</w:t>
      </w:r>
    </w:p>
    <w:p w14:paraId="50ED0175" w14:textId="77777777" w:rsidR="00525C4A" w:rsidRDefault="004041B3">
      <w:pPr>
        <w:ind w:firstLine="480"/>
      </w:pPr>
      <w:r>
        <w:rPr>
          <w:rFonts w:hint="eastAsia"/>
        </w:rPr>
        <w:lastRenderedPageBreak/>
        <w:t>第六步，发行证券。信用增级之后，知识产权证券己具备了较好的信用等级，能够以较好的发行条件出售。知识产权证券的发起人（原始权益人）根据不同投资者对风险和收益的偏好情况对知识产权资产进行打包，发行不同层级结构的证券。</w:t>
      </w:r>
    </w:p>
    <w:p w14:paraId="2F5DD61F" w14:textId="77777777" w:rsidR="00525C4A" w:rsidRDefault="004041B3">
      <w:pPr>
        <w:ind w:firstLine="480"/>
        <w:rPr>
          <w:rFonts w:ascii="仿宋" w:eastAsia="仿宋" w:hAnsi="仿宋"/>
          <w:szCs w:val="32"/>
        </w:rPr>
      </w:pPr>
      <w:r>
        <w:rPr>
          <w:rFonts w:hint="eastAsia"/>
        </w:rPr>
        <w:t>第七步，后续管理、发起人（原始权益人）指定一个资产管理公司或自行对知识产权资产池进行管理，具体包括收取、记录资产</w:t>
      </w:r>
      <w:proofErr w:type="gramStart"/>
      <w:r>
        <w:rPr>
          <w:rFonts w:hint="eastAsia"/>
        </w:rPr>
        <w:t>池产生</w:t>
      </w:r>
      <w:proofErr w:type="gramEnd"/>
      <w:r>
        <w:rPr>
          <w:rFonts w:hint="eastAsia"/>
        </w:rPr>
        <w:t>的现金收入，并将其转存到证券托管银行。最后由托管银行向证券购买者进行偿付，并向信用评级机构及各中间机构支付费用积累资金。</w:t>
      </w:r>
    </w:p>
    <w:p w14:paraId="3DEC3D53" w14:textId="47127242" w:rsidR="00525C4A" w:rsidRDefault="004041B3">
      <w:pPr>
        <w:pStyle w:val="e"/>
        <w:spacing w:beforeLines="0" w:afterLines="0" w:line="560" w:lineRule="exact"/>
        <w:ind w:firstLine="480"/>
        <w:rPr>
          <w:rFonts w:ascii="Times New Roman"/>
          <w:b/>
          <w:bCs/>
        </w:rPr>
      </w:pPr>
      <w:bookmarkStart w:id="50" w:name="_Toc34325617"/>
      <w:r>
        <w:rPr>
          <w:rFonts w:ascii="Times New Roman" w:hint="eastAsia"/>
          <w:b/>
          <w:bCs/>
        </w:rPr>
        <w:t>图</w:t>
      </w:r>
      <w:r>
        <w:rPr>
          <w:rFonts w:ascii="Times New Roman" w:hint="eastAsia"/>
          <w:b/>
          <w:bCs/>
        </w:rPr>
        <w:t>1</w:t>
      </w:r>
      <w:r w:rsidR="00521AA8">
        <w:rPr>
          <w:rFonts w:ascii="Times New Roman"/>
          <w:b/>
          <w:bCs/>
        </w:rPr>
        <w:t>5</w:t>
      </w:r>
      <w:r>
        <w:rPr>
          <w:rFonts w:ascii="Times New Roman"/>
          <w:b/>
          <w:bCs/>
        </w:rPr>
        <w:t xml:space="preserve">. </w:t>
      </w:r>
      <w:r>
        <w:rPr>
          <w:rFonts w:ascii="Times New Roman"/>
          <w:b/>
          <w:bCs/>
        </w:rPr>
        <w:t>知识产权证券化典型交易流程</w:t>
      </w:r>
      <w:bookmarkEnd w:id="50"/>
    </w:p>
    <w:p w14:paraId="2AF97FBB" w14:textId="77777777" w:rsidR="00525C4A" w:rsidRDefault="004041B3">
      <w:pPr>
        <w:pStyle w:val="e"/>
        <w:pBdr>
          <w:bottom w:val="single" w:sz="6" w:space="1" w:color="auto"/>
        </w:pBdr>
        <w:spacing w:beforeLines="0" w:afterLines="0"/>
        <w:ind w:firstLineChars="0" w:firstLine="0"/>
        <w:jc w:val="center"/>
        <w:rPr>
          <w:rFonts w:ascii="Times New Roman"/>
          <w:b/>
          <w:bCs/>
        </w:rPr>
      </w:pPr>
      <w:r>
        <w:rPr>
          <w:rFonts w:eastAsia="PMingLiU"/>
          <w:noProof/>
        </w:rPr>
        <w:drawing>
          <wp:inline distT="0" distB="0" distL="0" distR="0" wp14:anchorId="01FB97A1" wp14:editId="2BF4BA34">
            <wp:extent cx="5074920" cy="4564380"/>
            <wp:effectExtent l="1905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noChangeArrowheads="1"/>
                    </pic:cNvPicPr>
                  </pic:nvPicPr>
                  <pic:blipFill>
                    <a:blip r:embed="rId33"/>
                    <a:srcRect/>
                    <a:stretch>
                      <a:fillRect/>
                    </a:stretch>
                  </pic:blipFill>
                  <pic:spPr>
                    <a:xfrm>
                      <a:off x="0" y="0"/>
                      <a:ext cx="5074920" cy="4564380"/>
                    </a:xfrm>
                    <a:prstGeom prst="rect">
                      <a:avLst/>
                    </a:prstGeom>
                    <a:noFill/>
                    <a:ln w="9525">
                      <a:noFill/>
                      <a:miter lim="800000"/>
                      <a:headEnd/>
                      <a:tailEnd/>
                    </a:ln>
                  </pic:spPr>
                </pic:pic>
              </a:graphicData>
            </a:graphic>
          </wp:inline>
        </w:drawing>
      </w:r>
    </w:p>
    <w:p w14:paraId="40A5F5F6" w14:textId="77777777" w:rsidR="00525C4A" w:rsidRDefault="004041B3">
      <w:pPr>
        <w:pStyle w:val="e"/>
        <w:spacing w:beforeLines="0" w:afterLines="0" w:line="276" w:lineRule="auto"/>
        <w:ind w:firstLine="420"/>
        <w:rPr>
          <w:sz w:val="21"/>
        </w:rPr>
      </w:pPr>
      <w:r>
        <w:rPr>
          <w:rFonts w:hint="eastAsia"/>
          <w:sz w:val="21"/>
        </w:rPr>
        <w:t>资料</w:t>
      </w:r>
      <w:r>
        <w:rPr>
          <w:sz w:val="21"/>
        </w:rPr>
        <w:t>来源：公开资料</w:t>
      </w:r>
      <w:r>
        <w:rPr>
          <w:rFonts w:hint="eastAsia"/>
          <w:sz w:val="21"/>
        </w:rPr>
        <w:t>，</w:t>
      </w:r>
      <w:r>
        <w:rPr>
          <w:sz w:val="21"/>
        </w:rPr>
        <w:t>兴业证券经济与金融研究院整理</w:t>
      </w:r>
    </w:p>
    <w:p w14:paraId="39D9ADB8" w14:textId="77777777" w:rsidR="00525C4A" w:rsidRDefault="004041B3">
      <w:pPr>
        <w:ind w:firstLine="482"/>
      </w:pPr>
      <w:r>
        <w:rPr>
          <w:rFonts w:hint="eastAsia"/>
          <w:b/>
          <w:bCs/>
        </w:rPr>
        <w:lastRenderedPageBreak/>
        <w:t>（</w:t>
      </w:r>
      <w:r>
        <w:rPr>
          <w:rFonts w:hint="eastAsia"/>
          <w:b/>
          <w:bCs/>
        </w:rPr>
        <w:t>2</w:t>
      </w:r>
      <w:r>
        <w:rPr>
          <w:rFonts w:hint="eastAsia"/>
          <w:b/>
          <w:bCs/>
        </w:rPr>
        <w:t>）挂牌条件确认与发行设立流程。</w:t>
      </w:r>
    </w:p>
    <w:p w14:paraId="6EEA2D07" w14:textId="77777777" w:rsidR="00525C4A" w:rsidRDefault="004041B3">
      <w:pPr>
        <w:ind w:firstLine="480"/>
      </w:pPr>
      <w:r>
        <w:rPr>
          <w:rFonts w:hint="eastAsia"/>
        </w:rPr>
        <w:t>根据上交</w:t>
      </w:r>
      <w:proofErr w:type="gramStart"/>
      <w:r>
        <w:rPr>
          <w:rFonts w:hint="eastAsia"/>
        </w:rPr>
        <w:t>所资产</w:t>
      </w:r>
      <w:proofErr w:type="gramEnd"/>
      <w:r>
        <w:rPr>
          <w:rFonts w:hint="eastAsia"/>
        </w:rPr>
        <w:t>证券化业务指南，知识产权证券化挂牌条件确认与发行设立流程如下：</w:t>
      </w:r>
    </w:p>
    <w:p w14:paraId="28CE66CC" w14:textId="77777777" w:rsidR="00525C4A" w:rsidRDefault="004041B3">
      <w:pPr>
        <w:ind w:firstLine="480"/>
      </w:pP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提交申请材料：资产支持证券拟在交易所挂牌转让的，计划管理人（券商）应当在资产支持证券发行前向交易所提交挂牌转让申请文件，由交易所确认是否符合挂牌转让条件。计划管理人（券商）应当通过“债券项目申报系统”向交易所提交资产支持证券挂牌转让申请文件。单个或多个管理人向交易所提交同一发起人（原始权益人）开展的多个同类资产支持证券挂牌转让申请的，交易所在前次资产支持证券发行完成之前，对其它同类申请将不予受理。</w:t>
      </w:r>
    </w:p>
    <w:p w14:paraId="114A6053" w14:textId="77777777" w:rsidR="00525C4A" w:rsidRDefault="004041B3">
      <w:pPr>
        <w:ind w:firstLine="480"/>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受理申请：交易所接收计划管理人（券商）提交的挂牌转让申请文件后，在</w:t>
      </w:r>
      <w:r>
        <w:rPr>
          <w:rFonts w:hint="eastAsia"/>
        </w:rPr>
        <w:t>2</w:t>
      </w:r>
      <w:r>
        <w:rPr>
          <w:rFonts w:hint="eastAsia"/>
        </w:rPr>
        <w:t>个工作日内对申请文件是否符合《资产支持证券挂牌转让申请材料清单》及《上海证券交易所资产支持证券挂牌转让申请受理审查指南</w:t>
      </w:r>
      <w:r>
        <w:rPr>
          <w:rFonts w:hint="eastAsia"/>
        </w:rPr>
        <w:t>-</w:t>
      </w:r>
      <w:r>
        <w:rPr>
          <w:rFonts w:hint="eastAsia"/>
        </w:rPr>
        <w:t>申请文件的签章》的要求进行核对。文件齐备的予以受理；文件不齐备的一次性告知补正；明显不符合交易所挂牌条件的，不予受理。补正超过三次仍不符合要求的，交易所将终止申请文件的申报。计划管理人（券商）需要再次申请的，应重新报送申请文件。</w:t>
      </w:r>
    </w:p>
    <w:p w14:paraId="6D5E1D2D" w14:textId="77777777" w:rsidR="00525C4A" w:rsidRDefault="004041B3">
      <w:pPr>
        <w:ind w:firstLine="480"/>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反馈：交易所受理申请文件后，确定两名工作人员进行审议。工作人员对申请文件进行审议后提出审议意见，并提交审议会集体讨论。交易所自受理申请文件之日起</w:t>
      </w:r>
      <w:r>
        <w:rPr>
          <w:rFonts w:hint="eastAsia"/>
        </w:rPr>
        <w:t>10</w:t>
      </w:r>
      <w:r>
        <w:rPr>
          <w:rFonts w:hint="eastAsia"/>
        </w:rPr>
        <w:t>个工作日内，通过申报系统出具书面反馈意见。计划管理人（券商）对书面反馈意见有疑问的，可与审议人员进行沟通。计划管理人（券商）未及时回复且未按规定申请延期回复，或者在延期回复期限内仍不能提交回复文件的，交易所将按照中止情形处理。</w:t>
      </w:r>
    </w:p>
    <w:p w14:paraId="4E923D0F" w14:textId="77777777" w:rsidR="00525C4A" w:rsidRDefault="004041B3">
      <w:pPr>
        <w:ind w:firstLine="480"/>
      </w:pP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审议会确认：审议人员在计划管理人（券商）提交反馈意见回复后</w:t>
      </w:r>
      <w:r>
        <w:rPr>
          <w:rFonts w:hint="eastAsia"/>
        </w:rPr>
        <w:t>5</w:t>
      </w:r>
      <w:r>
        <w:rPr>
          <w:rFonts w:hint="eastAsia"/>
        </w:rPr>
        <w:t>个工作日内，就反馈意见回复及申请文件修改情况再次提交审议会讨论，确定是否符合挂牌转让条件。审议</w:t>
      </w:r>
      <w:proofErr w:type="gramStart"/>
      <w:r>
        <w:rPr>
          <w:rFonts w:hint="eastAsia"/>
        </w:rPr>
        <w:t>会意见</w:t>
      </w:r>
      <w:proofErr w:type="gramEnd"/>
      <w:r>
        <w:rPr>
          <w:rFonts w:hint="eastAsia"/>
        </w:rPr>
        <w:t>分为“通过”、“有条件通过”和“不通过”三种。审议会“通过”，或者审议会“有条件通过”的相关事项落实完毕后，</w:t>
      </w:r>
      <w:proofErr w:type="gramStart"/>
      <w:r>
        <w:rPr>
          <w:rFonts w:hint="eastAsia"/>
        </w:rPr>
        <w:t>进入封卷流程</w:t>
      </w:r>
      <w:proofErr w:type="gramEnd"/>
      <w:r>
        <w:rPr>
          <w:rFonts w:hint="eastAsia"/>
        </w:rPr>
        <w:t>；审议会“不通过”的，交易所向计划管理人（券商）出具不符</w:t>
      </w:r>
      <w:r>
        <w:rPr>
          <w:rFonts w:hint="eastAsia"/>
        </w:rPr>
        <w:lastRenderedPageBreak/>
        <w:t>合挂牌条件的相关文件并告知理由。申请文件存在严重质量问题或存在中介机构明显不勤勉尽责的情形的，交易所可以</w:t>
      </w:r>
      <w:proofErr w:type="gramStart"/>
      <w:r>
        <w:rPr>
          <w:rFonts w:hint="eastAsia"/>
        </w:rPr>
        <w:t>不</w:t>
      </w:r>
      <w:proofErr w:type="gramEnd"/>
      <w:r>
        <w:rPr>
          <w:rFonts w:hint="eastAsia"/>
        </w:rPr>
        <w:t>出具书面反馈意见，</w:t>
      </w:r>
      <w:proofErr w:type="gramStart"/>
      <w:r>
        <w:rPr>
          <w:rFonts w:hint="eastAsia"/>
        </w:rPr>
        <w:t>由审议</w:t>
      </w:r>
      <w:proofErr w:type="gramEnd"/>
      <w:r>
        <w:rPr>
          <w:rFonts w:hint="eastAsia"/>
        </w:rPr>
        <w:t>会直接</w:t>
      </w:r>
      <w:proofErr w:type="gramStart"/>
      <w:r>
        <w:rPr>
          <w:rFonts w:hint="eastAsia"/>
        </w:rPr>
        <w:t>作出</w:t>
      </w:r>
      <w:proofErr w:type="gramEnd"/>
      <w:r>
        <w:rPr>
          <w:rFonts w:hint="eastAsia"/>
        </w:rPr>
        <w:t>“不通过”的会议意见。</w:t>
      </w:r>
    </w:p>
    <w:p w14:paraId="5B3D5013" w14:textId="77777777" w:rsidR="00525C4A" w:rsidRDefault="004041B3">
      <w:pPr>
        <w:ind w:firstLine="480"/>
      </w:pPr>
      <w:r>
        <w:rPr>
          <w:rFonts w:hint="eastAsia"/>
        </w:rPr>
        <w:t>资产支持证券发行完成后，计划管理人（券商）应及时按基金业协会的格式要求向基金业协会提交备案文件，并在备案完成后</w:t>
      </w:r>
      <w:r>
        <w:rPr>
          <w:rFonts w:hint="eastAsia"/>
        </w:rPr>
        <w:t>5</w:t>
      </w:r>
      <w:r>
        <w:rPr>
          <w:rFonts w:hint="eastAsia"/>
        </w:rPr>
        <w:t>个工作日内向交易所提交资产支持证券挂牌。计划管理人（券商）应当指定至少一名资产支持证券业务负责人及一到两名业务联络人，负责办理资产支持证券的挂牌转让申请、后续信息披露及其它相关业务。</w:t>
      </w:r>
    </w:p>
    <w:p w14:paraId="5A35CAC2" w14:textId="4DEE39E8" w:rsidR="00525C4A" w:rsidRDefault="004041B3">
      <w:pPr>
        <w:pStyle w:val="e"/>
        <w:spacing w:beforeLines="0" w:afterLines="0" w:line="560" w:lineRule="exact"/>
        <w:ind w:firstLine="480"/>
        <w:rPr>
          <w:rFonts w:ascii="Times New Roman"/>
          <w:b/>
          <w:bCs/>
        </w:rPr>
      </w:pPr>
      <w:bookmarkStart w:id="51" w:name="_Toc34325618"/>
      <w:r>
        <w:rPr>
          <w:rFonts w:ascii="Times New Roman"/>
          <w:b/>
          <w:bCs/>
        </w:rPr>
        <w:t>图</w:t>
      </w:r>
      <w:r>
        <w:rPr>
          <w:rFonts w:ascii="Times New Roman" w:hint="eastAsia"/>
          <w:b/>
          <w:bCs/>
        </w:rPr>
        <w:t>1</w:t>
      </w:r>
      <w:r w:rsidR="00521AA8">
        <w:rPr>
          <w:rFonts w:ascii="Times New Roman"/>
          <w:b/>
          <w:bCs/>
        </w:rPr>
        <w:t>6</w:t>
      </w:r>
      <w:r>
        <w:rPr>
          <w:rFonts w:ascii="Times New Roman"/>
          <w:b/>
          <w:bCs/>
        </w:rPr>
        <w:t xml:space="preserve">. </w:t>
      </w:r>
      <w:r>
        <w:rPr>
          <w:rFonts w:ascii="Times New Roman"/>
          <w:b/>
          <w:bCs/>
        </w:rPr>
        <w:t>知识产权证券化申请流程</w:t>
      </w:r>
      <w:bookmarkEnd w:id="51"/>
    </w:p>
    <w:p w14:paraId="5CB056DB" w14:textId="77777777" w:rsidR="00525C4A" w:rsidRDefault="004041B3">
      <w:pPr>
        <w:pBdr>
          <w:bottom w:val="single" w:sz="6" w:space="1" w:color="auto"/>
        </w:pBdr>
        <w:spacing w:line="360" w:lineRule="auto"/>
        <w:ind w:firstLine="480"/>
        <w:rPr>
          <w:rFonts w:ascii="仿宋" w:eastAsia="仿宋" w:hAnsi="仿宋"/>
          <w:sz w:val="32"/>
          <w:szCs w:val="32"/>
        </w:rPr>
      </w:pPr>
      <w:r>
        <w:rPr>
          <w:noProof/>
        </w:rPr>
        <w:drawing>
          <wp:inline distT="0" distB="0" distL="0" distR="0" wp14:anchorId="66983801" wp14:editId="78A96A68">
            <wp:extent cx="5113655" cy="268986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34"/>
                    <a:srcRect l="3024"/>
                    <a:stretch>
                      <a:fillRect/>
                    </a:stretch>
                  </pic:blipFill>
                  <pic:spPr>
                    <a:xfrm>
                      <a:off x="0" y="0"/>
                      <a:ext cx="5114803" cy="2690163"/>
                    </a:xfrm>
                    <a:prstGeom prst="rect">
                      <a:avLst/>
                    </a:prstGeom>
                    <a:noFill/>
                    <a:ln>
                      <a:noFill/>
                    </a:ln>
                  </pic:spPr>
                </pic:pic>
              </a:graphicData>
            </a:graphic>
          </wp:inline>
        </w:drawing>
      </w:r>
    </w:p>
    <w:p w14:paraId="7400FC5A" w14:textId="77777777" w:rsidR="00525C4A" w:rsidRDefault="004041B3">
      <w:pPr>
        <w:spacing w:line="360" w:lineRule="auto"/>
        <w:ind w:firstLine="420"/>
        <w:rPr>
          <w:rFonts w:eastAsia="楷体_GB2312"/>
          <w:sz w:val="21"/>
          <w:szCs w:val="21"/>
        </w:rPr>
      </w:pPr>
      <w:r>
        <w:rPr>
          <w:rFonts w:eastAsia="楷体_GB2312"/>
          <w:sz w:val="21"/>
          <w:szCs w:val="21"/>
        </w:rPr>
        <w:t>资料来源：上交</w:t>
      </w:r>
      <w:proofErr w:type="gramStart"/>
      <w:r>
        <w:rPr>
          <w:rFonts w:eastAsia="楷体_GB2312"/>
          <w:sz w:val="21"/>
          <w:szCs w:val="21"/>
        </w:rPr>
        <w:t>所资产</w:t>
      </w:r>
      <w:proofErr w:type="gramEnd"/>
      <w:r>
        <w:rPr>
          <w:rFonts w:eastAsia="楷体_GB2312"/>
          <w:sz w:val="21"/>
          <w:szCs w:val="21"/>
        </w:rPr>
        <w:t>证券化业务指南</w:t>
      </w:r>
      <w:r>
        <w:rPr>
          <w:rFonts w:eastAsia="楷体_GB2312" w:hint="eastAsia"/>
          <w:sz w:val="21"/>
          <w:szCs w:val="21"/>
        </w:rPr>
        <w:t>，</w:t>
      </w:r>
      <w:r>
        <w:rPr>
          <w:rFonts w:eastAsia="楷体_GB2312"/>
          <w:sz w:val="21"/>
          <w:szCs w:val="21"/>
        </w:rPr>
        <w:t>兴业证券经济与金融研究院整理</w:t>
      </w:r>
    </w:p>
    <w:p w14:paraId="64DDFF01" w14:textId="77777777" w:rsidR="00525C4A" w:rsidRDefault="00525C4A">
      <w:pPr>
        <w:ind w:firstLine="480"/>
      </w:pPr>
    </w:p>
    <w:p w14:paraId="338CC260" w14:textId="77777777" w:rsidR="00525C4A" w:rsidRDefault="004041B3">
      <w:pPr>
        <w:pStyle w:val="3"/>
        <w:ind w:firstLine="482"/>
      </w:pPr>
      <w:bookmarkStart w:id="52" w:name="_Toc36378106"/>
      <w:r>
        <w:rPr>
          <w:rFonts w:hint="eastAsia"/>
        </w:rPr>
        <w:t>3</w:t>
      </w:r>
      <w:r>
        <w:rPr>
          <w:rFonts w:hint="eastAsia"/>
        </w:rPr>
        <w:t>、知识产权评估方法</w:t>
      </w:r>
      <w:bookmarkEnd w:id="52"/>
    </w:p>
    <w:p w14:paraId="3A099DC3" w14:textId="77777777" w:rsidR="00525C4A" w:rsidRDefault="004041B3">
      <w:pPr>
        <w:ind w:firstLine="480"/>
      </w:pPr>
      <w:r>
        <w:rPr>
          <w:rFonts w:hint="eastAsia"/>
        </w:rPr>
        <w:t>在知识产权证券化的起始阶段，最重要的工作是进行知识产权价值评估。资产评估机构结合行业特性、企业特点，从知识产权有效性、质量评价、与产品对应性核查等角度，完成基础资产的筛选与评价工作。</w:t>
      </w:r>
    </w:p>
    <w:p w14:paraId="1DF62738" w14:textId="77777777" w:rsidR="00525C4A" w:rsidRDefault="004041B3">
      <w:pPr>
        <w:ind w:firstLine="480"/>
      </w:pPr>
      <w:r>
        <w:rPr>
          <w:rFonts w:hint="eastAsia"/>
        </w:rPr>
        <w:t>通过知识产权价值评估，参与知识产权证券化的各方将获得沟通与判断</w:t>
      </w:r>
      <w:r>
        <w:rPr>
          <w:rFonts w:hint="eastAsia"/>
        </w:rPr>
        <w:lastRenderedPageBreak/>
        <w:t>知识产权价值的共同语言，能有效完成知识产权筛选。</w:t>
      </w:r>
    </w:p>
    <w:p w14:paraId="074B5FF8" w14:textId="77777777" w:rsidR="00525C4A" w:rsidRDefault="004041B3">
      <w:pPr>
        <w:ind w:firstLine="480"/>
      </w:pPr>
      <w:r>
        <w:rPr>
          <w:rFonts w:hint="eastAsia"/>
        </w:rPr>
        <w:t>目前，资产评估机构开展知识产权资产价值评估业务一般沿用传统思路，主要采用成本法、市场法、收益法。</w:t>
      </w:r>
    </w:p>
    <w:p w14:paraId="71AD71A7" w14:textId="77777777" w:rsidR="00525C4A" w:rsidRDefault="004041B3">
      <w:pPr>
        <w:ind w:firstLine="480"/>
      </w:pPr>
      <w:r>
        <w:rPr>
          <w:rFonts w:hint="eastAsia"/>
        </w:rPr>
        <w:t>（</w:t>
      </w:r>
      <w:r>
        <w:t>1</w:t>
      </w:r>
      <w:r>
        <w:rPr>
          <w:rFonts w:hint="eastAsia"/>
        </w:rPr>
        <w:t>）成本法，是指首先估测被评估资产的重置成本，然后估测被评估资产业已存在的各种贬值因素，并将其从重置成本中予以扣除而得到被评估资产价值的各种评估方法的总称。成本法的主要测算依据是根据企业知识产权的研发支出、工时等的统计资料分析、调整得到的合理研发投入、合理劳动量投入等数据。在具体实施中，存在研发支出统计资料不足、难以整理的情况，即难以取得完整的研发投入统计资料，对成本法的适用造成一定的障碍。金融机构关注的是债务人未来的还款能力和违约时的专利处置变现能力，而在成本法的计算过程中是无法体现这种诉求的，因此在评估中较少使用成本法。</w:t>
      </w:r>
    </w:p>
    <w:p w14:paraId="25EDF53A" w14:textId="77777777" w:rsidR="00525C4A" w:rsidRDefault="004041B3">
      <w:pPr>
        <w:ind w:firstLine="480"/>
      </w:pPr>
      <w:r>
        <w:rPr>
          <w:rFonts w:hint="eastAsia"/>
        </w:rPr>
        <w:t>（</w:t>
      </w:r>
      <w:r>
        <w:rPr>
          <w:rFonts w:hint="eastAsia"/>
        </w:rPr>
        <w:t>2</w:t>
      </w:r>
      <w:r>
        <w:rPr>
          <w:rFonts w:hint="eastAsia"/>
        </w:rPr>
        <w:t>）市场法又称市场价格比较法，是指以现行市场价格为标准，借用参照物的现行市场价格，经适当调整后，据以确定资产价格的一种评估方法。市场法从计算思路角度看虽然能够满足金融机构对专利处置变现能力的考察，但从我国目前存在的若干产权交易市场特别是知识产权交易市场实际交易情况来看，高价值知识产权的交易活动并不活跃。存在一定数量交易的一般是低价值知识产权，购买者获取知识产权的目的主要是用于申请相关资质，交易主体一般只关注知识产权的数量而不关注质量。因此，市场法在操作层面也存在诸多障碍。</w:t>
      </w:r>
    </w:p>
    <w:p w14:paraId="34E578BB" w14:textId="77777777" w:rsidR="00525C4A" w:rsidRDefault="004041B3">
      <w:pPr>
        <w:ind w:firstLine="480"/>
      </w:pPr>
      <w:r>
        <w:rPr>
          <w:rFonts w:hint="eastAsia"/>
        </w:rPr>
        <w:t>（</w:t>
      </w:r>
      <w:r>
        <w:t>3</w:t>
      </w:r>
      <w:r>
        <w:rPr>
          <w:rFonts w:hint="eastAsia"/>
        </w:rPr>
        <w:t>）收益法是指通过估算被评估资产未来预期收益，并折算成现值，从而确定被评估资产价值的方法。收益法是从未</w:t>
      </w:r>
      <w:proofErr w:type="gramStart"/>
      <w:r>
        <w:rPr>
          <w:rFonts w:hint="eastAsia"/>
        </w:rPr>
        <w:t>来收益</w:t>
      </w:r>
      <w:proofErr w:type="gramEnd"/>
      <w:r>
        <w:rPr>
          <w:rFonts w:hint="eastAsia"/>
        </w:rPr>
        <w:t>折现的角度测算专利价值，从测算思路角度可以满足金融机构考察债务人未来的还款能力的要求。无形资产评估中的收益</w:t>
      </w:r>
      <w:proofErr w:type="gramStart"/>
      <w:r>
        <w:rPr>
          <w:rFonts w:hint="eastAsia"/>
        </w:rPr>
        <w:t>法具体</w:t>
      </w:r>
      <w:proofErr w:type="gramEnd"/>
      <w:r>
        <w:rPr>
          <w:rFonts w:hint="eastAsia"/>
        </w:rPr>
        <w:t>又分为收益分成法、节省许可费法、增量收益法、超额收益法。收益分成法根据测算途径的不同又可分为销售收入分成法和净利润分成法，由于要考察企业的还款能力，那么与盈利前景有显在对应关系的收益分成法成为最适用的方法。</w:t>
      </w:r>
    </w:p>
    <w:p w14:paraId="62555C6C" w14:textId="77777777" w:rsidR="00525C4A" w:rsidRDefault="004041B3">
      <w:pPr>
        <w:ind w:firstLine="480"/>
      </w:pPr>
      <w:r>
        <w:rPr>
          <w:rFonts w:hint="eastAsia"/>
        </w:rPr>
        <w:t>当前大部分资产评估机构较多办理的是有形资产评估，接触知识产权评估案例不多，在上述基本评估方法的各类参数的取值中对财务数据依赖性较</w:t>
      </w:r>
      <w:r>
        <w:rPr>
          <w:rFonts w:hint="eastAsia"/>
        </w:rPr>
        <w:lastRenderedPageBreak/>
        <w:t>大且主观性较强，不能较好地突出知识产权的特性。同时，传统线下评估包括线下收集信息和资料、现场考察、资料核实等多个环节，其工作繁琐程度和效率问题也使知识产权资产评估不能较好地满足金融类应用场景的需求。</w:t>
      </w:r>
    </w:p>
    <w:p w14:paraId="7FC787CD" w14:textId="77777777" w:rsidR="00525C4A" w:rsidRDefault="004041B3">
      <w:pPr>
        <w:ind w:firstLine="480"/>
      </w:pPr>
      <w:r>
        <w:rPr>
          <w:rFonts w:hint="eastAsia"/>
        </w:rPr>
        <w:t>鉴此，未来知识产权价值评估，将结合知识产权价值分析体系与现有评估方法，从技术分析模块、法律分析模块、市场分析模块，延伸至时效分析模块、风险分析模块及验证模块，在六大模块分析结果基础上，结合成本法、市场法、收益法对知识产权或知识产权组合进行价值评估。具体评估流程如下：</w:t>
      </w:r>
    </w:p>
    <w:p w14:paraId="24B1CB3F" w14:textId="77777777" w:rsidR="00525C4A" w:rsidRDefault="004041B3">
      <w:pPr>
        <w:ind w:firstLine="480"/>
      </w:pPr>
      <w:r>
        <w:rPr>
          <w:rFonts w:hint="eastAsia"/>
        </w:rPr>
        <w:t>一是前期准备。企业用户完成评估项目基本信息录入、评估对象筛选、问卷填写、资料上传等工作，评估机构完成企业现场考察工作。本阶段由企业求提交相关信息、问卷及资料，并配合考察人员进行现场考察。</w:t>
      </w:r>
    </w:p>
    <w:p w14:paraId="53CEE875" w14:textId="77777777" w:rsidR="00525C4A" w:rsidRDefault="004041B3">
      <w:pPr>
        <w:ind w:firstLine="480"/>
      </w:pPr>
      <w:r>
        <w:rPr>
          <w:rFonts w:hint="eastAsia"/>
        </w:rPr>
        <w:t>二是评估分析。在完成知识产权检索的基础上，分别由技术分析人员、法律分析人员完成技术分析、法律分析工作，之后由评估专业人员完成市场分析、时效分析、风险分析、财务分析工作。</w:t>
      </w:r>
    </w:p>
    <w:p w14:paraId="43B8AFAA" w14:textId="77777777" w:rsidR="00525C4A" w:rsidRDefault="004041B3">
      <w:pPr>
        <w:ind w:firstLine="480"/>
      </w:pPr>
      <w:r>
        <w:rPr>
          <w:rFonts w:hint="eastAsia"/>
        </w:rPr>
        <w:t>三是形成评估报告。评估专业人员完成评定估算后，生成评估报告，由审核人员与企业、金融机构进行意见反馈后，出具正式评估报告。</w:t>
      </w:r>
    </w:p>
    <w:p w14:paraId="1F37DA76" w14:textId="77777777" w:rsidR="00525C4A" w:rsidRDefault="004041B3">
      <w:pPr>
        <w:pStyle w:val="3"/>
        <w:ind w:firstLine="482"/>
      </w:pPr>
      <w:bookmarkStart w:id="53" w:name="_Toc36378107"/>
      <w:r>
        <w:rPr>
          <w:rFonts w:hint="eastAsia"/>
        </w:rPr>
        <w:t>4</w:t>
      </w:r>
      <w:r>
        <w:rPr>
          <w:rFonts w:hint="eastAsia"/>
        </w:rPr>
        <w:t>、知识产权证券化涉及的税收制度</w:t>
      </w:r>
      <w:bookmarkEnd w:id="53"/>
    </w:p>
    <w:p w14:paraId="3CC4A235" w14:textId="77777777" w:rsidR="00525C4A" w:rsidRDefault="004041B3">
      <w:pPr>
        <w:ind w:firstLine="480"/>
      </w:pPr>
      <w:r>
        <w:rPr>
          <w:rFonts w:hint="eastAsia"/>
        </w:rPr>
        <w:t>在知识产权证券化交易中，税收直接决定了证券化融资成本的高低，证券化融资结构是否有效。知识产权证券化中的税收需要坚持税收中性和税收成本最小两个原则。税收中性原则是指证券化条件下与非证券化条件下交易各参与方既不能因证券化交易多缴税，也不能少缴税。税收成本最小原则，是指尽量在合法的前提下减少税收负担。知识产证券化税收涉及发起人（原始权益人）税收、特殊目的机构（</w:t>
      </w:r>
      <w:r>
        <w:rPr>
          <w:rFonts w:hint="eastAsia"/>
        </w:rPr>
        <w:t>SPV</w:t>
      </w:r>
      <w:r>
        <w:rPr>
          <w:rFonts w:hint="eastAsia"/>
        </w:rPr>
        <w:t>）税收和投资者税收三块内容。</w:t>
      </w:r>
    </w:p>
    <w:p w14:paraId="5E8F8DB7" w14:textId="77777777" w:rsidR="00525C4A" w:rsidRDefault="004041B3">
      <w:pPr>
        <w:ind w:firstLine="480"/>
      </w:pPr>
      <w:r>
        <w:rPr>
          <w:rFonts w:hint="eastAsia"/>
        </w:rPr>
        <w:t>（</w:t>
      </w:r>
      <w:r>
        <w:rPr>
          <w:rFonts w:hint="eastAsia"/>
        </w:rPr>
        <w:t>1</w:t>
      </w:r>
      <w:r>
        <w:rPr>
          <w:rFonts w:hint="eastAsia"/>
        </w:rPr>
        <w:t>）发起人（原始权益人）税收。发起人（原始权益人）的税收涉及一个重要的问题，即资产转移的方式是真实销售还是担保融资，这两种方式所引致的税收问题有着显著差别：如果发起人（原始权益人）采用真实销售方式转移资产，就必须立即确认收入，在当期就要交税，根据有关规定，买卖合同和财产转让合同都需要缴纳营业税和印花税。如果发起人（原始权益人）采用</w:t>
      </w:r>
      <w:r>
        <w:rPr>
          <w:rFonts w:hint="eastAsia"/>
        </w:rPr>
        <w:lastRenderedPageBreak/>
        <w:t>担保融资，发起人（原始权益人）则无须在得到资产转移收入时立即确认收入，可以在债务人进行偿付时确认收益，并可将支付的利息从应税收人中扣除。</w:t>
      </w:r>
    </w:p>
    <w:p w14:paraId="443C83BE" w14:textId="77777777" w:rsidR="00525C4A" w:rsidRDefault="004041B3">
      <w:pPr>
        <w:ind w:firstLine="480"/>
      </w:pPr>
      <w:r>
        <w:rPr>
          <w:rFonts w:hint="eastAsia"/>
        </w:rPr>
        <w:t>（</w:t>
      </w:r>
      <w:r>
        <w:rPr>
          <w:rFonts w:hint="eastAsia"/>
        </w:rPr>
        <w:t>2</w:t>
      </w:r>
      <w:r>
        <w:rPr>
          <w:rFonts w:hint="eastAsia"/>
        </w:rPr>
        <w:t>）特殊目的机构（</w:t>
      </w:r>
      <w:r>
        <w:rPr>
          <w:rFonts w:hint="eastAsia"/>
        </w:rPr>
        <w:t>SPV</w:t>
      </w:r>
      <w:r>
        <w:rPr>
          <w:rFonts w:hint="eastAsia"/>
        </w:rPr>
        <w:t>）税收。特殊目的机构（</w:t>
      </w:r>
      <w:r>
        <w:rPr>
          <w:rFonts w:hint="eastAsia"/>
        </w:rPr>
        <w:t>SPV</w:t>
      </w:r>
      <w:r>
        <w:rPr>
          <w:rFonts w:hint="eastAsia"/>
        </w:rPr>
        <w:t>）在证券化交易中的一系列活动并没有实质性应税行为内容，实际的经济活动由发起人（原始权益人）和资产支持证券的投资者承担。知识产权证券化交易中的其他服务活动，如信用增级、信用评级、资产管理、现金流收集等，都可以看作是独立的交易，是服务机构业务范围的扩展，对证券化交易的实质内容并没有影响。因此，对于不从事任何管理实务的特殊目的机构（</w:t>
      </w:r>
      <w:r>
        <w:rPr>
          <w:rFonts w:hint="eastAsia"/>
        </w:rPr>
        <w:t>SPV</w:t>
      </w:r>
      <w:r>
        <w:rPr>
          <w:rFonts w:hint="eastAsia"/>
        </w:rPr>
        <w:t>），证券化交易产生的税收由相应主体负责。但对于从事一定管理事务的特殊目的机构（</w:t>
      </w:r>
      <w:r>
        <w:rPr>
          <w:rFonts w:hint="eastAsia"/>
        </w:rPr>
        <w:t>SPV</w:t>
      </w:r>
      <w:r>
        <w:rPr>
          <w:rFonts w:hint="eastAsia"/>
        </w:rPr>
        <w:t>），则应看作是一定程度上从事经营活动的实体进行征税。</w:t>
      </w:r>
    </w:p>
    <w:p w14:paraId="6096D6D4" w14:textId="77777777" w:rsidR="00525C4A" w:rsidRDefault="004041B3">
      <w:pPr>
        <w:ind w:firstLine="480"/>
      </w:pPr>
      <w:r>
        <w:rPr>
          <w:rFonts w:hint="eastAsia"/>
        </w:rPr>
        <w:t>（</w:t>
      </w:r>
      <w:r>
        <w:rPr>
          <w:rFonts w:hint="eastAsia"/>
        </w:rPr>
        <w:t>3</w:t>
      </w:r>
      <w:r>
        <w:rPr>
          <w:rFonts w:hint="eastAsia"/>
        </w:rPr>
        <w:t>）投资者税收。知识产权证券投资者所缴纳的税收统称为证券税收，通常涉及三种税收。一是对知识产权证券交易行为纳税，如印花税等。二是对知识产权证券投资所得纳税。证券投资所得包括债券利息和股票红利收入。三是对证券交易所得纳税。</w:t>
      </w:r>
    </w:p>
    <w:p w14:paraId="15BC75CF" w14:textId="77777777" w:rsidR="00525C4A" w:rsidRDefault="004041B3">
      <w:pPr>
        <w:pStyle w:val="1"/>
      </w:pPr>
      <w:bookmarkStart w:id="54" w:name="_Toc36378108"/>
      <w:r>
        <w:rPr>
          <w:rFonts w:hint="eastAsia"/>
        </w:rPr>
        <w:lastRenderedPageBreak/>
        <w:t>六、推进广东知识产权证券化建议</w:t>
      </w:r>
      <w:bookmarkEnd w:id="54"/>
    </w:p>
    <w:p w14:paraId="7A004429" w14:textId="77777777" w:rsidR="00525C4A" w:rsidRDefault="004041B3">
      <w:pPr>
        <w:ind w:firstLine="480"/>
      </w:pPr>
      <w:r>
        <w:rPr>
          <w:rFonts w:hint="eastAsia"/>
        </w:rPr>
        <w:t>知识产权资本化、证券化工作在广东仍处于初级发展阶段，不论是跨领域的人才、成功的经验与案例等，还是制度建设和理论建设，都有很多工作亟待探索和完善。</w:t>
      </w:r>
    </w:p>
    <w:p w14:paraId="7743E169" w14:textId="77777777" w:rsidR="00525C4A" w:rsidRDefault="004041B3">
      <w:pPr>
        <w:pStyle w:val="2"/>
      </w:pPr>
      <w:bookmarkStart w:id="55" w:name="_Toc36378109"/>
      <w:r>
        <w:rPr>
          <w:rFonts w:hint="eastAsia"/>
        </w:rPr>
        <w:t>（一）政策层面</w:t>
      </w:r>
      <w:bookmarkEnd w:id="55"/>
    </w:p>
    <w:p w14:paraId="022B778D" w14:textId="77777777" w:rsidR="00525C4A" w:rsidRDefault="004041B3">
      <w:pPr>
        <w:ind w:firstLine="480"/>
      </w:pPr>
      <w:r>
        <w:rPr>
          <w:rFonts w:hint="eastAsia"/>
        </w:rPr>
        <w:t>一是加强知识产权工作与市场工作的紧密度。将知识产权工作与研发决策、战略制定、竞争对手分析、市场分析等工作相结合，真正发挥知识产权的市场价值。</w:t>
      </w:r>
    </w:p>
    <w:p w14:paraId="5896202E" w14:textId="77777777" w:rsidR="00525C4A" w:rsidRDefault="004041B3">
      <w:pPr>
        <w:ind w:firstLine="480"/>
      </w:pPr>
      <w:r>
        <w:rPr>
          <w:rFonts w:hint="eastAsia"/>
        </w:rPr>
        <w:t>二是加强审查提高知识产权质量。现阶段存在大量低质量知识产权。因为申请人盲目追求授权证书、代理机构服务质量良莠不齐等众多原因，导致很多知识产权申请流于形式，很多已获准注册的知识产权因质量原因很难能作为策略性资产发挥其市场功能。</w:t>
      </w:r>
    </w:p>
    <w:p w14:paraId="125D7B41" w14:textId="77777777" w:rsidR="00525C4A" w:rsidRDefault="004041B3">
      <w:pPr>
        <w:ind w:firstLine="480"/>
      </w:pPr>
      <w:r>
        <w:rPr>
          <w:rFonts w:hint="eastAsia"/>
        </w:rPr>
        <w:t>三是加速标准、规则的明晰和配套措施的落地。知识产权证券化需要多种类型服务机构共同完成，其中主要涉及知识产权价值评估机构、基础资产信用评级机构、会计及税务服务机构、法律服务机构等。只有通过合理的知识产权价值估值及信用增级，才能让知识产权在金融市场有效地发行债券。但是知识产权作为无形资产，其评估的难度远超普通资产的评估，相当困难和复杂。一旦相关监理、配套机制落地，将促使越来越多的参与者朝着证券化的方向去完善知识产权的评估、信息披露等，有效减少知识产权估值发生偏差。</w:t>
      </w:r>
    </w:p>
    <w:p w14:paraId="274E1E5E" w14:textId="77777777" w:rsidR="00525C4A" w:rsidRDefault="004041B3">
      <w:pPr>
        <w:ind w:firstLine="480"/>
      </w:pPr>
      <w:r>
        <w:rPr>
          <w:rFonts w:hint="eastAsia"/>
        </w:rPr>
        <w:t>四是加大知识产权保护力度。无论是知识产权质押融资，或是知识产权证券化，它们都面临着两个共同的难题与风险：一是知识产权保护与维权；二是知识产权的评价与估值。如果知识产权保护乏力，盗版或仿冒猖獗，则会严重侵害知识产权权利人的利益，直接影响知识产权的评价与估值，更为严重的是，它会严重挫伤企业创新的积极性。加大知识产权投融资的市场环境及金融服务能力建设，必须进一步完善知识产权保护法律体系，构筑司法保护、行政保护、仲裁调解、维权服务综合知识产权保护管理体制。</w:t>
      </w:r>
    </w:p>
    <w:p w14:paraId="7AEFC700" w14:textId="77777777" w:rsidR="00525C4A" w:rsidRDefault="004041B3">
      <w:pPr>
        <w:pStyle w:val="2"/>
      </w:pPr>
      <w:bookmarkStart w:id="56" w:name="_Toc36378110"/>
      <w:r>
        <w:rPr>
          <w:rFonts w:hint="eastAsia"/>
        </w:rPr>
        <w:lastRenderedPageBreak/>
        <w:t>（二）实际操作层面</w:t>
      </w:r>
      <w:bookmarkEnd w:id="56"/>
    </w:p>
    <w:p w14:paraId="5BB23672" w14:textId="77777777" w:rsidR="00525C4A" w:rsidRDefault="004041B3">
      <w:pPr>
        <w:ind w:firstLine="480"/>
      </w:pPr>
      <w:r>
        <w:rPr>
          <w:rFonts w:hint="eastAsia"/>
        </w:rPr>
        <w:t>一是积极组建知识产权包或产业专利池。组建知识产权包或产业</w:t>
      </w:r>
      <w:proofErr w:type="gramStart"/>
      <w:r>
        <w:rPr>
          <w:rFonts w:hint="eastAsia"/>
        </w:rPr>
        <w:t>专利池能规避</w:t>
      </w:r>
      <w:proofErr w:type="gramEnd"/>
      <w:r>
        <w:rPr>
          <w:rFonts w:hint="eastAsia"/>
        </w:rPr>
        <w:t>知识产权证券化三大风险：首先，解决了单个知识产权因资金流有限而无法募集到足够资金的困境；其次，实现了风险对冲，知识产权收益将不会再因为某一项知识产权收益的断绝或者降低而产生剧烈波动，保证了总资金流的稳定；最后，节省了企业知识产权证券化的成本，企业通过将其所有的全部知识产权一次性证券化的方式降低了交易成本。因此，建议一方面鼓励企业将所拥有的知识产权产生的资金流进行捆绑，并作为一个整体来发行证券；另一方面鼓励组建知识产权包或产业专利池，以运营知识产权包或产业专利</w:t>
      </w:r>
      <w:proofErr w:type="gramStart"/>
      <w:r>
        <w:rPr>
          <w:rFonts w:hint="eastAsia"/>
        </w:rPr>
        <w:t>池获得</w:t>
      </w:r>
      <w:proofErr w:type="gramEnd"/>
      <w:r>
        <w:rPr>
          <w:rFonts w:hint="eastAsia"/>
        </w:rPr>
        <w:t>的稳定收益作为基础资产发行知识产权证券化产品。</w:t>
      </w:r>
    </w:p>
    <w:p w14:paraId="5EDF9F89" w14:textId="77777777" w:rsidR="00525C4A" w:rsidRDefault="004041B3">
      <w:pPr>
        <w:ind w:firstLine="480"/>
      </w:pPr>
      <w:r>
        <w:rPr>
          <w:rFonts w:hint="eastAsia"/>
        </w:rPr>
        <w:t>二是成立知识产权包或产业专利池运营机构。如前文所述，通过组建和运营知识产权包或产业专利池有利于发行知识产权证券化产品。在此有一个框架性的设想，基本思路是：首先成立一个专业化的运营机构，企业将其所拥有的知识产权放入知识产权包或产业专利池内，由运营机构负责管理和运营知识产权包或产业专利池，经过运营所产生的稳定收益作为基础资产，发行知识产权证券化产品，帮助拥有知识产权的企业实现融资。</w:t>
      </w:r>
    </w:p>
    <w:p w14:paraId="43F828BB" w14:textId="77777777" w:rsidR="00525C4A" w:rsidRDefault="004041B3">
      <w:pPr>
        <w:ind w:firstLine="480"/>
      </w:pPr>
      <w:r>
        <w:rPr>
          <w:rFonts w:hint="eastAsia"/>
        </w:rPr>
        <w:t>三是发挥专业知识产权评估机构的作用。知识产权价值</w:t>
      </w:r>
      <w:bookmarkStart w:id="57" w:name="_Hlk35786269"/>
      <w:r>
        <w:rPr>
          <w:rFonts w:hint="eastAsia"/>
        </w:rPr>
        <w:t>是可以随着时间变化而变化</w:t>
      </w:r>
      <w:bookmarkEnd w:id="57"/>
      <w:r>
        <w:rPr>
          <w:rFonts w:hint="eastAsia"/>
        </w:rPr>
        <w:t>。在某一时点上，知识产权应当存在一个合理的公允价值，这就需要通过一定的形式对其进行合理评估。由于知识产权评估本身涉及的因素和变量较多，建议由专业的知识产权评估机构</w:t>
      </w:r>
      <w:bookmarkStart w:id="58" w:name="_Hlk35786365"/>
      <w:r>
        <w:rPr>
          <w:rFonts w:hint="eastAsia"/>
        </w:rPr>
        <w:t>完成客观、公允的知识产权价值评估工作</w:t>
      </w:r>
      <w:bookmarkEnd w:id="58"/>
      <w:r>
        <w:rPr>
          <w:rFonts w:hint="eastAsia"/>
        </w:rPr>
        <w:t>，并在实践中不断完善知识产权评估方法。</w:t>
      </w:r>
    </w:p>
    <w:p w14:paraId="223F5F3C" w14:textId="77777777" w:rsidR="00525C4A" w:rsidRDefault="004041B3">
      <w:pPr>
        <w:ind w:firstLine="480"/>
      </w:pPr>
      <w:r>
        <w:rPr>
          <w:rFonts w:hint="eastAsia"/>
        </w:rPr>
        <w:t>四是设立知识产权证券化保险公司。知识产权价值波动较大，除在企业证券化过程中采取组建知识产权池的方式对</w:t>
      </w:r>
      <w:proofErr w:type="gramStart"/>
      <w:r>
        <w:rPr>
          <w:rFonts w:hint="eastAsia"/>
        </w:rPr>
        <w:t>冲风险</w:t>
      </w:r>
      <w:proofErr w:type="gramEnd"/>
      <w:r>
        <w:rPr>
          <w:rFonts w:hint="eastAsia"/>
        </w:rPr>
        <w:t>外，还需要保险公司对知识产权证券化过程中存在的风险进行承保，而普通的保险公司对这类风险进行承保意愿并不高。因此，通过政府引导设立专业的保险机构或者开辟新险种来管理这种投资风险，并尽可能降低知识产权这一证券化的基础财产本身出现侵权、被宣告无效等情形给证券带来的冲击，是比较可行的思路。</w:t>
      </w:r>
    </w:p>
    <w:p w14:paraId="74353758" w14:textId="77777777" w:rsidR="00525C4A" w:rsidRDefault="004041B3">
      <w:pPr>
        <w:ind w:firstLine="480"/>
      </w:pPr>
      <w:r>
        <w:rPr>
          <w:rFonts w:hint="eastAsia"/>
        </w:rPr>
        <w:lastRenderedPageBreak/>
        <w:t>五是设立知识产权证券化项目管理人。项目管理人是经知识产权主管部门认定的证券化项目统筹单位，负责知识产权证券化项目宣讲，沟通第三方机构差额增信，筛选券商、评级机构、评估机构、律师事务所、会计师事务所、证券交易所，负责推动底层资产企业参与知识产权证券化。可靠的项目管理人作为知识产权证券化的关键一环，须具备知识产权证券化项目统筹经验。直接关系到企业能否从资本市场募集到急需的资金，以及普通投资者能否顺利实现预期收益。知识产权证券化实践中，与自律组织相类似的项目管理人负责证券发行，政府并不干预其日常经营活动，仅负责执行法律监督。</w:t>
      </w:r>
    </w:p>
    <w:p w14:paraId="38990DCD" w14:textId="77777777" w:rsidR="00525C4A" w:rsidRDefault="004041B3">
      <w:pPr>
        <w:pStyle w:val="1"/>
      </w:pPr>
      <w:bookmarkStart w:id="59" w:name="_Toc36378111"/>
      <w:r>
        <w:rPr>
          <w:rFonts w:hint="eastAsia"/>
        </w:rPr>
        <w:lastRenderedPageBreak/>
        <w:t>七、开展知识产权证券化实操指引</w:t>
      </w:r>
      <w:bookmarkEnd w:id="59"/>
    </w:p>
    <w:p w14:paraId="62B33B6D" w14:textId="77777777" w:rsidR="00525C4A" w:rsidRDefault="004041B3">
      <w:pPr>
        <w:ind w:firstLine="480"/>
      </w:pPr>
      <w:r>
        <w:rPr>
          <w:rFonts w:hint="eastAsia"/>
        </w:rPr>
        <w:t>广东有不少地区具有知识产权证券化的经济和产业基础，市场需求是原动力，同时还可以针对企业、金融机构及政府三个层面进行开展证券化前期筹备。</w:t>
      </w:r>
    </w:p>
    <w:p w14:paraId="10FBA928" w14:textId="77777777" w:rsidR="00525C4A" w:rsidRDefault="004041B3">
      <w:pPr>
        <w:pStyle w:val="2"/>
      </w:pPr>
      <w:bookmarkStart w:id="60" w:name="_Toc36378112"/>
      <w:r>
        <w:rPr>
          <w:rFonts w:hint="eastAsia"/>
        </w:rPr>
        <w:t>（一）企业层面</w:t>
      </w:r>
      <w:bookmarkEnd w:id="60"/>
    </w:p>
    <w:p w14:paraId="21950DDE" w14:textId="77777777" w:rsidR="00525C4A" w:rsidRDefault="004041B3">
      <w:pPr>
        <w:ind w:firstLine="480"/>
      </w:pPr>
      <w:r>
        <w:t>1</w:t>
      </w:r>
      <w:r>
        <w:t>、及时了解企业融资需求信息。</w:t>
      </w:r>
      <w:r>
        <w:rPr>
          <w:rFonts w:hint="eastAsia"/>
        </w:rPr>
        <w:t>对拥有知识产权的企业进行摸底调查，及时了解企业知识产权证券化需求，并将有知识产权融资需求的企业推荐给银行、券商、服务机构。建议通过建立知识产权工作</w:t>
      </w:r>
      <w:proofErr w:type="gramStart"/>
      <w:r>
        <w:rPr>
          <w:rFonts w:hint="eastAsia"/>
        </w:rPr>
        <w:t>微信群</w:t>
      </w:r>
      <w:proofErr w:type="gramEnd"/>
      <w:r>
        <w:rPr>
          <w:rFonts w:hint="eastAsia"/>
        </w:rPr>
        <w:t>、相关服务机构到企业实地走访等多种方式，为企业开展政策、咨询等服务，向企业宣传介绍融资条件、融资补贴政策等。鼓励有融资需求的企业与银行、服务机构对接，开展知识产权证券化工作。</w:t>
      </w:r>
    </w:p>
    <w:p w14:paraId="6E41C92C" w14:textId="77777777" w:rsidR="00525C4A" w:rsidRDefault="004041B3">
      <w:pPr>
        <w:ind w:firstLine="480"/>
      </w:pPr>
      <w:r>
        <w:t>2</w:t>
      </w:r>
      <w:r>
        <w:t>、鼓励企业向知识产权服务机构购买服务。</w:t>
      </w:r>
      <w:r>
        <w:rPr>
          <w:rFonts w:hint="eastAsia"/>
        </w:rPr>
        <w:t>知识产权管理涉及知识产权价值评估、分析、确权、运营、保护以及企业运营管理、税务管理等多方面工作，每项工作都要求具备较强专业能力。目前，绝大部分企业属于中小企业，专业人员配备不一定能完全满足知识产权管理需求。因此，建议鼓励企业向专业的知识产权服务机构购买上述专业服务，同时增加相关服务的政府资助补助措施。</w:t>
      </w:r>
    </w:p>
    <w:p w14:paraId="6CCFA0C8" w14:textId="77777777" w:rsidR="00525C4A" w:rsidRDefault="004041B3">
      <w:pPr>
        <w:ind w:firstLine="480"/>
      </w:pPr>
      <w:r>
        <w:t>3</w:t>
      </w:r>
      <w:r>
        <w:t>、开展知识产权证券化对接交流活动。</w:t>
      </w:r>
      <w:r>
        <w:rPr>
          <w:rFonts w:hint="eastAsia"/>
        </w:rPr>
        <w:t>深入开展需求调查、政策宣传、项目对接、登记服务、信息跟踪等工作。发挥知识产权服务机构的作用，为企业提供知识产权质押融资价值分析、评估、质押登记备案、质押物流转、咨询和法律援助等一站式综合服务。</w:t>
      </w:r>
    </w:p>
    <w:p w14:paraId="745805F9" w14:textId="77777777" w:rsidR="00525C4A" w:rsidRDefault="004041B3">
      <w:pPr>
        <w:ind w:firstLine="480"/>
      </w:pPr>
      <w:r>
        <w:t>4</w:t>
      </w:r>
      <w:r>
        <w:t>、开展企业知识产权证券化评估费用补助。</w:t>
      </w:r>
      <w:r>
        <w:rPr>
          <w:rFonts w:hint="eastAsia"/>
        </w:rPr>
        <w:t>降低对中小</w:t>
      </w:r>
      <w:proofErr w:type="gramStart"/>
      <w:r>
        <w:rPr>
          <w:rFonts w:hint="eastAsia"/>
        </w:rPr>
        <w:t>微企业</w:t>
      </w:r>
      <w:proofErr w:type="gramEnd"/>
      <w:r>
        <w:rPr>
          <w:rFonts w:hint="eastAsia"/>
        </w:rPr>
        <w:t>融资的审批门槛，减少融资审批的环节和手续，缩短办理时限，降低企业的时间成本，提高融资效率，激发企业竞争活力。</w:t>
      </w:r>
    </w:p>
    <w:p w14:paraId="6FEA2242" w14:textId="77777777" w:rsidR="00525C4A" w:rsidRDefault="004041B3">
      <w:pPr>
        <w:pStyle w:val="2"/>
      </w:pPr>
      <w:bookmarkStart w:id="61" w:name="_Toc36378113"/>
      <w:r>
        <w:rPr>
          <w:rFonts w:hint="eastAsia"/>
        </w:rPr>
        <w:t>（二）金融机构层面</w:t>
      </w:r>
      <w:bookmarkEnd w:id="61"/>
    </w:p>
    <w:p w14:paraId="0431211C" w14:textId="77777777" w:rsidR="00525C4A" w:rsidRDefault="004041B3">
      <w:pPr>
        <w:ind w:firstLine="480"/>
      </w:pPr>
      <w:r>
        <w:lastRenderedPageBreak/>
        <w:t>1</w:t>
      </w:r>
      <w:r>
        <w:t>、鼓励和支持商业银行、券商等金融机构开展知识产权证券化业务</w:t>
      </w:r>
      <w:r>
        <w:rPr>
          <w:rFonts w:hint="eastAsia"/>
        </w:rPr>
        <w:t>。建立和优化金融机构开展知识产权证券化的扶持政策。</w:t>
      </w:r>
    </w:p>
    <w:p w14:paraId="6BCFEEA2" w14:textId="77777777" w:rsidR="00525C4A" w:rsidRDefault="004041B3">
      <w:pPr>
        <w:ind w:firstLine="480"/>
      </w:pPr>
      <w:r>
        <w:t>2</w:t>
      </w:r>
      <w:r>
        <w:t>、深入调查重点企业</w:t>
      </w:r>
      <w:r>
        <w:rPr>
          <w:rFonts w:hint="eastAsia"/>
        </w:rPr>
        <w:t>知识产权</w:t>
      </w:r>
      <w:r>
        <w:t>融资需求</w:t>
      </w:r>
      <w:r>
        <w:rPr>
          <w:rFonts w:hint="eastAsia"/>
        </w:rPr>
        <w:t>。开展金融机构、保险机构、评估机构、服务机构与企业之间的服务对接活动，搭建金融机构与企业互动交流平台，做好对接服务，促进知识产权与金融的融合。</w:t>
      </w:r>
    </w:p>
    <w:p w14:paraId="2302B749" w14:textId="77777777" w:rsidR="00525C4A" w:rsidRDefault="004041B3">
      <w:pPr>
        <w:ind w:firstLine="480"/>
      </w:pPr>
      <w:r>
        <w:t>3</w:t>
      </w:r>
      <w:r>
        <w:t>、推动知识产权金融产品创新和运用。</w:t>
      </w:r>
      <w:r>
        <w:rPr>
          <w:rFonts w:hint="eastAsia"/>
        </w:rPr>
        <w:t>支持知识产权服务机构联合金融机构、担保机构、</w:t>
      </w:r>
      <w:proofErr w:type="gramStart"/>
      <w:r>
        <w:rPr>
          <w:rFonts w:hint="eastAsia"/>
        </w:rPr>
        <w:t>风投机构</w:t>
      </w:r>
      <w:proofErr w:type="gramEnd"/>
      <w:r>
        <w:rPr>
          <w:rFonts w:hint="eastAsia"/>
        </w:rPr>
        <w:t>、评估机构等开展知识产权证券化产品创新，提出风险共担、利益共享的创新性知识产权证券化模式，推出能进行市场运作的知识产权金融产品，降低企业融资难度和成本，提高知识产权证券化效率。</w:t>
      </w:r>
    </w:p>
    <w:p w14:paraId="3A3E3DDE" w14:textId="77777777" w:rsidR="00525C4A" w:rsidRDefault="004041B3">
      <w:pPr>
        <w:pStyle w:val="2"/>
      </w:pPr>
      <w:bookmarkStart w:id="62" w:name="_Toc36378114"/>
      <w:r>
        <w:rPr>
          <w:rFonts w:hint="eastAsia"/>
        </w:rPr>
        <w:t>（三）政府层面</w:t>
      </w:r>
      <w:bookmarkEnd w:id="62"/>
    </w:p>
    <w:p w14:paraId="00D83908" w14:textId="77777777" w:rsidR="00525C4A" w:rsidRDefault="004041B3">
      <w:pPr>
        <w:ind w:firstLine="480"/>
      </w:pPr>
      <w:r>
        <w:t>1</w:t>
      </w:r>
      <w:r>
        <w:t>、整合知识产权资源。</w:t>
      </w:r>
      <w:r>
        <w:rPr>
          <w:rFonts w:hint="eastAsia"/>
        </w:rPr>
        <w:t>加强金融管理部门、知识产权管理部门、科技金融服务中心、知识产权服务机构、金融机构等部门和机构的合作，以高新技术企业、知识产权优势示范企业、科技型中小</w:t>
      </w:r>
      <w:proofErr w:type="gramStart"/>
      <w:r>
        <w:rPr>
          <w:rFonts w:hint="eastAsia"/>
        </w:rPr>
        <w:t>微企业</w:t>
      </w:r>
      <w:proofErr w:type="gramEnd"/>
      <w:r>
        <w:rPr>
          <w:rFonts w:hint="eastAsia"/>
        </w:rPr>
        <w:t>为重点，优化服务流程、压缩办理期限、降低贷款成本，促进知识产权证券化产品，市场化、规模化发展。</w:t>
      </w:r>
    </w:p>
    <w:p w14:paraId="0210910C" w14:textId="77777777" w:rsidR="00525C4A" w:rsidRDefault="004041B3">
      <w:pPr>
        <w:ind w:firstLine="480"/>
      </w:pPr>
      <w:r>
        <w:t>2</w:t>
      </w:r>
      <w:r>
        <w:t>、加强知识产权证券化协同工作体系建设</w:t>
      </w:r>
      <w:r>
        <w:rPr>
          <w:rFonts w:hint="eastAsia"/>
        </w:rPr>
        <w:t>。聘请专业团队完成各地的知识产权证券化需求和可行性分析。组织召开政府各部门知识产权证券化工作会议，总结梳理目前工作情况，有针对性地部署下一步工作，进一步发挥相关部门的组织作用，推动中小</w:t>
      </w:r>
      <w:proofErr w:type="gramStart"/>
      <w:r>
        <w:rPr>
          <w:rFonts w:hint="eastAsia"/>
        </w:rPr>
        <w:t>微企业</w:t>
      </w:r>
      <w:proofErr w:type="gramEnd"/>
      <w:r>
        <w:rPr>
          <w:rFonts w:hint="eastAsia"/>
        </w:rPr>
        <w:t>开展知识产权证券化工作。</w:t>
      </w:r>
    </w:p>
    <w:p w14:paraId="5099221F" w14:textId="77777777" w:rsidR="00525C4A" w:rsidRDefault="004041B3">
      <w:pPr>
        <w:ind w:firstLine="480"/>
      </w:pPr>
      <w:r>
        <w:t>3</w:t>
      </w:r>
      <w:r>
        <w:t>、举办大型对接会，活动现场对知识产权证券化政策进行宣讲，并组织企业与合作金融机构的现场融资需求对接</w:t>
      </w:r>
      <w:r>
        <w:rPr>
          <w:rFonts w:hint="eastAsia"/>
        </w:rPr>
        <w:t>，帮助企业、金融机构和服务机构深入了解相关扶持政策、融资渠道、办理流程等信息。</w:t>
      </w:r>
    </w:p>
    <w:p w14:paraId="1DBEDD69" w14:textId="77777777" w:rsidR="00525C4A" w:rsidRDefault="004041B3">
      <w:pPr>
        <w:ind w:firstLine="480"/>
      </w:pPr>
      <w:r>
        <w:t>4</w:t>
      </w:r>
      <w:r>
        <w:t>、加大知识产权证券化培训力度。</w:t>
      </w:r>
      <w:r>
        <w:rPr>
          <w:rFonts w:hint="eastAsia"/>
        </w:rPr>
        <w:t>开展知识产权证券化政策宣讲和实务培训，帮助企业、金融机构和服务机构深入了解扶持政策、融资渠道、办理流程信息。统筹推进专利导航、知识产权区域布局和分析评议工作。</w:t>
      </w:r>
    </w:p>
    <w:p w14:paraId="3E40BDB7" w14:textId="77777777" w:rsidR="00525C4A" w:rsidRDefault="004041B3">
      <w:pPr>
        <w:ind w:firstLine="480"/>
      </w:pPr>
      <w:r>
        <w:t>5</w:t>
      </w:r>
      <w:r>
        <w:t>、推动以市场主体自发创新知识产权证券化产品为导向的金融产品创新氛围</w:t>
      </w:r>
      <w:r>
        <w:rPr>
          <w:rFonts w:hint="eastAsia"/>
        </w:rPr>
        <w:t>。推动政府和银行、券商机构间合作，金融机构在发现新的市场需求后不断创新自身知识产权证券化产品体系，政府也不断引导银行、券商、服务机构</w:t>
      </w:r>
      <w:r>
        <w:rPr>
          <w:rFonts w:hint="eastAsia"/>
        </w:rPr>
        <w:lastRenderedPageBreak/>
        <w:t>在知识产权证券化领域不断探索，以形成更为完善、更多选择的知识产权证券化产品体系。</w:t>
      </w:r>
    </w:p>
    <w:p w14:paraId="54BAF4A3" w14:textId="77777777" w:rsidR="00525C4A" w:rsidRDefault="004041B3">
      <w:pPr>
        <w:ind w:firstLine="480"/>
      </w:pPr>
      <w:r>
        <w:t>6</w:t>
      </w:r>
      <w:r>
        <w:t>、建设知识产权金融公共服务平台</w:t>
      </w:r>
      <w:r>
        <w:rPr>
          <w:rFonts w:hint="eastAsia"/>
        </w:rPr>
        <w:t>。通过知识产权公共服务平台开展线上及线下的知识产权金融服务，收集企业对知识产权证券化等金融业</w:t>
      </w:r>
      <w:proofErr w:type="gramStart"/>
      <w:r>
        <w:rPr>
          <w:rFonts w:hint="eastAsia"/>
        </w:rPr>
        <w:t>务需</w:t>
      </w:r>
      <w:proofErr w:type="gramEnd"/>
      <w:r>
        <w:rPr>
          <w:rFonts w:hint="eastAsia"/>
        </w:rPr>
        <w:t>求，对接各银行、保险公司、券商等，为企业提供综合性知识产权金融服务。</w:t>
      </w:r>
    </w:p>
    <w:p w14:paraId="23480548" w14:textId="77777777" w:rsidR="00525C4A" w:rsidRDefault="004041B3">
      <w:pPr>
        <w:ind w:firstLine="480"/>
      </w:pPr>
      <w:r>
        <w:t>7</w:t>
      </w:r>
      <w:r>
        <w:t>、建立信息披露机制。</w:t>
      </w:r>
      <w:r>
        <w:rPr>
          <w:rFonts w:hint="eastAsia"/>
        </w:rPr>
        <w:t>知识产权证券化能顺利进行的重要原因在于投资者对该证券的信任，信息公开具有强制性，这对于防止证券欺诈、保障投资者权益起到积极作用，同时证券投资人可以从证券发起人（原始权益人）披露的信息中了解该证券的风险和收益，从而做出是否投资的决策。</w:t>
      </w:r>
    </w:p>
    <w:p w14:paraId="1CFF5C7F" w14:textId="77777777" w:rsidR="00525C4A" w:rsidRDefault="004041B3">
      <w:pPr>
        <w:ind w:firstLine="480"/>
      </w:pPr>
      <w:r>
        <w:t>8</w:t>
      </w:r>
      <w:r>
        <w:t>、</w:t>
      </w:r>
      <w:r>
        <w:rPr>
          <w:rFonts w:hint="eastAsia"/>
        </w:rPr>
        <w:t>完善知识产权证券化风险管理机制。在现行的资产证券化工作体系中，起主导作用的金融机构缺乏具备知识产权工作背景的专业人才，这不仅会影响筛选知识产权资产的效率，也会降低对知识产权价值的判断准确度，从而影响风险控制的效果。在知识产权主管部门指导下，引入具备知识产权实务经验、知识产权价值评估经验的机构，将能帮助金融机构更好地完善知识产权证券化产品风险控制工作。</w:t>
      </w:r>
    </w:p>
    <w:p w14:paraId="0B8C369A" w14:textId="77777777" w:rsidR="00525C4A" w:rsidRDefault="004041B3">
      <w:pPr>
        <w:pStyle w:val="1"/>
      </w:pPr>
      <w:bookmarkStart w:id="63" w:name="_Toc36378115"/>
      <w:r>
        <w:rPr>
          <w:rFonts w:hint="eastAsia"/>
        </w:rPr>
        <w:lastRenderedPageBreak/>
        <w:t>八、结论</w:t>
      </w:r>
      <w:bookmarkEnd w:id="63"/>
    </w:p>
    <w:p w14:paraId="1D1769D8" w14:textId="77777777" w:rsidR="00525C4A" w:rsidRDefault="004041B3">
      <w:pPr>
        <w:ind w:firstLine="480"/>
      </w:pPr>
      <w:r>
        <w:rPr>
          <w:rFonts w:hint="eastAsia"/>
        </w:rPr>
        <w:t>知识产权是知识经济的资源，在发展知识经济中发挥重大作用。知识产权证券化在我国尚属于实践的探索阶段，尽管从理论上具有可操作性，但知识产权更强调的法律权属概念，与作为无形资产的财产概念相比，显然后者的市场行为所体现出的价值表现相对较弱，意味着知识产权市场化运营活动在目前阶段不够成熟，恰恰构成了对知识产权证券化进程的主要障碍。因此，作为广东在推进知识产权证券化过程中，可调动与集中省内的相关各方资源进行整合，选择有基础有需求的地区开展知识产权证券化的尝试与突破，并逐步向全省范围内推广。知识产权证券化也将有助于反向推动广东知识产权商业化运营的活跃程度，从而加速广东知识产权事业的整体发展。</w:t>
      </w:r>
    </w:p>
    <w:p w14:paraId="26444A47" w14:textId="77777777" w:rsidR="00525C4A" w:rsidRDefault="004041B3">
      <w:pPr>
        <w:widowControl/>
        <w:ind w:firstLine="640"/>
        <w:rPr>
          <w:rFonts w:ascii="仿宋" w:eastAsia="仿宋" w:hAnsi="仿宋"/>
          <w:sz w:val="32"/>
          <w:szCs w:val="32"/>
        </w:rPr>
      </w:pPr>
      <w:r>
        <w:rPr>
          <w:rFonts w:ascii="仿宋" w:eastAsia="仿宋" w:hAnsi="仿宋"/>
          <w:sz w:val="32"/>
          <w:szCs w:val="32"/>
        </w:rPr>
        <w:br w:type="page"/>
      </w:r>
    </w:p>
    <w:p w14:paraId="24E25239" w14:textId="77777777" w:rsidR="00525C4A" w:rsidRDefault="004041B3">
      <w:pPr>
        <w:ind w:firstLineChars="0" w:firstLine="0"/>
        <w:rPr>
          <w:b/>
          <w:bCs/>
        </w:rPr>
      </w:pPr>
      <w:r>
        <w:rPr>
          <w:rFonts w:hint="eastAsia"/>
          <w:b/>
          <w:bCs/>
        </w:rPr>
        <w:lastRenderedPageBreak/>
        <w:t>参考资料：</w:t>
      </w:r>
    </w:p>
    <w:p w14:paraId="197912AD" w14:textId="77777777" w:rsidR="00525C4A" w:rsidRDefault="004041B3">
      <w:pPr>
        <w:numPr>
          <w:ilvl w:val="0"/>
          <w:numId w:val="2"/>
        </w:numPr>
        <w:ind w:firstLine="480"/>
      </w:pPr>
      <w:r>
        <w:rPr>
          <w:rFonts w:hint="eastAsia"/>
        </w:rPr>
        <w:t>邓文：知识产权资产价值转化研究，知识产权出版社</w:t>
      </w:r>
      <w:r>
        <w:rPr>
          <w:rFonts w:hint="eastAsia"/>
        </w:rPr>
        <w:t>2019</w:t>
      </w:r>
      <w:r>
        <w:rPr>
          <w:rFonts w:hint="eastAsia"/>
        </w:rPr>
        <w:t>年版</w:t>
      </w:r>
    </w:p>
    <w:p w14:paraId="54CE32A4" w14:textId="77777777" w:rsidR="00525C4A" w:rsidRDefault="004041B3">
      <w:pPr>
        <w:numPr>
          <w:ilvl w:val="0"/>
          <w:numId w:val="2"/>
        </w:numPr>
        <w:ind w:firstLine="480"/>
      </w:pPr>
      <w:proofErr w:type="gramStart"/>
      <w:r>
        <w:rPr>
          <w:rFonts w:hint="eastAsia"/>
        </w:rPr>
        <w:t>锺</w:t>
      </w:r>
      <w:proofErr w:type="gramEnd"/>
      <w:r>
        <w:rPr>
          <w:rFonts w:hint="eastAsia"/>
        </w:rPr>
        <w:t>基立：</w:t>
      </w:r>
      <w:proofErr w:type="gramStart"/>
      <w:r>
        <w:rPr>
          <w:rFonts w:hint="eastAsia"/>
        </w:rPr>
        <w:t>文创与高新产业</w:t>
      </w:r>
      <w:proofErr w:type="gramEnd"/>
      <w:r>
        <w:rPr>
          <w:rFonts w:hint="eastAsia"/>
        </w:rPr>
        <w:t>融资，北京大学出版社</w:t>
      </w:r>
      <w:r>
        <w:rPr>
          <w:rFonts w:hint="eastAsia"/>
        </w:rPr>
        <w:t>2015</w:t>
      </w:r>
      <w:r>
        <w:rPr>
          <w:rFonts w:hint="eastAsia"/>
        </w:rPr>
        <w:t>年版</w:t>
      </w:r>
    </w:p>
    <w:p w14:paraId="05799579" w14:textId="77777777" w:rsidR="00525C4A" w:rsidRDefault="004041B3">
      <w:pPr>
        <w:numPr>
          <w:ilvl w:val="0"/>
          <w:numId w:val="2"/>
        </w:numPr>
        <w:ind w:firstLine="480"/>
      </w:pPr>
      <w:r>
        <w:rPr>
          <w:rFonts w:hint="eastAsia"/>
        </w:rPr>
        <w:t>徐士敏：知识产权证券化的理论与实践，中国金融出版社</w:t>
      </w:r>
      <w:r>
        <w:rPr>
          <w:rFonts w:hint="eastAsia"/>
        </w:rPr>
        <w:t>2019</w:t>
      </w:r>
      <w:r>
        <w:rPr>
          <w:rFonts w:hint="eastAsia"/>
        </w:rPr>
        <w:t>年版</w:t>
      </w:r>
    </w:p>
    <w:p w14:paraId="2467F8E8" w14:textId="77777777" w:rsidR="00525C4A" w:rsidRDefault="004041B3">
      <w:pPr>
        <w:numPr>
          <w:ilvl w:val="0"/>
          <w:numId w:val="2"/>
        </w:numPr>
        <w:ind w:firstLine="480"/>
      </w:pPr>
      <w:r>
        <w:rPr>
          <w:rFonts w:hint="eastAsia"/>
        </w:rPr>
        <w:t>黄伟伦：智慧财产权证券化之探讨，中华科大论文</w:t>
      </w:r>
      <w:r>
        <w:rPr>
          <w:rFonts w:hint="eastAsia"/>
        </w:rPr>
        <w:t>2010</w:t>
      </w:r>
      <w:r>
        <w:rPr>
          <w:rFonts w:hint="eastAsia"/>
        </w:rPr>
        <w:t>年</w:t>
      </w:r>
    </w:p>
    <w:p w14:paraId="43C4ADBA" w14:textId="77777777" w:rsidR="00525C4A" w:rsidRDefault="004041B3">
      <w:pPr>
        <w:numPr>
          <w:ilvl w:val="0"/>
          <w:numId w:val="2"/>
        </w:numPr>
        <w:ind w:firstLine="480"/>
      </w:pPr>
      <w:r>
        <w:rPr>
          <w:rFonts w:hint="eastAsia"/>
        </w:rPr>
        <w:t>靳晓东：专利资产证券化研究，知识产权出版社</w:t>
      </w:r>
    </w:p>
    <w:p w14:paraId="6B49A36A" w14:textId="77777777" w:rsidR="00525C4A" w:rsidRDefault="004041B3">
      <w:pPr>
        <w:numPr>
          <w:ilvl w:val="0"/>
          <w:numId w:val="2"/>
        </w:numPr>
        <w:ind w:firstLine="480"/>
      </w:pPr>
      <w:r>
        <w:rPr>
          <w:rFonts w:hint="eastAsia"/>
        </w:rPr>
        <w:t>董涛：知识产权证券化制度研究，清华大学出版社</w:t>
      </w:r>
    </w:p>
    <w:p w14:paraId="030F1A77" w14:textId="77777777" w:rsidR="00525C4A" w:rsidRDefault="004041B3">
      <w:pPr>
        <w:numPr>
          <w:ilvl w:val="0"/>
          <w:numId w:val="2"/>
        </w:numPr>
        <w:ind w:firstLine="480"/>
      </w:pPr>
      <w:r>
        <w:rPr>
          <w:rFonts w:hint="eastAsia"/>
        </w:rPr>
        <w:t>黄埔区广州开发区知识产权白皮书</w:t>
      </w:r>
      <w:r>
        <w:rPr>
          <w:rFonts w:hint="eastAsia"/>
          <w:spacing w:val="-17"/>
        </w:rPr>
        <w:t>，</w:t>
      </w:r>
      <w:r>
        <w:rPr>
          <w:rFonts w:hint="eastAsia"/>
        </w:rPr>
        <w:t>广州开发区知识产权局</w:t>
      </w:r>
      <w:r>
        <w:rPr>
          <w:rFonts w:hint="eastAsia"/>
          <w:spacing w:val="-17"/>
        </w:rPr>
        <w:t>，</w:t>
      </w:r>
      <w:r>
        <w:rPr>
          <w:rFonts w:hint="eastAsia"/>
        </w:rPr>
        <w:t>2019</w:t>
      </w:r>
      <w:r>
        <w:rPr>
          <w:rFonts w:hint="eastAsia"/>
        </w:rPr>
        <w:t>年</w:t>
      </w:r>
    </w:p>
    <w:p w14:paraId="7576EB91" w14:textId="77777777" w:rsidR="00525C4A" w:rsidRDefault="004041B3">
      <w:pPr>
        <w:numPr>
          <w:ilvl w:val="0"/>
          <w:numId w:val="2"/>
        </w:numPr>
        <w:ind w:firstLine="480"/>
      </w:pPr>
      <w:r>
        <w:rPr>
          <w:rFonts w:hint="eastAsia"/>
        </w:rPr>
        <w:t>智慧财产权月刊第</w:t>
      </w:r>
      <w:r>
        <w:rPr>
          <w:rFonts w:hint="eastAsia"/>
        </w:rPr>
        <w:t>170</w:t>
      </w:r>
      <w:r>
        <w:rPr>
          <w:rFonts w:hint="eastAsia"/>
        </w:rPr>
        <w:t>期，</w:t>
      </w:r>
      <w:r>
        <w:rPr>
          <w:rFonts w:hint="eastAsia"/>
        </w:rPr>
        <w:t>2013</w:t>
      </w:r>
      <w:r>
        <w:rPr>
          <w:rFonts w:hint="eastAsia"/>
        </w:rPr>
        <w:t>年</w:t>
      </w:r>
    </w:p>
    <w:p w14:paraId="6E381D8D" w14:textId="77777777" w:rsidR="00525C4A" w:rsidRDefault="004041B3">
      <w:pPr>
        <w:numPr>
          <w:ilvl w:val="0"/>
          <w:numId w:val="2"/>
        </w:numPr>
        <w:ind w:firstLine="480"/>
      </w:pPr>
      <w:r>
        <w:rPr>
          <w:rFonts w:hint="eastAsia"/>
        </w:rPr>
        <w:t>智慧财产季刊第</w:t>
      </w:r>
      <w:r>
        <w:rPr>
          <w:rFonts w:hint="eastAsia"/>
        </w:rPr>
        <w:t>54</w:t>
      </w:r>
      <w:r>
        <w:rPr>
          <w:rFonts w:hint="eastAsia"/>
        </w:rPr>
        <w:t>期</w:t>
      </w:r>
    </w:p>
    <w:p w14:paraId="79D28F26" w14:textId="77777777" w:rsidR="00525C4A" w:rsidRDefault="004041B3">
      <w:pPr>
        <w:numPr>
          <w:ilvl w:val="0"/>
          <w:numId w:val="2"/>
        </w:numPr>
        <w:ind w:firstLine="480"/>
      </w:pPr>
      <w:r>
        <w:rPr>
          <w:rFonts w:hint="eastAsia"/>
        </w:rPr>
        <w:t>世界知识产权组织第</w:t>
      </w:r>
      <w:r>
        <w:rPr>
          <w:rFonts w:hint="eastAsia"/>
        </w:rPr>
        <w:t>450</w:t>
      </w:r>
      <w:r>
        <w:rPr>
          <w:rFonts w:hint="eastAsia"/>
        </w:rPr>
        <w:t>（</w:t>
      </w:r>
      <w:r>
        <w:rPr>
          <w:rFonts w:hint="eastAsia"/>
        </w:rPr>
        <w:t>C</w:t>
      </w:r>
      <w:r>
        <w:rPr>
          <w:rFonts w:hint="eastAsia"/>
        </w:rPr>
        <w:t>）号出版物</w:t>
      </w:r>
    </w:p>
    <w:p w14:paraId="1DCA986C" w14:textId="77777777" w:rsidR="00525C4A" w:rsidRDefault="00525C4A">
      <w:pPr>
        <w:spacing w:line="560" w:lineRule="exact"/>
        <w:ind w:firstLine="640"/>
        <w:rPr>
          <w:rFonts w:ascii="仿宋" w:eastAsia="仿宋" w:hAnsi="仿宋"/>
          <w:sz w:val="32"/>
          <w:szCs w:val="32"/>
        </w:rPr>
      </w:pPr>
    </w:p>
    <w:p w14:paraId="00462534" w14:textId="77777777" w:rsidR="00525C4A" w:rsidRDefault="00525C4A">
      <w:pPr>
        <w:spacing w:line="560" w:lineRule="exact"/>
        <w:ind w:firstLine="640"/>
        <w:rPr>
          <w:rFonts w:ascii="仿宋" w:eastAsia="仿宋" w:hAnsi="仿宋"/>
          <w:sz w:val="32"/>
          <w:szCs w:val="32"/>
        </w:rPr>
      </w:pPr>
    </w:p>
    <w:p w14:paraId="1E0DF7B0" w14:textId="77777777" w:rsidR="00525C4A" w:rsidRDefault="00525C4A">
      <w:pPr>
        <w:spacing w:line="560" w:lineRule="exact"/>
        <w:ind w:firstLine="640"/>
        <w:rPr>
          <w:rFonts w:ascii="仿宋" w:eastAsia="仿宋" w:hAnsi="仿宋"/>
          <w:sz w:val="32"/>
          <w:szCs w:val="32"/>
        </w:rPr>
      </w:pPr>
    </w:p>
    <w:p w14:paraId="18E3CC78" w14:textId="77777777" w:rsidR="00525C4A" w:rsidRDefault="00525C4A">
      <w:pPr>
        <w:spacing w:line="560" w:lineRule="exact"/>
        <w:ind w:firstLine="640"/>
        <w:rPr>
          <w:rFonts w:ascii="仿宋" w:eastAsia="仿宋" w:hAnsi="仿宋"/>
          <w:sz w:val="32"/>
          <w:szCs w:val="32"/>
        </w:rPr>
      </w:pPr>
    </w:p>
    <w:p w14:paraId="7627DBED" w14:textId="77777777" w:rsidR="00525C4A" w:rsidRDefault="00525C4A">
      <w:pPr>
        <w:spacing w:line="560" w:lineRule="exact"/>
        <w:ind w:firstLine="640"/>
        <w:rPr>
          <w:rFonts w:ascii="仿宋" w:eastAsia="仿宋" w:hAnsi="仿宋"/>
          <w:sz w:val="32"/>
          <w:szCs w:val="32"/>
        </w:rPr>
      </w:pPr>
    </w:p>
    <w:p w14:paraId="722D061C" w14:textId="77777777" w:rsidR="00525C4A" w:rsidRDefault="00525C4A">
      <w:pPr>
        <w:spacing w:line="560" w:lineRule="exact"/>
        <w:ind w:firstLine="640"/>
        <w:rPr>
          <w:rFonts w:ascii="仿宋" w:eastAsia="仿宋" w:hAnsi="仿宋"/>
          <w:sz w:val="32"/>
          <w:szCs w:val="32"/>
        </w:rPr>
      </w:pPr>
    </w:p>
    <w:sectPr w:rsidR="00525C4A">
      <w:footerReference w:type="default" r:id="rId35"/>
      <w:pgSz w:w="10488" w:h="14740"/>
      <w:pgMar w:top="1417" w:right="1247" w:bottom="1417" w:left="1247" w:header="851" w:footer="992" w:gutter="0"/>
      <w:pgNumType w:start="1"/>
      <w:cols w:space="0"/>
      <w:docGrid w:type="lines" w:linePitch="317"/>
    </w:sectPr>
  </w:body>
</w:document>
</file>

<file path=word/customizations.xml><?xml version="1.0" encoding="utf-8"?>
<wne:tcg xmlns:r="http://schemas.openxmlformats.org/officeDocument/2006/relationships" xmlns:wne="http://schemas.microsoft.com/office/word/2006/wordml">
  <wne:keymaps>
    <wne:keymap wne:kcmPrimary="064E">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23386" w14:textId="77777777" w:rsidR="004B136E" w:rsidRDefault="004B136E">
      <w:pPr>
        <w:spacing w:line="240" w:lineRule="auto"/>
        <w:ind w:firstLine="480"/>
      </w:pPr>
      <w:r>
        <w:separator/>
      </w:r>
    </w:p>
  </w:endnote>
  <w:endnote w:type="continuationSeparator" w:id="0">
    <w:p w14:paraId="39ED75CF" w14:textId="77777777" w:rsidR="004B136E" w:rsidRDefault="004B136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楷体_GB2312">
    <w:altName w:val="微软雅黑"/>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charset w:val="00"/>
    <w:family w:val="roman"/>
    <w:pitch w:val="variable"/>
    <w:sig w:usb0="E00006FF" w:usb1="420024FF" w:usb2="02000000" w:usb3="00000000" w:csb0="0000019F"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小标宋_GBK">
    <w:altName w:val="微软雅黑"/>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5738F" w14:textId="77777777" w:rsidR="004041B3" w:rsidRDefault="004041B3">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7EFE6" w14:textId="77777777" w:rsidR="004041B3" w:rsidRDefault="004041B3">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B3E11" w14:textId="77777777" w:rsidR="004041B3" w:rsidRDefault="004041B3">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3DDBE" w14:textId="77777777" w:rsidR="004041B3" w:rsidRDefault="004041B3">
    <w:pPr>
      <w:pStyle w:val="a8"/>
      <w:ind w:firstLine="360"/>
      <w:jc w:val="both"/>
    </w:pPr>
    <w:r>
      <w:rPr>
        <w:noProof/>
      </w:rPr>
      <mc:AlternateContent>
        <mc:Choice Requires="wps">
          <w:drawing>
            <wp:anchor distT="0" distB="0" distL="114300" distR="114300" simplePos="0" relativeHeight="251658240" behindDoc="0" locked="0" layoutInCell="1" allowOverlap="1" wp14:anchorId="206CC3C2" wp14:editId="079EAEF0">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9EF46" w14:textId="77777777" w:rsidR="004041B3" w:rsidRDefault="004041B3">
                          <w:pPr>
                            <w:pStyle w:val="a8"/>
                            <w:ind w:firstLineChars="0" w:firstLine="0"/>
                            <w:rPr>
                              <w:sz w:val="21"/>
                              <w:szCs w:val="21"/>
                            </w:rPr>
                          </w:pPr>
                          <w:r>
                            <w:rPr>
                              <w:rFonts w:hint="eastAsia"/>
                              <w:sz w:val="21"/>
                              <w:szCs w:val="21"/>
                            </w:rPr>
                            <w:t xml:space="preserve">- </w:t>
                          </w: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rFonts w:hint="eastAsia"/>
                              <w:sz w:val="21"/>
                              <w:szCs w:val="21"/>
                            </w:rPr>
                            <w:t>1</w:t>
                          </w:r>
                          <w:r>
                            <w:rPr>
                              <w:rFonts w:hint="eastAsia"/>
                              <w:sz w:val="21"/>
                              <w:szCs w:val="21"/>
                            </w:rPr>
                            <w:fldChar w:fldCharType="end"/>
                          </w:r>
                          <w:r>
                            <w:rPr>
                              <w:rFonts w:hint="eastAsia"/>
                              <w:sz w:val="21"/>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9"/>
                      <w:keepNext w:val="0"/>
                      <w:keepLines w:val="0"/>
                      <w:pageBreakBefore w:val="0"/>
                      <w:widowControl w:val="0"/>
                      <w:kinsoku/>
                      <w:wordWrap/>
                      <w:overflowPunct/>
                      <w:topLinePunct w:val="0"/>
                      <w:autoSpaceDE/>
                      <w:autoSpaceDN/>
                      <w:bidi w:val="0"/>
                      <w:adjustRightInd/>
                      <w:snapToGrid w:val="0"/>
                      <w:ind w:firstLine="0" w:firstLineChars="0"/>
                      <w:textAlignment w:val="auto"/>
                      <w:rPr>
                        <w:rFonts w:hint="default" w:eastAsia="宋体"/>
                        <w:sz w:val="21"/>
                        <w:szCs w:val="21"/>
                        <w:lang w:val="en-US" w:eastAsia="zh-CN"/>
                      </w:rPr>
                    </w:pPr>
                    <w:r>
                      <w:rPr>
                        <w:rFonts w:hint="eastAsia"/>
                        <w:sz w:val="21"/>
                        <w:szCs w:val="21"/>
                        <w:lang w:val="en-US" w:eastAsia="zh-CN"/>
                      </w:rPr>
                      <w:t xml:space="preserve">- </w:t>
                    </w: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r>
                      <w:rPr>
                        <w:rFonts w:hint="eastAsia"/>
                        <w:sz w:val="21"/>
                        <w:szCs w:val="21"/>
                        <w:lang w:val="en-US" w:eastAsia="zh-CN"/>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4B732" w14:textId="77777777" w:rsidR="004B136E" w:rsidRDefault="004B136E">
      <w:pPr>
        <w:spacing w:line="240" w:lineRule="auto"/>
        <w:ind w:firstLine="480"/>
      </w:pPr>
      <w:r>
        <w:separator/>
      </w:r>
    </w:p>
  </w:footnote>
  <w:footnote w:type="continuationSeparator" w:id="0">
    <w:p w14:paraId="4AAB7BB0" w14:textId="77777777" w:rsidR="004B136E" w:rsidRDefault="004B136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4AB00" w14:textId="77777777" w:rsidR="004041B3" w:rsidRDefault="004041B3">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4DB24" w14:textId="77777777" w:rsidR="004041B3" w:rsidRDefault="004041B3">
    <w:pPr>
      <w:pStyle w:val="aa"/>
      <w:pBdr>
        <w:bottom w:val="none" w:sz="0" w:space="0" w:color="auto"/>
      </w:pBdr>
      <w:wordWrap w:val="0"/>
      <w:ind w:firstLine="360"/>
      <w:jc w:val="right"/>
    </w:pP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7117" w14:textId="77777777" w:rsidR="004041B3" w:rsidRDefault="004041B3">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2A01E"/>
    <w:multiLevelType w:val="singleLevel"/>
    <w:tmpl w:val="2592A01E"/>
    <w:lvl w:ilvl="0">
      <w:start w:val="1"/>
      <w:numFmt w:val="decimal"/>
      <w:suff w:val="nothing"/>
      <w:lvlText w:val="%1．"/>
      <w:lvlJc w:val="left"/>
      <w:pPr>
        <w:ind w:left="0" w:firstLine="400"/>
      </w:pPr>
      <w:rPr>
        <w:rFonts w:hint="default"/>
      </w:rPr>
    </w:lvl>
  </w:abstractNum>
  <w:abstractNum w:abstractNumId="1" w15:restartNumberingAfterBreak="0">
    <w:nsid w:val="60AE3052"/>
    <w:multiLevelType w:val="multilevel"/>
    <w:tmpl w:val="60AE3052"/>
    <w:lvl w:ilvl="0">
      <w:start w:val="1"/>
      <w:numFmt w:val="decimal"/>
      <w:pStyle w:val="Style1"/>
      <w:lvlText w:val="%1）"/>
      <w:lvlJc w:val="left"/>
      <w:pPr>
        <w:ind w:left="360" w:hanging="360"/>
      </w:pPr>
      <w:rPr>
        <w:rFonts w:ascii="Times New Roman" w:eastAsia="楷体_GB2312" w:hAnsi="Times New Roman" w:cs="Times New Roman"/>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9"/>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726"/>
    <w:rsid w:val="00006DD8"/>
    <w:rsid w:val="00016851"/>
    <w:rsid w:val="000270E0"/>
    <w:rsid w:val="00035C53"/>
    <w:rsid w:val="0003780A"/>
    <w:rsid w:val="00041F01"/>
    <w:rsid w:val="000522E1"/>
    <w:rsid w:val="00063933"/>
    <w:rsid w:val="000712DA"/>
    <w:rsid w:val="0007161C"/>
    <w:rsid w:val="0008651D"/>
    <w:rsid w:val="00092D6F"/>
    <w:rsid w:val="00094741"/>
    <w:rsid w:val="000A1C26"/>
    <w:rsid w:val="000C48FE"/>
    <w:rsid w:val="000C7109"/>
    <w:rsid w:val="000D421D"/>
    <w:rsid w:val="000D43C0"/>
    <w:rsid w:val="000D4D89"/>
    <w:rsid w:val="000E35C3"/>
    <w:rsid w:val="000E41BE"/>
    <w:rsid w:val="000F0329"/>
    <w:rsid w:val="000F0A37"/>
    <w:rsid w:val="000F683A"/>
    <w:rsid w:val="001016F7"/>
    <w:rsid w:val="00107BAF"/>
    <w:rsid w:val="0011019A"/>
    <w:rsid w:val="001147EC"/>
    <w:rsid w:val="00116EFF"/>
    <w:rsid w:val="001178D2"/>
    <w:rsid w:val="001268AE"/>
    <w:rsid w:val="00135E6B"/>
    <w:rsid w:val="001375A4"/>
    <w:rsid w:val="001411DA"/>
    <w:rsid w:val="00154998"/>
    <w:rsid w:val="00155104"/>
    <w:rsid w:val="001637C6"/>
    <w:rsid w:val="00171915"/>
    <w:rsid w:val="001801F3"/>
    <w:rsid w:val="00181376"/>
    <w:rsid w:val="00184680"/>
    <w:rsid w:val="0019451F"/>
    <w:rsid w:val="001947A3"/>
    <w:rsid w:val="001975C1"/>
    <w:rsid w:val="001A0BD8"/>
    <w:rsid w:val="001A3AB3"/>
    <w:rsid w:val="001B205F"/>
    <w:rsid w:val="001B40F9"/>
    <w:rsid w:val="001B7D9D"/>
    <w:rsid w:val="001D051D"/>
    <w:rsid w:val="001D4F88"/>
    <w:rsid w:val="001E75F4"/>
    <w:rsid w:val="001F52FE"/>
    <w:rsid w:val="00207ACD"/>
    <w:rsid w:val="00226332"/>
    <w:rsid w:val="00227CD1"/>
    <w:rsid w:val="0023135E"/>
    <w:rsid w:val="00235A23"/>
    <w:rsid w:val="00240B67"/>
    <w:rsid w:val="00241850"/>
    <w:rsid w:val="00245A99"/>
    <w:rsid w:val="00247B3C"/>
    <w:rsid w:val="00250141"/>
    <w:rsid w:val="002636F3"/>
    <w:rsid w:val="0026727D"/>
    <w:rsid w:val="00271A2D"/>
    <w:rsid w:val="00273633"/>
    <w:rsid w:val="00282811"/>
    <w:rsid w:val="00284F7E"/>
    <w:rsid w:val="002924E7"/>
    <w:rsid w:val="002956BD"/>
    <w:rsid w:val="002B15BB"/>
    <w:rsid w:val="002B30E9"/>
    <w:rsid w:val="002C1A7D"/>
    <w:rsid w:val="002E11EE"/>
    <w:rsid w:val="002E1DF3"/>
    <w:rsid w:val="002E6DC9"/>
    <w:rsid w:val="002F1077"/>
    <w:rsid w:val="00303A82"/>
    <w:rsid w:val="0030760F"/>
    <w:rsid w:val="00313219"/>
    <w:rsid w:val="00317D46"/>
    <w:rsid w:val="00324366"/>
    <w:rsid w:val="00324B83"/>
    <w:rsid w:val="00326534"/>
    <w:rsid w:val="003352AA"/>
    <w:rsid w:val="0034232D"/>
    <w:rsid w:val="00343A7B"/>
    <w:rsid w:val="00344014"/>
    <w:rsid w:val="00345F44"/>
    <w:rsid w:val="00346911"/>
    <w:rsid w:val="00351096"/>
    <w:rsid w:val="00353256"/>
    <w:rsid w:val="003537CD"/>
    <w:rsid w:val="003624CF"/>
    <w:rsid w:val="00365EEB"/>
    <w:rsid w:val="00367B2D"/>
    <w:rsid w:val="00367E37"/>
    <w:rsid w:val="00372BEF"/>
    <w:rsid w:val="00376EE6"/>
    <w:rsid w:val="0038440B"/>
    <w:rsid w:val="00387EC4"/>
    <w:rsid w:val="00394ABC"/>
    <w:rsid w:val="003A0D02"/>
    <w:rsid w:val="003A3261"/>
    <w:rsid w:val="003A5D23"/>
    <w:rsid w:val="003B19DD"/>
    <w:rsid w:val="003B583F"/>
    <w:rsid w:val="003B750D"/>
    <w:rsid w:val="003C2991"/>
    <w:rsid w:val="003C3293"/>
    <w:rsid w:val="003C52C8"/>
    <w:rsid w:val="003C547B"/>
    <w:rsid w:val="003E6609"/>
    <w:rsid w:val="003E765D"/>
    <w:rsid w:val="004019DD"/>
    <w:rsid w:val="004041B3"/>
    <w:rsid w:val="00407BA4"/>
    <w:rsid w:val="004101E4"/>
    <w:rsid w:val="00415B42"/>
    <w:rsid w:val="00427CE8"/>
    <w:rsid w:val="00436E61"/>
    <w:rsid w:val="0044232C"/>
    <w:rsid w:val="004450A3"/>
    <w:rsid w:val="0045471F"/>
    <w:rsid w:val="00457F67"/>
    <w:rsid w:val="0047269B"/>
    <w:rsid w:val="004809A4"/>
    <w:rsid w:val="00482B5D"/>
    <w:rsid w:val="004A0A51"/>
    <w:rsid w:val="004A0E69"/>
    <w:rsid w:val="004A428F"/>
    <w:rsid w:val="004A644A"/>
    <w:rsid w:val="004B0E62"/>
    <w:rsid w:val="004B136E"/>
    <w:rsid w:val="004C0619"/>
    <w:rsid w:val="004C08EB"/>
    <w:rsid w:val="004C57F8"/>
    <w:rsid w:val="004D3248"/>
    <w:rsid w:val="004D32E5"/>
    <w:rsid w:val="004D5769"/>
    <w:rsid w:val="004D7FD4"/>
    <w:rsid w:val="004E02B4"/>
    <w:rsid w:val="004E0E06"/>
    <w:rsid w:val="004E731D"/>
    <w:rsid w:val="004F7714"/>
    <w:rsid w:val="005136CB"/>
    <w:rsid w:val="00521AA8"/>
    <w:rsid w:val="00523CD1"/>
    <w:rsid w:val="00525B91"/>
    <w:rsid w:val="00525C4A"/>
    <w:rsid w:val="00546317"/>
    <w:rsid w:val="00553047"/>
    <w:rsid w:val="00561CB6"/>
    <w:rsid w:val="00567218"/>
    <w:rsid w:val="005750EF"/>
    <w:rsid w:val="00580301"/>
    <w:rsid w:val="00580E08"/>
    <w:rsid w:val="00587C2C"/>
    <w:rsid w:val="00593098"/>
    <w:rsid w:val="005938A6"/>
    <w:rsid w:val="005A0F7C"/>
    <w:rsid w:val="005A4615"/>
    <w:rsid w:val="005A651E"/>
    <w:rsid w:val="005B5A83"/>
    <w:rsid w:val="005B7A4A"/>
    <w:rsid w:val="005C5265"/>
    <w:rsid w:val="005C5876"/>
    <w:rsid w:val="005E3EFB"/>
    <w:rsid w:val="005E4857"/>
    <w:rsid w:val="005E6871"/>
    <w:rsid w:val="005F0610"/>
    <w:rsid w:val="005F4F28"/>
    <w:rsid w:val="0060062B"/>
    <w:rsid w:val="00600E58"/>
    <w:rsid w:val="00601D45"/>
    <w:rsid w:val="00604176"/>
    <w:rsid w:val="00607F68"/>
    <w:rsid w:val="00620A58"/>
    <w:rsid w:val="00622042"/>
    <w:rsid w:val="00624C2B"/>
    <w:rsid w:val="0062563D"/>
    <w:rsid w:val="006335B0"/>
    <w:rsid w:val="00636744"/>
    <w:rsid w:val="00641DE6"/>
    <w:rsid w:val="006502DD"/>
    <w:rsid w:val="0065033B"/>
    <w:rsid w:val="006549AD"/>
    <w:rsid w:val="00672C28"/>
    <w:rsid w:val="00682632"/>
    <w:rsid w:val="00685B01"/>
    <w:rsid w:val="00693D09"/>
    <w:rsid w:val="00695BC9"/>
    <w:rsid w:val="006A2B43"/>
    <w:rsid w:val="006A4A74"/>
    <w:rsid w:val="006B5C84"/>
    <w:rsid w:val="006D23E5"/>
    <w:rsid w:val="006D7E24"/>
    <w:rsid w:val="006E162E"/>
    <w:rsid w:val="006E3C3A"/>
    <w:rsid w:val="006E5357"/>
    <w:rsid w:val="006E6FE5"/>
    <w:rsid w:val="006F684F"/>
    <w:rsid w:val="007006BD"/>
    <w:rsid w:val="007013B5"/>
    <w:rsid w:val="007056A0"/>
    <w:rsid w:val="00721B53"/>
    <w:rsid w:val="00721E5D"/>
    <w:rsid w:val="0073161A"/>
    <w:rsid w:val="00743FF7"/>
    <w:rsid w:val="00755E4C"/>
    <w:rsid w:val="0075793B"/>
    <w:rsid w:val="0076292C"/>
    <w:rsid w:val="007709FE"/>
    <w:rsid w:val="007711D9"/>
    <w:rsid w:val="007832C9"/>
    <w:rsid w:val="0078799A"/>
    <w:rsid w:val="00795266"/>
    <w:rsid w:val="00795434"/>
    <w:rsid w:val="007B1B3B"/>
    <w:rsid w:val="007B2E4A"/>
    <w:rsid w:val="007B617C"/>
    <w:rsid w:val="007B6748"/>
    <w:rsid w:val="007C3F2A"/>
    <w:rsid w:val="007C5C2E"/>
    <w:rsid w:val="007E05A4"/>
    <w:rsid w:val="007E0E6F"/>
    <w:rsid w:val="007E18D9"/>
    <w:rsid w:val="007E4C07"/>
    <w:rsid w:val="007E524F"/>
    <w:rsid w:val="007E717D"/>
    <w:rsid w:val="0080026B"/>
    <w:rsid w:val="00800F83"/>
    <w:rsid w:val="00802F3E"/>
    <w:rsid w:val="00810138"/>
    <w:rsid w:val="00815392"/>
    <w:rsid w:val="00815C5A"/>
    <w:rsid w:val="00825D51"/>
    <w:rsid w:val="00832D8D"/>
    <w:rsid w:val="00834423"/>
    <w:rsid w:val="00837E70"/>
    <w:rsid w:val="00840269"/>
    <w:rsid w:val="00845F3C"/>
    <w:rsid w:val="00856CC9"/>
    <w:rsid w:val="00860E1F"/>
    <w:rsid w:val="008610D1"/>
    <w:rsid w:val="00864FBB"/>
    <w:rsid w:val="008656AB"/>
    <w:rsid w:val="00874936"/>
    <w:rsid w:val="00874CD8"/>
    <w:rsid w:val="0087614F"/>
    <w:rsid w:val="00877F7A"/>
    <w:rsid w:val="00890866"/>
    <w:rsid w:val="00897FBC"/>
    <w:rsid w:val="008A2B74"/>
    <w:rsid w:val="008A387C"/>
    <w:rsid w:val="008A760F"/>
    <w:rsid w:val="008B14F0"/>
    <w:rsid w:val="008B5BC6"/>
    <w:rsid w:val="008B5D52"/>
    <w:rsid w:val="008C13CF"/>
    <w:rsid w:val="008C1596"/>
    <w:rsid w:val="008C1F2F"/>
    <w:rsid w:val="008C203B"/>
    <w:rsid w:val="008C7A8A"/>
    <w:rsid w:val="008D67E1"/>
    <w:rsid w:val="008E64D6"/>
    <w:rsid w:val="00900517"/>
    <w:rsid w:val="009047A0"/>
    <w:rsid w:val="00911504"/>
    <w:rsid w:val="009163F5"/>
    <w:rsid w:val="009211CB"/>
    <w:rsid w:val="0092214A"/>
    <w:rsid w:val="0092284B"/>
    <w:rsid w:val="00923501"/>
    <w:rsid w:val="00932243"/>
    <w:rsid w:val="00944BA7"/>
    <w:rsid w:val="0094640C"/>
    <w:rsid w:val="0094785E"/>
    <w:rsid w:val="00951F22"/>
    <w:rsid w:val="00952100"/>
    <w:rsid w:val="009604F1"/>
    <w:rsid w:val="0096062B"/>
    <w:rsid w:val="009643C5"/>
    <w:rsid w:val="00964668"/>
    <w:rsid w:val="00981D23"/>
    <w:rsid w:val="00985A29"/>
    <w:rsid w:val="00993707"/>
    <w:rsid w:val="00994064"/>
    <w:rsid w:val="009A288E"/>
    <w:rsid w:val="009B0640"/>
    <w:rsid w:val="009B41AC"/>
    <w:rsid w:val="009C2A64"/>
    <w:rsid w:val="009C3E65"/>
    <w:rsid w:val="009D0059"/>
    <w:rsid w:val="009D1CAC"/>
    <w:rsid w:val="009D3311"/>
    <w:rsid w:val="009D6CB5"/>
    <w:rsid w:val="009E5261"/>
    <w:rsid w:val="009F2354"/>
    <w:rsid w:val="009F3DDD"/>
    <w:rsid w:val="00A03BAE"/>
    <w:rsid w:val="00A03CED"/>
    <w:rsid w:val="00A062C9"/>
    <w:rsid w:val="00A12457"/>
    <w:rsid w:val="00A219A2"/>
    <w:rsid w:val="00A225D5"/>
    <w:rsid w:val="00A227E6"/>
    <w:rsid w:val="00A2307B"/>
    <w:rsid w:val="00A318B5"/>
    <w:rsid w:val="00A3259B"/>
    <w:rsid w:val="00A328AC"/>
    <w:rsid w:val="00A36F73"/>
    <w:rsid w:val="00A37F50"/>
    <w:rsid w:val="00A405B7"/>
    <w:rsid w:val="00A516F3"/>
    <w:rsid w:val="00A5334D"/>
    <w:rsid w:val="00A57F2A"/>
    <w:rsid w:val="00A6387B"/>
    <w:rsid w:val="00A71999"/>
    <w:rsid w:val="00A81946"/>
    <w:rsid w:val="00A8250A"/>
    <w:rsid w:val="00A8338B"/>
    <w:rsid w:val="00A83CA4"/>
    <w:rsid w:val="00A92667"/>
    <w:rsid w:val="00A92852"/>
    <w:rsid w:val="00A9301A"/>
    <w:rsid w:val="00AA3031"/>
    <w:rsid w:val="00AA3F60"/>
    <w:rsid w:val="00AA5C3F"/>
    <w:rsid w:val="00AB2B36"/>
    <w:rsid w:val="00AB3760"/>
    <w:rsid w:val="00AB4B46"/>
    <w:rsid w:val="00AB6183"/>
    <w:rsid w:val="00AC0F73"/>
    <w:rsid w:val="00AE215A"/>
    <w:rsid w:val="00AE5B3A"/>
    <w:rsid w:val="00AF4387"/>
    <w:rsid w:val="00AF628E"/>
    <w:rsid w:val="00B100EE"/>
    <w:rsid w:val="00B248D5"/>
    <w:rsid w:val="00B26829"/>
    <w:rsid w:val="00B340A2"/>
    <w:rsid w:val="00B359A1"/>
    <w:rsid w:val="00B46D71"/>
    <w:rsid w:val="00B55BCE"/>
    <w:rsid w:val="00B55CB2"/>
    <w:rsid w:val="00B65DBB"/>
    <w:rsid w:val="00B7656C"/>
    <w:rsid w:val="00B772B3"/>
    <w:rsid w:val="00B8584B"/>
    <w:rsid w:val="00B85CD2"/>
    <w:rsid w:val="00B85F15"/>
    <w:rsid w:val="00B85F1B"/>
    <w:rsid w:val="00B86E11"/>
    <w:rsid w:val="00B93FED"/>
    <w:rsid w:val="00B94DB3"/>
    <w:rsid w:val="00BA47CE"/>
    <w:rsid w:val="00BB15A3"/>
    <w:rsid w:val="00BC37A1"/>
    <w:rsid w:val="00BC46AB"/>
    <w:rsid w:val="00BD0C87"/>
    <w:rsid w:val="00BD7B60"/>
    <w:rsid w:val="00BD7F4A"/>
    <w:rsid w:val="00BE1645"/>
    <w:rsid w:val="00BE7EDF"/>
    <w:rsid w:val="00BF4DDE"/>
    <w:rsid w:val="00BF79FC"/>
    <w:rsid w:val="00C05EFE"/>
    <w:rsid w:val="00C062D9"/>
    <w:rsid w:val="00C10FF4"/>
    <w:rsid w:val="00C116C4"/>
    <w:rsid w:val="00C13E61"/>
    <w:rsid w:val="00C1717C"/>
    <w:rsid w:val="00C173D6"/>
    <w:rsid w:val="00C1771E"/>
    <w:rsid w:val="00C30AF8"/>
    <w:rsid w:val="00C31406"/>
    <w:rsid w:val="00C34703"/>
    <w:rsid w:val="00C3491C"/>
    <w:rsid w:val="00C44737"/>
    <w:rsid w:val="00C51AE2"/>
    <w:rsid w:val="00C6035F"/>
    <w:rsid w:val="00C62265"/>
    <w:rsid w:val="00C65703"/>
    <w:rsid w:val="00C7185E"/>
    <w:rsid w:val="00C766CD"/>
    <w:rsid w:val="00CB3079"/>
    <w:rsid w:val="00CB3AAC"/>
    <w:rsid w:val="00CC32F7"/>
    <w:rsid w:val="00CC406F"/>
    <w:rsid w:val="00CC45AC"/>
    <w:rsid w:val="00CC572F"/>
    <w:rsid w:val="00CC5A7D"/>
    <w:rsid w:val="00CD3E63"/>
    <w:rsid w:val="00CD4ED3"/>
    <w:rsid w:val="00CE11FD"/>
    <w:rsid w:val="00CE4873"/>
    <w:rsid w:val="00D13623"/>
    <w:rsid w:val="00D16973"/>
    <w:rsid w:val="00D17E98"/>
    <w:rsid w:val="00D17F46"/>
    <w:rsid w:val="00D2774F"/>
    <w:rsid w:val="00D33A32"/>
    <w:rsid w:val="00D34B26"/>
    <w:rsid w:val="00D45E45"/>
    <w:rsid w:val="00D46BD8"/>
    <w:rsid w:val="00D47069"/>
    <w:rsid w:val="00D56F3B"/>
    <w:rsid w:val="00D6084E"/>
    <w:rsid w:val="00D63D30"/>
    <w:rsid w:val="00D76258"/>
    <w:rsid w:val="00D820A2"/>
    <w:rsid w:val="00D832DF"/>
    <w:rsid w:val="00D9069D"/>
    <w:rsid w:val="00D9394A"/>
    <w:rsid w:val="00DA37AD"/>
    <w:rsid w:val="00DA3902"/>
    <w:rsid w:val="00DA4476"/>
    <w:rsid w:val="00DB335B"/>
    <w:rsid w:val="00DB55A4"/>
    <w:rsid w:val="00DC0CD5"/>
    <w:rsid w:val="00DC1888"/>
    <w:rsid w:val="00DC321B"/>
    <w:rsid w:val="00DD39F5"/>
    <w:rsid w:val="00DD60D8"/>
    <w:rsid w:val="00DE0E33"/>
    <w:rsid w:val="00DE11E7"/>
    <w:rsid w:val="00DE50C3"/>
    <w:rsid w:val="00DF007A"/>
    <w:rsid w:val="00E06266"/>
    <w:rsid w:val="00E12325"/>
    <w:rsid w:val="00E123F9"/>
    <w:rsid w:val="00E27966"/>
    <w:rsid w:val="00E34D07"/>
    <w:rsid w:val="00E35991"/>
    <w:rsid w:val="00E36AAB"/>
    <w:rsid w:val="00E46726"/>
    <w:rsid w:val="00E4784B"/>
    <w:rsid w:val="00E54D4D"/>
    <w:rsid w:val="00E569C2"/>
    <w:rsid w:val="00E6257E"/>
    <w:rsid w:val="00E7279F"/>
    <w:rsid w:val="00E73E89"/>
    <w:rsid w:val="00E76968"/>
    <w:rsid w:val="00E76FE3"/>
    <w:rsid w:val="00E80628"/>
    <w:rsid w:val="00E86B92"/>
    <w:rsid w:val="00E90065"/>
    <w:rsid w:val="00EA467F"/>
    <w:rsid w:val="00EA716E"/>
    <w:rsid w:val="00EA744D"/>
    <w:rsid w:val="00EB4EBA"/>
    <w:rsid w:val="00ED035E"/>
    <w:rsid w:val="00ED4705"/>
    <w:rsid w:val="00ED5D0C"/>
    <w:rsid w:val="00EE1C3D"/>
    <w:rsid w:val="00EE3336"/>
    <w:rsid w:val="00EF06E6"/>
    <w:rsid w:val="00EF5F3B"/>
    <w:rsid w:val="00EF71FD"/>
    <w:rsid w:val="00F02C0C"/>
    <w:rsid w:val="00F030B4"/>
    <w:rsid w:val="00F07264"/>
    <w:rsid w:val="00F11C40"/>
    <w:rsid w:val="00F15333"/>
    <w:rsid w:val="00F258EC"/>
    <w:rsid w:val="00F27781"/>
    <w:rsid w:val="00F315B6"/>
    <w:rsid w:val="00F31E90"/>
    <w:rsid w:val="00F4276A"/>
    <w:rsid w:val="00F45C90"/>
    <w:rsid w:val="00F46818"/>
    <w:rsid w:val="00F47704"/>
    <w:rsid w:val="00F63365"/>
    <w:rsid w:val="00F6691B"/>
    <w:rsid w:val="00F74688"/>
    <w:rsid w:val="00F84C55"/>
    <w:rsid w:val="00F91BB4"/>
    <w:rsid w:val="00F95F62"/>
    <w:rsid w:val="00FA2863"/>
    <w:rsid w:val="00FB2342"/>
    <w:rsid w:val="00FB4D7E"/>
    <w:rsid w:val="00FB51A3"/>
    <w:rsid w:val="00FB6BE0"/>
    <w:rsid w:val="00FC0B26"/>
    <w:rsid w:val="00FC1159"/>
    <w:rsid w:val="00FC1E34"/>
    <w:rsid w:val="00FC33CC"/>
    <w:rsid w:val="00FD009B"/>
    <w:rsid w:val="00FD1613"/>
    <w:rsid w:val="00FD3CF1"/>
    <w:rsid w:val="00FE5DA7"/>
    <w:rsid w:val="00FE62CB"/>
    <w:rsid w:val="00FF494E"/>
    <w:rsid w:val="05557DB5"/>
    <w:rsid w:val="09764A65"/>
    <w:rsid w:val="0A957141"/>
    <w:rsid w:val="14BD4DD6"/>
    <w:rsid w:val="15922723"/>
    <w:rsid w:val="163B415E"/>
    <w:rsid w:val="16CB71E9"/>
    <w:rsid w:val="1AAE75F6"/>
    <w:rsid w:val="1BD6108D"/>
    <w:rsid w:val="1C857A0A"/>
    <w:rsid w:val="1CAC6F5F"/>
    <w:rsid w:val="1D4A2274"/>
    <w:rsid w:val="24835217"/>
    <w:rsid w:val="249E3CE6"/>
    <w:rsid w:val="26720C92"/>
    <w:rsid w:val="278B7A77"/>
    <w:rsid w:val="28EA24E1"/>
    <w:rsid w:val="2B2303C6"/>
    <w:rsid w:val="2C9F4735"/>
    <w:rsid w:val="2D163C51"/>
    <w:rsid w:val="301658A3"/>
    <w:rsid w:val="31C97364"/>
    <w:rsid w:val="3249053B"/>
    <w:rsid w:val="33496970"/>
    <w:rsid w:val="34492761"/>
    <w:rsid w:val="357650DB"/>
    <w:rsid w:val="3C431F7F"/>
    <w:rsid w:val="3C8A6CA8"/>
    <w:rsid w:val="3D81159C"/>
    <w:rsid w:val="43CD10A1"/>
    <w:rsid w:val="44CB0DD6"/>
    <w:rsid w:val="46FE2BE4"/>
    <w:rsid w:val="4B0A72B0"/>
    <w:rsid w:val="4D615F15"/>
    <w:rsid w:val="4F005951"/>
    <w:rsid w:val="4F346141"/>
    <w:rsid w:val="55595CCE"/>
    <w:rsid w:val="55654659"/>
    <w:rsid w:val="556C54AD"/>
    <w:rsid w:val="568A5CF1"/>
    <w:rsid w:val="57410BDF"/>
    <w:rsid w:val="5B342EA2"/>
    <w:rsid w:val="5DD9644A"/>
    <w:rsid w:val="5EAF5DD7"/>
    <w:rsid w:val="609E016B"/>
    <w:rsid w:val="63FA7251"/>
    <w:rsid w:val="648E2E5C"/>
    <w:rsid w:val="68D642B3"/>
    <w:rsid w:val="69795370"/>
    <w:rsid w:val="6C41775D"/>
    <w:rsid w:val="70600989"/>
    <w:rsid w:val="7112544D"/>
    <w:rsid w:val="723D6C14"/>
    <w:rsid w:val="735A4018"/>
    <w:rsid w:val="76141095"/>
    <w:rsid w:val="77B11500"/>
    <w:rsid w:val="78D94114"/>
    <w:rsid w:val="796C62DC"/>
    <w:rsid w:val="79B740EC"/>
    <w:rsid w:val="79EB7487"/>
    <w:rsid w:val="7B0C5E67"/>
    <w:rsid w:val="7B714FED"/>
    <w:rsid w:val="7E834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739655"/>
  <w15:docId w15:val="{1916C8F4-7FDD-43B8-83EA-D6050A5D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spacing w:line="420" w:lineRule="exact"/>
      <w:ind w:firstLineChars="200" w:firstLine="880"/>
      <w:jc w:val="both"/>
    </w:pPr>
    <w:rPr>
      <w:rFonts w:eastAsia="宋体"/>
      <w:kern w:val="2"/>
      <w:sz w:val="24"/>
      <w:szCs w:val="22"/>
    </w:rPr>
  </w:style>
  <w:style w:type="paragraph" w:styleId="1">
    <w:name w:val="heading 1"/>
    <w:basedOn w:val="a"/>
    <w:next w:val="a"/>
    <w:link w:val="10"/>
    <w:uiPriority w:val="9"/>
    <w:qFormat/>
    <w:pPr>
      <w:pageBreakBefore/>
      <w:spacing w:before="360" w:after="200" w:line="560" w:lineRule="exact"/>
      <w:ind w:firstLineChars="0" w:firstLine="0"/>
      <w:outlineLvl w:val="0"/>
    </w:pPr>
    <w:rPr>
      <w:rFonts w:eastAsia="黑体"/>
      <w:bCs/>
      <w:kern w:val="44"/>
      <w:sz w:val="28"/>
      <w:szCs w:val="44"/>
    </w:rPr>
  </w:style>
  <w:style w:type="paragraph" w:styleId="2">
    <w:name w:val="heading 2"/>
    <w:basedOn w:val="a"/>
    <w:next w:val="a"/>
    <w:link w:val="20"/>
    <w:uiPriority w:val="9"/>
    <w:unhideWhenUsed/>
    <w:qFormat/>
    <w:pPr>
      <w:spacing w:before="200" w:after="160"/>
      <w:ind w:firstLineChars="0" w:firstLine="0"/>
      <w:outlineLvl w:val="1"/>
    </w:pPr>
    <w:rPr>
      <w:rFonts w:asciiTheme="majorHAnsi" w:eastAsia="楷体_GB2312" w:hAnsiTheme="majorHAnsi" w:cstheme="majorBidi"/>
      <w:b/>
      <w:bCs/>
      <w:szCs w:val="32"/>
    </w:rPr>
  </w:style>
  <w:style w:type="paragraph" w:styleId="3">
    <w:name w:val="heading 3"/>
    <w:basedOn w:val="a"/>
    <w:next w:val="a"/>
    <w:link w:val="30"/>
    <w:uiPriority w:val="9"/>
    <w:unhideWhenUsed/>
    <w:qFormat/>
    <w:pPr>
      <w:spacing w:before="160" w:after="10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unhideWhenUsed/>
    <w:qFormat/>
    <w:pPr>
      <w:ind w:leftChars="400" w:left="840"/>
    </w:p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character" w:styleId="ac">
    <w:name w:val="Hyperlink"/>
    <w:basedOn w:val="a0"/>
    <w:uiPriority w:val="99"/>
    <w:unhideWhenUsed/>
    <w:qFormat/>
    <w:rPr>
      <w:color w:val="0000FF" w:themeColor="hyperlink"/>
      <w:u w:val="single"/>
    </w:rPr>
  </w:style>
  <w:style w:type="character" w:styleId="ad">
    <w:name w:val="annotation reference"/>
    <w:basedOn w:val="a0"/>
    <w:uiPriority w:val="99"/>
    <w:semiHidden/>
    <w:unhideWhenUsed/>
    <w:qFormat/>
    <w:rPr>
      <w:sz w:val="21"/>
      <w:szCs w:val="21"/>
    </w:rPr>
  </w:style>
  <w:style w:type="paragraph" w:customStyle="1" w:styleId="11">
    <w:name w:val="列表段落1"/>
    <w:basedOn w:val="a"/>
    <w:uiPriority w:val="34"/>
    <w:qFormat/>
    <w:pPr>
      <w:ind w:firstLine="420"/>
    </w:p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paragraph" w:customStyle="1" w:styleId="g">
    <w:name w:val=".g表头"/>
    <w:qFormat/>
    <w:rPr>
      <w:rFonts w:ascii="幼圆" w:eastAsia="楷体_GB2312" w:hAnsi="Times New Roman" w:cs="Times New Roman"/>
      <w:b/>
      <w:color w:val="000000"/>
      <w:kern w:val="2"/>
      <w:sz w:val="21"/>
      <w:szCs w:val="21"/>
    </w:rPr>
  </w:style>
  <w:style w:type="paragraph" w:customStyle="1" w:styleId="i">
    <w:name w:val=".i兴证表格段落"/>
    <w:basedOn w:val="a"/>
    <w:qFormat/>
    <w:pPr>
      <w:framePr w:wrap="notBeside" w:vAnchor="text" w:hAnchor="text" w:y="1"/>
    </w:pPr>
    <w:rPr>
      <w:rFonts w:ascii="幼圆" w:eastAsia="楷体_GB2312" w:hAnsi="宋体" w:cs="Times New Roman"/>
      <w:color w:val="000000"/>
      <w:sz w:val="18"/>
      <w:szCs w:val="24"/>
    </w:rPr>
  </w:style>
  <w:style w:type="paragraph" w:customStyle="1" w:styleId="Style1">
    <w:name w:val="Style1"/>
    <w:basedOn w:val="a"/>
    <w:link w:val="Style1Char"/>
    <w:qFormat/>
    <w:pPr>
      <w:numPr>
        <w:numId w:val="1"/>
      </w:numPr>
      <w:tabs>
        <w:tab w:val="left" w:pos="2918"/>
      </w:tabs>
      <w:spacing w:before="120" w:afterLines="50"/>
      <w:ind w:rightChars="65" w:right="136"/>
      <w:outlineLvl w:val="2"/>
    </w:pPr>
    <w:rPr>
      <w:rFonts w:ascii="Times New Roman" w:eastAsia="楷体_GB2312" w:hAnsi="Times New Roman" w:cs="Times New Roman"/>
      <w:szCs w:val="21"/>
    </w:rPr>
  </w:style>
  <w:style w:type="character" w:customStyle="1" w:styleId="Style1Char">
    <w:name w:val="Style1 Char"/>
    <w:link w:val="Style1"/>
    <w:qFormat/>
    <w:rPr>
      <w:rFonts w:ascii="Times New Roman" w:eastAsia="楷体_GB2312" w:hAnsi="Times New Roman" w:cs="Times New Roman"/>
      <w:szCs w:val="21"/>
    </w:rPr>
  </w:style>
  <w:style w:type="character" w:customStyle="1" w:styleId="hChar">
    <w:name w:val=".h图头 Char"/>
    <w:link w:val="h"/>
    <w:qFormat/>
    <w:rPr>
      <w:rFonts w:ascii="幼圆" w:eastAsia="楷体_GB2312"/>
      <w:b/>
      <w:color w:val="000000"/>
      <w:szCs w:val="21"/>
    </w:rPr>
  </w:style>
  <w:style w:type="paragraph" w:customStyle="1" w:styleId="h">
    <w:name w:val=".h图头"/>
    <w:link w:val="hChar"/>
    <w:qFormat/>
    <w:rPr>
      <w:rFonts w:ascii="幼圆" w:eastAsia="楷体_GB2312"/>
      <w:b/>
      <w:color w:val="000000"/>
      <w:kern w:val="2"/>
      <w:sz w:val="21"/>
      <w:szCs w:val="21"/>
    </w:rPr>
  </w:style>
  <w:style w:type="character" w:customStyle="1" w:styleId="mChar">
    <w:name w:val=".m表格文字 Char"/>
    <w:link w:val="m"/>
    <w:qFormat/>
    <w:rPr>
      <w:rFonts w:eastAsia="楷体_GB2312"/>
      <w:bCs/>
      <w:color w:val="000000"/>
      <w:sz w:val="18"/>
      <w:szCs w:val="24"/>
    </w:rPr>
  </w:style>
  <w:style w:type="paragraph" w:customStyle="1" w:styleId="m">
    <w:name w:val=".m表格文字"/>
    <w:basedOn w:val="a"/>
    <w:link w:val="mChar"/>
    <w:qFormat/>
    <w:rPr>
      <w:rFonts w:eastAsia="楷体_GB2312"/>
      <w:bCs/>
      <w:color w:val="000000"/>
      <w:sz w:val="18"/>
      <w:szCs w:val="24"/>
    </w:rPr>
  </w:style>
  <w:style w:type="character" w:customStyle="1" w:styleId="eChar">
    <w:name w:val=".e兴证报告正文 Char"/>
    <w:link w:val="e"/>
    <w:qFormat/>
    <w:rPr>
      <w:rFonts w:eastAsia="楷体_GB2312"/>
      <w:szCs w:val="21"/>
    </w:rPr>
  </w:style>
  <w:style w:type="paragraph" w:customStyle="1" w:styleId="e">
    <w:name w:val=".e兴证报告正文"/>
    <w:basedOn w:val="a"/>
    <w:link w:val="eChar"/>
    <w:qFormat/>
    <w:pPr>
      <w:spacing w:beforeLines="50" w:afterLines="50" w:line="360" w:lineRule="auto"/>
    </w:pPr>
    <w:rPr>
      <w:rFonts w:eastAsia="楷体_GB2312"/>
      <w:szCs w:val="21"/>
    </w:rPr>
  </w:style>
  <w:style w:type="character" w:customStyle="1" w:styleId="a7">
    <w:name w:val="批注框文本 字符"/>
    <w:basedOn w:val="a0"/>
    <w:link w:val="a6"/>
    <w:uiPriority w:val="99"/>
    <w:semiHidden/>
    <w:qFormat/>
    <w:rPr>
      <w:sz w:val="18"/>
      <w:szCs w:val="18"/>
    </w:rPr>
  </w:style>
  <w:style w:type="character" w:customStyle="1" w:styleId="bjh-p">
    <w:name w:val="bjh-p"/>
    <w:qFormat/>
  </w:style>
  <w:style w:type="character" w:customStyle="1" w:styleId="10">
    <w:name w:val="标题 1 字符"/>
    <w:basedOn w:val="a0"/>
    <w:link w:val="1"/>
    <w:uiPriority w:val="9"/>
    <w:qFormat/>
    <w:rPr>
      <w:rFonts w:asciiTheme="minorHAnsi" w:eastAsia="黑体" w:hAnsiTheme="minorHAnsi"/>
      <w:bCs/>
      <w:kern w:val="44"/>
      <w:sz w:val="28"/>
      <w:szCs w:val="44"/>
    </w:rPr>
  </w:style>
  <w:style w:type="character" w:customStyle="1" w:styleId="20">
    <w:name w:val="标题 2 字符"/>
    <w:basedOn w:val="a0"/>
    <w:link w:val="2"/>
    <w:uiPriority w:val="9"/>
    <w:qFormat/>
    <w:rPr>
      <w:rFonts w:asciiTheme="majorHAnsi" w:eastAsia="楷体_GB2312" w:hAnsiTheme="majorHAnsi" w:cstheme="majorBidi"/>
      <w:b/>
      <w:bCs/>
      <w:sz w:val="24"/>
      <w:szCs w:val="32"/>
    </w:rPr>
  </w:style>
  <w:style w:type="character" w:customStyle="1" w:styleId="30">
    <w:name w:val="标题 3 字符"/>
    <w:basedOn w:val="a0"/>
    <w:link w:val="3"/>
    <w:uiPriority w:val="9"/>
    <w:qFormat/>
    <w:rPr>
      <w:rFonts w:eastAsia="宋体"/>
      <w:b/>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2.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chart" Target="charts/chart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2.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Sheet1!$G$1</c:f>
              <c:strCache>
                <c:ptCount val="1"/>
                <c:pt idx="0">
                  <c:v>贷款余额（万元）</c:v>
                </c:pt>
              </c:strCache>
            </c:strRef>
          </c:tx>
          <c:spPr>
            <a:solidFill>
              <a:schemeClr val="accent3">
                <a:lumMod val="60000"/>
                <a:lumOff val="40000"/>
              </a:schemeClr>
            </a:solidFill>
          </c:spPr>
          <c:invertIfNegative val="0"/>
          <c:dLbls>
            <c:numFmt formatCode="#,##0_);[Red]\(#,##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Sheet1!$F$2:$F$4</c:f>
              <c:strCache>
                <c:ptCount val="3"/>
                <c:pt idx="0">
                  <c:v>实用新型专利</c:v>
                </c:pt>
                <c:pt idx="1">
                  <c:v>发明专利</c:v>
                </c:pt>
                <c:pt idx="2">
                  <c:v>软件著作权</c:v>
                </c:pt>
              </c:strCache>
            </c:strRef>
          </c:cat>
          <c:val>
            <c:numRef>
              <c:f>Sheet1!$G$2:$G$4</c:f>
              <c:numCache>
                <c:formatCode>General</c:formatCode>
                <c:ptCount val="3"/>
                <c:pt idx="0">
                  <c:v>8600</c:v>
                </c:pt>
                <c:pt idx="1">
                  <c:v>2300</c:v>
                </c:pt>
                <c:pt idx="2">
                  <c:v>1500</c:v>
                </c:pt>
              </c:numCache>
            </c:numRef>
          </c:val>
          <c:extLst>
            <c:ext xmlns:c16="http://schemas.microsoft.com/office/drawing/2014/chart" uri="{C3380CC4-5D6E-409C-BE32-E72D297353CC}">
              <c16:uniqueId val="{00000000-8074-4A53-9454-92B8013959EE}"/>
            </c:ext>
          </c:extLst>
        </c:ser>
        <c:dLbls>
          <c:showLegendKey val="0"/>
          <c:showVal val="0"/>
          <c:showCatName val="0"/>
          <c:showSerName val="0"/>
          <c:showPercent val="0"/>
          <c:showBubbleSize val="0"/>
        </c:dLbls>
        <c:gapWidth val="150"/>
        <c:axId val="612459544"/>
        <c:axId val="612459936"/>
      </c:barChart>
      <c:lineChart>
        <c:grouping val="standard"/>
        <c:varyColors val="0"/>
        <c:ser>
          <c:idx val="1"/>
          <c:order val="1"/>
          <c:tx>
            <c:strRef>
              <c:f>Sheet1!$H$1</c:f>
              <c:strCache>
                <c:ptCount val="1"/>
                <c:pt idx="0">
                  <c:v>占比</c:v>
                </c:pt>
              </c:strCache>
            </c:strRef>
          </c:tx>
          <c:spPr>
            <a:ln w="19050" cap="rnd" cmpd="sng" algn="ctr">
              <a:solidFill>
                <a:schemeClr val="tx2">
                  <a:lumMod val="60000"/>
                  <a:lumOff val="40000"/>
                </a:schemeClr>
              </a:solidFill>
              <a:prstDash val="solid"/>
              <a:round/>
            </a:ln>
          </c:spPr>
          <c:marker>
            <c:symbol val="triangle"/>
            <c:size val="5"/>
            <c:spPr>
              <a:solidFill>
                <a:schemeClr val="tx2">
                  <a:lumMod val="40000"/>
                  <a:lumOff val="60000"/>
                </a:schemeClr>
              </a:solidFill>
              <a:ln w="9525" cap="flat" cmpd="sng" algn="ctr">
                <a:noFill/>
                <a:prstDash val="solid"/>
                <a:round/>
              </a:ln>
            </c:spPr>
          </c:marker>
          <c:cat>
            <c:strRef>
              <c:f>Sheet1!$F$2:$F$4</c:f>
              <c:strCache>
                <c:ptCount val="3"/>
                <c:pt idx="0">
                  <c:v>实用新型专利</c:v>
                </c:pt>
                <c:pt idx="1">
                  <c:v>发明专利</c:v>
                </c:pt>
                <c:pt idx="2">
                  <c:v>软件著作权</c:v>
                </c:pt>
              </c:strCache>
            </c:strRef>
          </c:cat>
          <c:val>
            <c:numRef>
              <c:f>Sheet1!$H$2:$H$4</c:f>
              <c:numCache>
                <c:formatCode>0.00%</c:formatCode>
                <c:ptCount val="3"/>
                <c:pt idx="0">
                  <c:v>0.69350000000000001</c:v>
                </c:pt>
                <c:pt idx="1">
                  <c:v>0.1855</c:v>
                </c:pt>
                <c:pt idx="2">
                  <c:v>0.121</c:v>
                </c:pt>
              </c:numCache>
            </c:numRef>
          </c:val>
          <c:smooth val="0"/>
          <c:extLst>
            <c:ext xmlns:c16="http://schemas.microsoft.com/office/drawing/2014/chart" uri="{C3380CC4-5D6E-409C-BE32-E72D297353CC}">
              <c16:uniqueId val="{00000001-8074-4A53-9454-92B8013959EE}"/>
            </c:ext>
          </c:extLst>
        </c:ser>
        <c:dLbls>
          <c:showLegendKey val="0"/>
          <c:showVal val="0"/>
          <c:showCatName val="0"/>
          <c:showSerName val="0"/>
          <c:showPercent val="0"/>
          <c:showBubbleSize val="0"/>
        </c:dLbls>
        <c:marker val="1"/>
        <c:smooth val="0"/>
        <c:axId val="757620456"/>
        <c:axId val="612460328"/>
      </c:lineChart>
      <c:catAx>
        <c:axId val="61245954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crossAx val="612459936"/>
        <c:crosses val="autoZero"/>
        <c:auto val="1"/>
        <c:lblAlgn val="ctr"/>
        <c:lblOffset val="100"/>
        <c:noMultiLvlLbl val="0"/>
      </c:catAx>
      <c:valAx>
        <c:axId val="612459936"/>
        <c:scaling>
          <c:orientation val="minMax"/>
        </c:scaling>
        <c:delete val="0"/>
        <c:axPos val="l"/>
        <c:numFmt formatCode="#,##0_);[Red]\(#,##0\)"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crossAx val="612459544"/>
        <c:crosses val="autoZero"/>
        <c:crossBetween val="between"/>
        <c:majorUnit val="2000"/>
      </c:valAx>
      <c:catAx>
        <c:axId val="757620456"/>
        <c:scaling>
          <c:orientation val="minMax"/>
        </c:scaling>
        <c:delete val="1"/>
        <c:axPos val="b"/>
        <c:numFmt formatCode="General" sourceLinked="1"/>
        <c:majorTickMark val="out"/>
        <c:minorTickMark val="none"/>
        <c:tickLblPos val="nextTo"/>
        <c:crossAx val="612460328"/>
        <c:crosses val="autoZero"/>
        <c:auto val="1"/>
        <c:lblAlgn val="ctr"/>
        <c:lblOffset val="100"/>
        <c:noMultiLvlLbl val="0"/>
      </c:catAx>
      <c:valAx>
        <c:axId val="612460328"/>
        <c:scaling>
          <c:orientation val="minMax"/>
        </c:scaling>
        <c:delete val="0"/>
        <c:axPos val="r"/>
        <c:numFmt formatCode="0%"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crossAx val="757620456"/>
        <c:crosses val="max"/>
        <c:crossBetween val="between"/>
        <c:majorUnit val="0.2"/>
      </c:valAx>
    </c:plotArea>
    <c:legend>
      <c:legendPos val="t"/>
      <c:overlay val="0"/>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legend>
    <c:plotVisOnly val="1"/>
    <c:dispBlanksAs val="gap"/>
    <c:showDLblsOverMax val="0"/>
  </c:chart>
  <c:spPr>
    <a:ln w="9525" cap="flat" cmpd="sng" algn="ctr">
      <a:noFill/>
      <a:prstDash val="solid"/>
      <a:round/>
    </a:ln>
  </c:spPr>
  <c:txPr>
    <a:bodyPr/>
    <a:lstStyle/>
    <a:p>
      <a:pPr>
        <a:defRPr lang="zh-CN" sz="1200" baseline="0">
          <a:latin typeface="Times New Roman" panose="02020603050405020304" charset="0"/>
          <a:ea typeface="楷体_GB2312" panose="02010609030101010101" pitchFamily="3" charset="-122"/>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Sheet1!$C$27</c:f>
              <c:strCache>
                <c:ptCount val="1"/>
                <c:pt idx="0">
                  <c:v>贷款余额（万元）</c:v>
                </c:pt>
              </c:strCache>
            </c:strRef>
          </c:tx>
          <c:spPr>
            <a:solidFill>
              <a:schemeClr val="accent3">
                <a:lumMod val="60000"/>
                <a:lumOff val="40000"/>
              </a:schemeClr>
            </a:solidFill>
          </c:spPr>
          <c:invertIfNegative val="0"/>
          <c:dLbls>
            <c:numFmt formatCode="#,##0_);[Red]\(#,##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Sheet1!$B$28:$B$33</c:f>
              <c:strCache>
                <c:ptCount val="6"/>
                <c:pt idx="0">
                  <c:v>南山区</c:v>
                </c:pt>
                <c:pt idx="1">
                  <c:v>福田区</c:v>
                </c:pt>
                <c:pt idx="2">
                  <c:v>光明新区</c:v>
                </c:pt>
                <c:pt idx="3">
                  <c:v>宝安区</c:v>
                </c:pt>
                <c:pt idx="4">
                  <c:v>龙华区</c:v>
                </c:pt>
                <c:pt idx="5">
                  <c:v>龙岗区</c:v>
                </c:pt>
              </c:strCache>
            </c:strRef>
          </c:cat>
          <c:val>
            <c:numRef>
              <c:f>Sheet1!$C$28:$C$33</c:f>
              <c:numCache>
                <c:formatCode>General</c:formatCode>
                <c:ptCount val="6"/>
                <c:pt idx="0">
                  <c:v>4300</c:v>
                </c:pt>
                <c:pt idx="1">
                  <c:v>2500</c:v>
                </c:pt>
                <c:pt idx="2">
                  <c:v>2300</c:v>
                </c:pt>
                <c:pt idx="3">
                  <c:v>2000</c:v>
                </c:pt>
                <c:pt idx="4">
                  <c:v>1000</c:v>
                </c:pt>
                <c:pt idx="5">
                  <c:v>300</c:v>
                </c:pt>
              </c:numCache>
            </c:numRef>
          </c:val>
          <c:extLst>
            <c:ext xmlns:c16="http://schemas.microsoft.com/office/drawing/2014/chart" uri="{C3380CC4-5D6E-409C-BE32-E72D297353CC}">
              <c16:uniqueId val="{00000000-D65D-4B39-80A6-C767019E24EE}"/>
            </c:ext>
          </c:extLst>
        </c:ser>
        <c:dLbls>
          <c:showLegendKey val="0"/>
          <c:showVal val="0"/>
          <c:showCatName val="0"/>
          <c:showSerName val="0"/>
          <c:showPercent val="0"/>
          <c:showBubbleSize val="0"/>
        </c:dLbls>
        <c:gapWidth val="150"/>
        <c:axId val="757620848"/>
        <c:axId val="757621632"/>
      </c:barChart>
      <c:lineChart>
        <c:grouping val="standard"/>
        <c:varyColors val="0"/>
        <c:ser>
          <c:idx val="1"/>
          <c:order val="1"/>
          <c:tx>
            <c:strRef>
              <c:f>Sheet1!$D$27</c:f>
              <c:strCache>
                <c:ptCount val="1"/>
                <c:pt idx="0">
                  <c:v>占比</c:v>
                </c:pt>
              </c:strCache>
            </c:strRef>
          </c:tx>
          <c:spPr>
            <a:ln w="19050" cap="rnd" cmpd="sng" algn="ctr">
              <a:solidFill>
                <a:schemeClr val="tx2">
                  <a:lumMod val="60000"/>
                  <a:lumOff val="40000"/>
                </a:schemeClr>
              </a:solidFill>
              <a:prstDash val="solid"/>
              <a:round/>
            </a:ln>
          </c:spPr>
          <c:marker>
            <c:symbol val="triangle"/>
            <c:size val="5"/>
            <c:spPr>
              <a:solidFill>
                <a:schemeClr val="tx2">
                  <a:lumMod val="40000"/>
                  <a:lumOff val="60000"/>
                </a:schemeClr>
              </a:solidFill>
              <a:ln w="9525" cap="flat" cmpd="sng" algn="ctr">
                <a:noFill/>
                <a:prstDash val="solid"/>
                <a:round/>
              </a:ln>
            </c:spPr>
          </c:marker>
          <c:cat>
            <c:strRef>
              <c:f>Sheet1!$B$28:$B$33</c:f>
              <c:strCache>
                <c:ptCount val="6"/>
                <c:pt idx="0">
                  <c:v>南山区</c:v>
                </c:pt>
                <c:pt idx="1">
                  <c:v>福田区</c:v>
                </c:pt>
                <c:pt idx="2">
                  <c:v>光明新区</c:v>
                </c:pt>
                <c:pt idx="3">
                  <c:v>宝安区</c:v>
                </c:pt>
                <c:pt idx="4">
                  <c:v>龙华区</c:v>
                </c:pt>
                <c:pt idx="5">
                  <c:v>龙岗区</c:v>
                </c:pt>
              </c:strCache>
            </c:strRef>
          </c:cat>
          <c:val>
            <c:numRef>
              <c:f>Sheet1!$D$28:$D$33</c:f>
              <c:numCache>
                <c:formatCode>0.00%</c:formatCode>
                <c:ptCount val="6"/>
                <c:pt idx="0">
                  <c:v>0.3468</c:v>
                </c:pt>
                <c:pt idx="1">
                  <c:v>0.2016</c:v>
                </c:pt>
                <c:pt idx="2">
                  <c:v>0.1855</c:v>
                </c:pt>
                <c:pt idx="3">
                  <c:v>0.1613</c:v>
                </c:pt>
                <c:pt idx="4">
                  <c:v>8.0600000000000005E-2</c:v>
                </c:pt>
                <c:pt idx="5">
                  <c:v>2.4199999999999999E-2</c:v>
                </c:pt>
              </c:numCache>
            </c:numRef>
          </c:val>
          <c:smooth val="0"/>
          <c:extLst>
            <c:ext xmlns:c16="http://schemas.microsoft.com/office/drawing/2014/chart" uri="{C3380CC4-5D6E-409C-BE32-E72D297353CC}">
              <c16:uniqueId val="{00000001-D65D-4B39-80A6-C767019E24EE}"/>
            </c:ext>
          </c:extLst>
        </c:ser>
        <c:dLbls>
          <c:showLegendKey val="0"/>
          <c:showVal val="0"/>
          <c:showCatName val="0"/>
          <c:showSerName val="0"/>
          <c:showPercent val="0"/>
          <c:showBubbleSize val="0"/>
        </c:dLbls>
        <c:marker val="1"/>
        <c:smooth val="0"/>
        <c:axId val="895732640"/>
        <c:axId val="757620064"/>
      </c:lineChart>
      <c:catAx>
        <c:axId val="75762084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crossAx val="757621632"/>
        <c:crosses val="autoZero"/>
        <c:auto val="1"/>
        <c:lblAlgn val="ctr"/>
        <c:lblOffset val="100"/>
        <c:noMultiLvlLbl val="0"/>
      </c:catAx>
      <c:valAx>
        <c:axId val="757621632"/>
        <c:scaling>
          <c:orientation val="minMax"/>
        </c:scaling>
        <c:delete val="0"/>
        <c:axPos val="l"/>
        <c:numFmt formatCode="#,##0_);[Red]\(#,##0\)"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crossAx val="757620848"/>
        <c:crosses val="autoZero"/>
        <c:crossBetween val="between"/>
        <c:majorUnit val="1000"/>
      </c:valAx>
      <c:catAx>
        <c:axId val="895732640"/>
        <c:scaling>
          <c:orientation val="minMax"/>
        </c:scaling>
        <c:delete val="1"/>
        <c:axPos val="b"/>
        <c:numFmt formatCode="General" sourceLinked="1"/>
        <c:majorTickMark val="out"/>
        <c:minorTickMark val="none"/>
        <c:tickLblPos val="nextTo"/>
        <c:crossAx val="757620064"/>
        <c:crosses val="autoZero"/>
        <c:auto val="1"/>
        <c:lblAlgn val="ctr"/>
        <c:lblOffset val="100"/>
        <c:noMultiLvlLbl val="0"/>
      </c:catAx>
      <c:valAx>
        <c:axId val="757620064"/>
        <c:scaling>
          <c:orientation val="minMax"/>
        </c:scaling>
        <c:delete val="0"/>
        <c:axPos val="r"/>
        <c:numFmt formatCode="0%" sourceLinked="0"/>
        <c:majorTickMark val="out"/>
        <c:minorTickMark val="none"/>
        <c:tickLblPos val="nextTo"/>
        <c:txPr>
          <a:bodyPr rot="-6000000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crossAx val="895732640"/>
        <c:crosses val="max"/>
        <c:crossBetween val="between"/>
        <c:majorUnit val="0.1"/>
      </c:valAx>
    </c:plotArea>
    <c:legend>
      <c:legendPos val="t"/>
      <c:overlay val="0"/>
      <c:txPr>
        <a:bodyPr rot="0" spcFirstLastPara="0" vertOverflow="ellipsis" vert="horz" wrap="square" anchor="ctr" anchorCtr="1"/>
        <a:lstStyle/>
        <a:p>
          <a:pPr>
            <a:defRPr lang="zh-CN" sz="1200" b="0" i="0" u="none" strike="noStrike" kern="1200" baseline="0">
              <a:solidFill>
                <a:schemeClr val="tx1"/>
              </a:solidFill>
              <a:latin typeface="Times New Roman" panose="02020603050405020304" charset="0"/>
              <a:ea typeface="楷体_GB2312" panose="02010609030101010101" pitchFamily="3" charset="-122"/>
              <a:cs typeface="+mn-cs"/>
            </a:defRPr>
          </a:pPr>
          <a:endParaRPr lang="zh-CN"/>
        </a:p>
      </c:txPr>
    </c:legend>
    <c:plotVisOnly val="1"/>
    <c:dispBlanksAs val="gap"/>
    <c:showDLblsOverMax val="0"/>
  </c:chart>
  <c:spPr>
    <a:ln w="9525" cap="flat" cmpd="sng" algn="ctr">
      <a:noFill/>
      <a:prstDash val="solid"/>
      <a:round/>
    </a:ln>
  </c:spPr>
  <c:txPr>
    <a:bodyPr/>
    <a:lstStyle/>
    <a:p>
      <a:pPr>
        <a:defRPr lang="zh-CN" sz="1200" baseline="0">
          <a:latin typeface="Times New Roman" panose="02020603050405020304" charset="0"/>
          <a:ea typeface="楷体_GB2312" panose="02010609030101010101" pitchFamily="3" charset="-122"/>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基本">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8F710C-B5BE-425A-8666-C7AA7268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53</Pages>
  <Words>4692</Words>
  <Characters>26747</Characters>
  <Application>Microsoft Office Word</Application>
  <DocSecurity>0</DocSecurity>
  <Lines>222</Lines>
  <Paragraphs>62</Paragraphs>
  <ScaleCrop>false</ScaleCrop>
  <Company>Microsoft</Company>
  <LinksUpToDate>false</LinksUpToDate>
  <CharactersWithSpaces>31377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Er</dc:creator>
  <cp:lastModifiedBy>Chi Yanqiu</cp:lastModifiedBy>
  <cp:revision>9</cp:revision>
  <cp:lastPrinted>2020-04-09T05:27:00Z</cp:lastPrinted>
  <dcterms:created xsi:type="dcterms:W3CDTF">2020-04-16T04:30:00Z</dcterms:created>
  <dcterms:modified xsi:type="dcterms:W3CDTF">2020-04-16T04:51:00Z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