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320" w:leftChars="-100" w:right="-160" w:rightChars="-50" w:firstLine="0" w:firstLineChars="0"/>
        <w:jc w:val="center"/>
        <w:textAlignment w:val="auto"/>
        <w:outlineLvl w:val="9"/>
        <w:rPr>
          <w:rFonts w:ascii="方正小标宋简体" w:hAnsi="方正小标宋简体" w:eastAsia="方正小标宋简体" w:cs="方正小标宋简体"/>
          <w:kern w:val="0"/>
          <w:sz w:val="44"/>
          <w:szCs w:val="44"/>
        </w:rPr>
      </w:pPr>
      <w:r>
        <w:rPr>
          <w:rFonts w:ascii="方正小标宋简体" w:hAnsi="方正小标宋简体" w:eastAsia="方正小标宋简体" w:cs="方正小标宋简体"/>
          <w:kern w:val="0"/>
          <w:sz w:val="44"/>
          <w:szCs w:val="44"/>
        </w:rPr>
        <w:t>2019</w:t>
      </w:r>
      <w:r>
        <w:rPr>
          <w:rFonts w:hint="eastAsia" w:ascii="方正小标宋简体" w:hAnsi="方正小标宋简体" w:eastAsia="方正小标宋简体" w:cs="方正小标宋简体"/>
          <w:kern w:val="0"/>
          <w:sz w:val="44"/>
          <w:szCs w:val="44"/>
        </w:rPr>
        <w:t>年度广东省水泥产品质量监督抽查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520" w:lineRule="exact"/>
        <w:jc w:val="left"/>
        <w:rPr>
          <w:sz w:val="3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本方案由广东省市场监督管理局制定，适用于2019年度广东省市场监督管理局组织的水泥产品质量监督抽查的抽样、检验工作。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黑体" w:cs="Times New Roman"/>
          <w:szCs w:val="32"/>
        </w:rPr>
        <w:t>一、监督抽查的产品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szCs w:val="32"/>
        </w:rPr>
      </w:pPr>
      <w:r>
        <w:rPr>
          <w:rFonts w:hint="default" w:ascii="Times New Roman" w:hAnsi="Times New Roman" w:eastAsia="楷体" w:cs="Times New Roman"/>
          <w:szCs w:val="32"/>
        </w:rPr>
        <w:t>（一）抽查产品品种：</w:t>
      </w:r>
      <w:r>
        <w:rPr>
          <w:rFonts w:hint="default" w:ascii="Times New Roman" w:hAnsi="Times New Roman" w:cs="Times New Roman"/>
          <w:szCs w:val="32"/>
        </w:rPr>
        <w:t>通用硅酸盐水泥，白色硅酸盐水泥。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Cs w:val="32"/>
        </w:rPr>
      </w:pPr>
      <w:r>
        <w:rPr>
          <w:rFonts w:hint="default" w:ascii="Times New Roman" w:hAnsi="Times New Roman" w:eastAsia="楷体" w:cs="Times New Roman"/>
          <w:szCs w:val="32"/>
        </w:rPr>
        <w:t>（二）本次抽查的监督总体确定为：</w:t>
      </w:r>
      <w:r>
        <w:rPr>
          <w:rFonts w:hint="default" w:ascii="Times New Roman" w:hAnsi="Times New Roman" w:cs="Times New Roman"/>
          <w:szCs w:val="32"/>
        </w:rPr>
        <w:t>广东省生产和流通领域与抽检的样本标称同一商标（或标称同一生产者）同一型号的产品集合。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szCs w:val="32"/>
        </w:rPr>
      </w:pPr>
      <w:r>
        <w:rPr>
          <w:rFonts w:hint="default" w:ascii="Times New Roman" w:hAnsi="Times New Roman" w:eastAsia="楷体" w:cs="Times New Roman"/>
          <w:szCs w:val="32"/>
        </w:rPr>
        <w:t>（三）抽查产品数量：</w:t>
      </w:r>
      <w:r>
        <w:rPr>
          <w:rFonts w:hint="default" w:ascii="Times New Roman" w:hAnsi="Times New Roman" w:cs="Times New Roman"/>
          <w:szCs w:val="32"/>
        </w:rPr>
        <w:t>每款产品需抽取2组样本，第1组检验，第2组备用，每组样本需抽取6kg样品。</w:t>
      </w:r>
    </w:p>
    <w:p>
      <w:pPr>
        <w:spacing w:line="520" w:lineRule="exact"/>
        <w:ind w:firstLine="640" w:firstLineChars="200"/>
        <w:rPr>
          <w:rFonts w:hint="default" w:ascii="Times New Roman" w:hAnsi="Times New Roman" w:eastAsia="黑体" w:cs="Times New Roman"/>
          <w:szCs w:val="32"/>
        </w:rPr>
      </w:pPr>
      <w:r>
        <w:rPr>
          <w:rFonts w:hint="default" w:ascii="Times New Roman" w:hAnsi="Times New Roman" w:eastAsia="黑体" w:cs="Times New Roman"/>
          <w:szCs w:val="32"/>
        </w:rPr>
        <w:t>二、监督抽样检验程序</w:t>
      </w:r>
    </w:p>
    <w:p>
      <w:pPr>
        <w:spacing w:line="520" w:lineRule="exact"/>
        <w:ind w:firstLine="640"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（一）抽样及复检程序依据</w:t>
      </w:r>
    </w:p>
    <w:p>
      <w:pPr>
        <w:spacing w:line="520" w:lineRule="exact"/>
        <w:ind w:firstLine="640" w:firstLineChars="200"/>
        <w:rPr>
          <w:rFonts w:hint="default" w:ascii="Times New Roman" w:hAnsi="Times New Roman" w:cs="Times New Roman"/>
          <w:szCs w:val="32"/>
        </w:rPr>
      </w:pPr>
      <w:r>
        <w:rPr>
          <w:rFonts w:hint="default" w:ascii="Times New Roman" w:hAnsi="Times New Roman" w:eastAsia="楷体_GB2312" w:cs="Times New Roman"/>
          <w:szCs w:val="32"/>
        </w:rPr>
        <w:t>1</w:t>
      </w:r>
      <w:r>
        <w:rPr>
          <w:rFonts w:hint="eastAsia" w:ascii="Times New Roman" w:hAnsi="Times New Roman" w:eastAsia="楷体_GB2312" w:cs="Times New Roman"/>
          <w:szCs w:val="32"/>
          <w:lang w:eastAsia="zh-CN"/>
        </w:rPr>
        <w:t>．</w:t>
      </w:r>
      <w:r>
        <w:rPr>
          <w:rFonts w:hint="default" w:ascii="Times New Roman" w:hAnsi="Times New Roman" w:cs="Times New Roman"/>
          <w:szCs w:val="32"/>
        </w:rPr>
        <w:t>GB/T 28863-2012《产品质量监督抽样检验程序具有先验质量信息的情形》。</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GB/T 2828.4-2008《计数抽样检验程序第4部分：声称质量水平的评定程序》。</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GB/T 16306-2008《声称质量水平复检与复验的评定程序》。</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CCGF404—2015《水泥产品质量监督抽查实施规范》</w:t>
      </w:r>
      <w:r>
        <w:rPr>
          <w:rFonts w:hint="eastAsia" w:cs="Times New Roman"/>
          <w:szCs w:val="32"/>
          <w:lang w:eastAsia="zh-CN"/>
        </w:rPr>
        <w:t>。</w:t>
      </w:r>
    </w:p>
    <w:p>
      <w:pPr>
        <w:spacing w:line="520" w:lineRule="exact"/>
        <w:ind w:firstLine="640" w:firstLineChars="200"/>
        <w:rPr>
          <w:rFonts w:hint="default" w:ascii="Times New Roman" w:hAnsi="Times New Roman" w:cs="Times New Roman"/>
          <w:szCs w:val="32"/>
        </w:rPr>
      </w:pPr>
      <w:r>
        <w:rPr>
          <w:rFonts w:hint="default" w:ascii="Times New Roman" w:hAnsi="Times New Roman" w:eastAsia="楷体_GB2312" w:cs="Times New Roman"/>
          <w:szCs w:val="32"/>
        </w:rPr>
        <w:t>（二）抽样</w:t>
      </w:r>
      <w:r>
        <w:rPr>
          <w:rFonts w:hint="default" w:ascii="Times New Roman" w:hAnsi="Times New Roman" w:cs="Times New Roman"/>
          <w:szCs w:val="32"/>
        </w:rPr>
        <w:t>方案。通用硅酸盐水泥及白色硅酸盐水泥检验项目依据GB 175-2007、GB/T 2015-2017、GB 6566-2010、GB 31893-2015标准抽检判定。水泥属于具有先验质量信息的情形的产品，适用GB/T 28863-2012进行抽样、判定及复检。</w:t>
      </w:r>
    </w:p>
    <w:p>
      <w:pPr>
        <w:spacing w:line="520" w:lineRule="exact"/>
        <w:ind w:firstLine="640" w:firstLineChars="200"/>
        <w:rPr>
          <w:rFonts w:hint="default" w:ascii="Times New Roman" w:hAnsi="Times New Roman" w:cs="Times New Roman"/>
          <w:szCs w:val="32"/>
        </w:rPr>
      </w:pPr>
      <w:r>
        <w:rPr>
          <w:rFonts w:hint="default" w:ascii="Times New Roman" w:hAnsi="Times New Roman" w:cs="Times New Roman"/>
          <w:szCs w:val="32"/>
        </w:rPr>
        <w:t>在生产企业处抽样时，随机抽取2组样品，经企业同意后由企业无偿提供，全部带回检验机构。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jc w:val="both"/>
        <w:textAlignment w:val="auto"/>
        <w:outlineLvl w:val="9"/>
        <w:rPr>
          <w:rFonts w:hint="default" w:ascii="Times New Roman" w:hAnsi="Times New Roman" w:cs="Times New Roman"/>
          <w:szCs w:val="32"/>
        </w:rPr>
      </w:pP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三</w:t>
      </w:r>
      <w:r>
        <w:rPr>
          <w:rFonts w:hint="default" w:ascii="Times New Roman" w:hAnsi="Times New Roman" w:eastAsia="黑体" w:cs="Times New Roman"/>
          <w:szCs w:val="32"/>
        </w:rPr>
        <w:t>、抽样现场要求、样品的处理、判定规则、检验报告报送要求均按照《广东省工商行政管理局关于广东省流通领域商品质量抽查检验的工作规范》（粤工商消字〔2016〕111号）要求及合同约定执行。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（一）本类产品的国家标准：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w:t>
      </w:r>
      <w:r>
        <w:rPr>
          <w:rFonts w:hint="eastAsia" w:ascii="Times New Roman" w:hAnsi="Times New Roman" w:cs="Times New Roman"/>
          <w:szCs w:val="32"/>
          <w:lang w:eastAsia="zh-CN"/>
        </w:rPr>
        <w:t>．</w:t>
      </w:r>
      <w:r>
        <w:rPr>
          <w:rFonts w:hint="default" w:ascii="Times New Roman" w:hAnsi="Times New Roman" w:cs="Times New Roman"/>
          <w:szCs w:val="32"/>
        </w:rPr>
        <w:t>CCGF 404-2015 《水泥产品质量监督抽查实施规范》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2</w:t>
      </w:r>
      <w:r>
        <w:rPr>
          <w:rFonts w:hint="eastAsia" w:ascii="Times New Roman" w:hAnsi="Times New Roman" w:cs="Times New Roman"/>
          <w:szCs w:val="32"/>
          <w:lang w:eastAsia="zh-CN"/>
        </w:rPr>
        <w:t>．</w:t>
      </w:r>
      <w:r>
        <w:rPr>
          <w:rFonts w:hint="default" w:ascii="Times New Roman" w:hAnsi="Times New Roman" w:cs="Times New Roman"/>
          <w:szCs w:val="32"/>
        </w:rPr>
        <w:t>GB 175-2007 《通用硅酸盐水泥》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3</w:t>
      </w:r>
      <w:r>
        <w:rPr>
          <w:rFonts w:hint="eastAsia" w:ascii="Times New Roman" w:hAnsi="Times New Roman" w:cs="Times New Roman"/>
          <w:szCs w:val="32"/>
          <w:lang w:eastAsia="zh-CN"/>
        </w:rPr>
        <w:t>．</w:t>
      </w:r>
      <w:r>
        <w:rPr>
          <w:rFonts w:hint="default" w:ascii="Times New Roman" w:hAnsi="Times New Roman" w:cs="Times New Roman"/>
          <w:szCs w:val="32"/>
        </w:rPr>
        <w:t>GB/T 2015-2017 《白色硅酸盐水泥》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4</w:t>
      </w:r>
      <w:r>
        <w:rPr>
          <w:rFonts w:hint="eastAsia" w:ascii="Times New Roman" w:hAnsi="Times New Roman" w:cs="Times New Roman"/>
          <w:szCs w:val="32"/>
          <w:lang w:eastAsia="zh-CN"/>
        </w:rPr>
        <w:t>．</w:t>
      </w:r>
      <w:r>
        <w:rPr>
          <w:rFonts w:hint="default" w:ascii="Times New Roman" w:hAnsi="Times New Roman" w:cs="Times New Roman"/>
          <w:szCs w:val="32"/>
        </w:rPr>
        <w:t>GB 6566-2010 《建筑材料放射性核素限量》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GB 31893-2015 《水泥中水溶性铬（Ⅵ）的限量及测定方法》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6</w:t>
      </w:r>
      <w:r>
        <w:rPr>
          <w:rFonts w:hint="eastAsia" w:ascii="Times New Roman" w:hAnsi="Times New Roman" w:cs="Times New Roman"/>
          <w:szCs w:val="32"/>
          <w:lang w:eastAsia="zh-CN"/>
        </w:rPr>
        <w:t>．</w:t>
      </w:r>
      <w:r>
        <w:rPr>
          <w:rFonts w:hint="default" w:ascii="Times New Roman" w:hAnsi="Times New Roman" w:cs="Times New Roman"/>
          <w:szCs w:val="32"/>
        </w:rPr>
        <w:t>GB/T 12573-2008 《水泥取样方法》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color w:val="000000"/>
          <w:szCs w:val="32"/>
        </w:rPr>
        <w:t>7</w:t>
      </w:r>
      <w:r>
        <w:rPr>
          <w:rFonts w:hint="eastAsia" w:ascii="Times New Roman" w:hAnsi="Times New Roman" w:cs="Times New Roman"/>
          <w:color w:val="000000"/>
          <w:szCs w:val="32"/>
          <w:lang w:eastAsia="zh-CN"/>
        </w:rPr>
        <w:t>．</w:t>
      </w:r>
      <w:r>
        <w:rPr>
          <w:rFonts w:hint="default" w:ascii="Times New Roman" w:hAnsi="Times New Roman" w:cs="Times New Roman"/>
          <w:color w:val="000000"/>
          <w:szCs w:val="32"/>
        </w:rPr>
        <w:t>GB/T 176-2017《水泥化</w:t>
      </w:r>
      <w:r>
        <w:rPr>
          <w:rFonts w:hint="default" w:ascii="Times New Roman" w:hAnsi="Times New Roman" w:cs="Times New Roman"/>
          <w:szCs w:val="32"/>
        </w:rPr>
        <w:t>学分析方法》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8</w:t>
      </w:r>
      <w:r>
        <w:rPr>
          <w:rFonts w:hint="eastAsia" w:ascii="Times New Roman" w:hAnsi="Times New Roman" w:cs="Times New Roman"/>
          <w:szCs w:val="32"/>
          <w:lang w:eastAsia="zh-CN"/>
        </w:rPr>
        <w:t>．</w:t>
      </w:r>
      <w:r>
        <w:rPr>
          <w:rFonts w:hint="default" w:ascii="Times New Roman" w:hAnsi="Times New Roman" w:cs="Times New Roman"/>
          <w:szCs w:val="32"/>
        </w:rPr>
        <w:t>GB/T 750-1992 《水泥压蒸安定性试验方法》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9</w:t>
      </w:r>
      <w:r>
        <w:rPr>
          <w:rFonts w:hint="eastAsia" w:ascii="Times New Roman" w:hAnsi="Times New Roman" w:cs="Times New Roman"/>
          <w:szCs w:val="32"/>
          <w:lang w:eastAsia="zh-CN"/>
        </w:rPr>
        <w:t>．</w:t>
      </w:r>
      <w:r>
        <w:rPr>
          <w:rFonts w:hint="default" w:ascii="Times New Roman" w:hAnsi="Times New Roman" w:cs="Times New Roman"/>
          <w:szCs w:val="32"/>
        </w:rPr>
        <w:t>GB/T 1346-2011 《水泥标准稠度用水量、凝结时间、安定性检验方法》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10</w:t>
      </w:r>
      <w:r>
        <w:rPr>
          <w:rFonts w:hint="eastAsia" w:ascii="Times New Roman" w:hAnsi="Times New Roman" w:cs="Times New Roman"/>
          <w:szCs w:val="32"/>
          <w:lang w:eastAsia="zh-CN"/>
        </w:rPr>
        <w:t>．</w:t>
      </w:r>
      <w:r>
        <w:rPr>
          <w:rFonts w:hint="default" w:ascii="Times New Roman" w:hAnsi="Times New Roman" w:cs="Times New Roman"/>
          <w:szCs w:val="32"/>
        </w:rPr>
        <w:t>GB/T 17671-1999 《水泥胶砂强度检验方法（ISO法）》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11</w:t>
      </w:r>
      <w:r>
        <w:rPr>
          <w:rFonts w:hint="eastAsia" w:ascii="Times New Roman" w:hAnsi="Times New Roman" w:cs="Times New Roman"/>
          <w:szCs w:val="32"/>
          <w:lang w:eastAsia="zh-CN"/>
        </w:rPr>
        <w:t>．</w:t>
      </w:r>
      <w:r>
        <w:rPr>
          <w:rFonts w:hint="default" w:ascii="Times New Roman" w:hAnsi="Times New Roman" w:cs="Times New Roman"/>
          <w:szCs w:val="32"/>
        </w:rPr>
        <w:t>GB/T 2419-2005 《水泥胶砂流动度测定方法》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相关的法律法规、部门规章和规范。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现行有效的企业标准或产品明示质量要求。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eastAsia="楷体_GB2312" w:cs="Times New Roman"/>
          <w:szCs w:val="32"/>
        </w:rPr>
        <w:t>（二）产品标示执行的标准或产品明示指标。</w:t>
      </w:r>
      <w:r>
        <w:rPr>
          <w:rFonts w:hint="default" w:ascii="Times New Roman" w:hAnsi="Times New Roman" w:cs="Times New Roman"/>
          <w:szCs w:val="32"/>
        </w:rPr>
        <w:t>产品标示执行的标准或产品明示指标劣于相关强制性标准的，以相关强制性标准作为依据。被抽样产品未能提供有效企业标准的，按相关推荐性标准进行判定。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pacing w:val="-4"/>
          <w:szCs w:val="32"/>
        </w:rPr>
      </w:pPr>
      <w:r>
        <w:rPr>
          <w:rFonts w:hint="default" w:ascii="Times New Roman" w:hAnsi="Times New Roman" w:eastAsia="楷体_GB2312" w:cs="Times New Roman"/>
          <w:szCs w:val="32"/>
        </w:rPr>
        <w:t>（三）涉及本类产品质量判定相关法律法规、国家有关规定。</w:t>
      </w:r>
      <w:r>
        <w:rPr>
          <w:rFonts w:hint="default" w:ascii="Times New Roman" w:hAnsi="Times New Roman" w:cs="Times New Roman"/>
          <w:szCs w:val="32"/>
        </w:rPr>
        <w:t>主要包括《中华人民共和国产品质量法》《中华人民共和国消费者权益保护法》《流通领域商品质量监督抽查办法》《产品质量监督抽查管理办法》《广东省查处生产销售假冒伪劣产品违法行为条例》等法律法规规章，CCGF404—2015《水泥产品质量监督抽查实施规范》、《广东省工商行政管理局关于广东省流通领域商品质量抽查检验的工作规范》（粤工商消字〔2016〕111号）、《广东省质量技术监督局关于产品质量监督抽查的管理办法》（粤质监〔2014〕11号</w:t>
      </w:r>
      <w:r>
        <w:rPr>
          <w:rFonts w:hint="eastAsia" w:ascii="Times New Roman" w:hAnsi="Times New Roman" w:cs="Times New Roman"/>
          <w:szCs w:val="32"/>
          <w:lang w:eastAsia="zh-CN"/>
        </w:rPr>
        <w:t>）</w:t>
      </w:r>
      <w:r>
        <w:rPr>
          <w:rFonts w:hint="default" w:ascii="Times New Roman" w:hAnsi="Times New Roman" w:cs="Times New Roman"/>
          <w:szCs w:val="32"/>
        </w:rPr>
        <w:t>等规范性文件及《广东省市场监督管理局产品质量监督抽查工作指导意见（试行）》（粤市监质监〔2019〕494号）。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五</w:t>
      </w:r>
      <w:r>
        <w:rPr>
          <w:rFonts w:hint="default" w:ascii="Times New Roman" w:hAnsi="Times New Roman" w:eastAsia="黑体" w:cs="Times New Roman"/>
          <w:szCs w:val="32"/>
        </w:rPr>
        <w:t>、主要检验项目及不合格类别的划分指标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（一）产品主要检验项目及其重要性划分表。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 xml:space="preserve">    1</w:t>
      </w:r>
      <w:r>
        <w:rPr>
          <w:rFonts w:hint="eastAsia" w:ascii="Times New Roman" w:hAnsi="Times New Roman" w:cs="Times New Roman"/>
          <w:szCs w:val="32"/>
          <w:lang w:eastAsia="zh-CN"/>
        </w:rPr>
        <w:t>．</w:t>
      </w:r>
      <w:r>
        <w:rPr>
          <w:rFonts w:hint="default" w:ascii="Times New Roman" w:hAnsi="Times New Roman" w:cs="Times New Roman"/>
          <w:szCs w:val="32"/>
        </w:rPr>
        <w:t>通用硅酸盐水泥</w:t>
      </w:r>
    </w:p>
    <w:tbl>
      <w:tblPr>
        <w:tblStyle w:val="3"/>
        <w:tblW w:w="9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600"/>
        <w:gridCol w:w="2129"/>
        <w:gridCol w:w="1134"/>
        <w:gridCol w:w="1134"/>
        <w:gridCol w:w="851"/>
        <w:gridCol w:w="1134"/>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02"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序号</w:t>
            </w:r>
          </w:p>
        </w:tc>
        <w:tc>
          <w:tcPr>
            <w:tcW w:w="1600"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检验项目</w:t>
            </w:r>
          </w:p>
        </w:tc>
        <w:tc>
          <w:tcPr>
            <w:tcW w:w="2129"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依据标准</w:t>
            </w:r>
          </w:p>
        </w:tc>
        <w:tc>
          <w:tcPr>
            <w:tcW w:w="1134"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强制性</w:t>
            </w:r>
          </w:p>
        </w:tc>
        <w:tc>
          <w:tcPr>
            <w:tcW w:w="1134"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非强制性</w:t>
            </w:r>
          </w:p>
        </w:tc>
        <w:tc>
          <w:tcPr>
            <w:tcW w:w="851"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重要项</w:t>
            </w:r>
          </w:p>
        </w:tc>
        <w:tc>
          <w:tcPr>
            <w:tcW w:w="1134"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较重要项</w:t>
            </w:r>
          </w:p>
        </w:tc>
        <w:tc>
          <w:tcPr>
            <w:tcW w:w="1027"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不溶物</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175-2007/7.1</w:t>
            </w: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adjustRightInd w:val="0"/>
              <w:snapToGrid w:val="0"/>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烧失量</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175-2007/7.1</w:t>
            </w: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adjustRightInd w:val="0"/>
              <w:snapToGrid w:val="0"/>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氧化镁</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175-2007/7.1</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adjustRightInd w:val="0"/>
              <w:snapToGrid w:val="0"/>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4</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三氧化硫</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175-2007/7.1</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氯离子</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175-2007/7.1</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6</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凝结时间</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175-2007/7.3.1</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7</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安定性</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175-2007/7.3.2</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adjustRightInd w:val="0"/>
              <w:snapToGrid w:val="0"/>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8</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强度</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175-2007/7.3.7</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9</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放射性</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6566-2010</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10</w:t>
            </w:r>
          </w:p>
        </w:tc>
        <w:tc>
          <w:tcPr>
            <w:tcW w:w="1600" w:type="dxa"/>
            <w:vAlign w:val="center"/>
          </w:tcPr>
          <w:p>
            <w:pPr>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铬（Ⅵ）</w:t>
            </w:r>
          </w:p>
        </w:tc>
        <w:tc>
          <w:tcPr>
            <w:tcW w:w="2129" w:type="dxa"/>
            <w:vAlign w:val="center"/>
          </w:tcPr>
          <w:p>
            <w:pPr>
              <w:spacing w:line="240" w:lineRule="atLeast"/>
              <w:jc w:val="center"/>
              <w:rPr>
                <w:rFonts w:hint="default" w:ascii="Times New Roman" w:hAnsi="Times New Roman" w:cs="Times New Roman"/>
                <w:sz w:val="24"/>
              </w:rPr>
            </w:pPr>
            <w:r>
              <w:rPr>
                <w:rFonts w:hint="default" w:ascii="Times New Roman" w:hAnsi="Times New Roman" w:cs="Times New Roman"/>
                <w:snapToGrid w:val="0"/>
                <w:sz w:val="24"/>
              </w:rPr>
              <w:t>GB 31893-2015</w:t>
            </w:r>
          </w:p>
        </w:tc>
        <w:tc>
          <w:tcPr>
            <w:tcW w:w="1134" w:type="dxa"/>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851"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top"/>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bl>
    <w:p>
      <w:pPr>
        <w:spacing w:line="360" w:lineRule="auto"/>
        <w:rPr>
          <w:rFonts w:hint="default" w:ascii="Times New Roman" w:hAnsi="Times New Roman" w:cs="Times New Roman"/>
          <w:szCs w:val="32"/>
        </w:rPr>
      </w:pPr>
      <w:r>
        <w:rPr>
          <w:rFonts w:hint="default" w:ascii="Times New Roman" w:hAnsi="Times New Roman" w:cs="Times New Roman"/>
          <w:szCs w:val="32"/>
        </w:rPr>
        <w:t xml:space="preserve">      2</w:t>
      </w:r>
      <w:r>
        <w:rPr>
          <w:rFonts w:hint="eastAsia" w:ascii="Times New Roman" w:hAnsi="Times New Roman" w:cs="Times New Roman"/>
          <w:szCs w:val="32"/>
          <w:lang w:eastAsia="zh-CN"/>
        </w:rPr>
        <w:t>．</w:t>
      </w:r>
      <w:r>
        <w:rPr>
          <w:rFonts w:hint="default" w:ascii="Times New Roman" w:hAnsi="Times New Roman" w:cs="Times New Roman"/>
          <w:szCs w:val="32"/>
        </w:rPr>
        <w:t>白色硅酸盐水泥</w:t>
      </w:r>
    </w:p>
    <w:tbl>
      <w:tblPr>
        <w:tblStyle w:val="3"/>
        <w:tblW w:w="9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600"/>
        <w:gridCol w:w="2129"/>
        <w:gridCol w:w="1134"/>
        <w:gridCol w:w="1134"/>
        <w:gridCol w:w="851"/>
        <w:gridCol w:w="1134"/>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02"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序号</w:t>
            </w:r>
          </w:p>
        </w:tc>
        <w:tc>
          <w:tcPr>
            <w:tcW w:w="1600"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检验项目</w:t>
            </w:r>
          </w:p>
        </w:tc>
        <w:tc>
          <w:tcPr>
            <w:tcW w:w="2129"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依据标准</w:t>
            </w:r>
          </w:p>
        </w:tc>
        <w:tc>
          <w:tcPr>
            <w:tcW w:w="1134"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强制性</w:t>
            </w:r>
          </w:p>
        </w:tc>
        <w:tc>
          <w:tcPr>
            <w:tcW w:w="1134"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非强制性</w:t>
            </w:r>
          </w:p>
        </w:tc>
        <w:tc>
          <w:tcPr>
            <w:tcW w:w="851"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重要项</w:t>
            </w:r>
          </w:p>
        </w:tc>
        <w:tc>
          <w:tcPr>
            <w:tcW w:w="1134"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较重要项</w:t>
            </w:r>
          </w:p>
        </w:tc>
        <w:tc>
          <w:tcPr>
            <w:tcW w:w="1027"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1600" w:type="dxa"/>
            <w:vAlign w:val="center"/>
          </w:tcPr>
          <w:p>
            <w:pPr>
              <w:widowControl/>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三氧化硫</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GB/T2015-2017/6.1</w:t>
            </w:r>
          </w:p>
        </w:tc>
        <w:tc>
          <w:tcPr>
            <w:tcW w:w="1134"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1600" w:type="dxa"/>
            <w:vAlign w:val="center"/>
          </w:tcPr>
          <w:p>
            <w:pPr>
              <w:widowControl/>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凝结时间</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GB/T2015-2017/6.2.3</w:t>
            </w:r>
          </w:p>
        </w:tc>
        <w:tc>
          <w:tcPr>
            <w:tcW w:w="1134"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1600"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沸煮法安定性</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GB/T2015-2017/6.2.2</w:t>
            </w:r>
          </w:p>
        </w:tc>
        <w:tc>
          <w:tcPr>
            <w:tcW w:w="1134"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4</w:t>
            </w:r>
          </w:p>
        </w:tc>
        <w:tc>
          <w:tcPr>
            <w:tcW w:w="1600"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强度</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GB/T2015-2017/6.2.5</w:t>
            </w:r>
          </w:p>
        </w:tc>
        <w:tc>
          <w:tcPr>
            <w:tcW w:w="1134"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1600" w:type="dxa"/>
            <w:vAlign w:val="center"/>
          </w:tcPr>
          <w:p>
            <w:pPr>
              <w:widowControl/>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放射性</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GB/T2015-2017/6.2.6</w:t>
            </w:r>
          </w:p>
        </w:tc>
        <w:tc>
          <w:tcPr>
            <w:tcW w:w="1134" w:type="dxa"/>
            <w:vAlign w:val="top"/>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spacing w:before="60" w:after="60"/>
              <w:jc w:val="center"/>
              <w:rPr>
                <w:rFonts w:hint="default" w:ascii="Times New Roman" w:hAnsi="Times New Roman" w:cs="Times New Roman"/>
                <w:snapToGrid w:val="0"/>
                <w:sz w:val="24"/>
              </w:rPr>
            </w:pPr>
            <w:r>
              <w:rPr>
                <w:rFonts w:hint="default" w:ascii="Times New Roman" w:hAnsi="Times New Roman" w:cs="Times New Roman"/>
                <w:snapToGrid w:val="0"/>
                <w:sz w:val="24"/>
              </w:rPr>
              <w:t>6</w:t>
            </w:r>
          </w:p>
        </w:tc>
        <w:tc>
          <w:tcPr>
            <w:tcW w:w="1600" w:type="dxa"/>
            <w:vAlign w:val="center"/>
          </w:tcPr>
          <w:p>
            <w:pPr>
              <w:widowControl/>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白度（白水泥）</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GB/T2015-2017/6.2.4</w:t>
            </w:r>
          </w:p>
        </w:tc>
        <w:tc>
          <w:tcPr>
            <w:tcW w:w="1134" w:type="dxa"/>
            <w:vAlign w:val="top"/>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7</w:t>
            </w:r>
          </w:p>
        </w:tc>
        <w:tc>
          <w:tcPr>
            <w:tcW w:w="1600" w:type="dxa"/>
            <w:vAlign w:val="center"/>
          </w:tcPr>
          <w:p>
            <w:pPr>
              <w:widowControl/>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细度（白水泥）</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GB/T2015-2017/6.2.1</w:t>
            </w:r>
          </w:p>
        </w:tc>
        <w:tc>
          <w:tcPr>
            <w:tcW w:w="1134" w:type="dxa"/>
            <w:vAlign w:val="top"/>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8</w:t>
            </w:r>
          </w:p>
        </w:tc>
        <w:tc>
          <w:tcPr>
            <w:tcW w:w="1600" w:type="dxa"/>
            <w:vAlign w:val="center"/>
          </w:tcPr>
          <w:p>
            <w:pPr>
              <w:widowControl/>
              <w:spacing w:before="60" w:after="60"/>
              <w:jc w:val="center"/>
              <w:rPr>
                <w:rFonts w:hint="default" w:ascii="Times New Roman" w:hAnsi="Times New Roman" w:cs="Times New Roman"/>
                <w:sz w:val="24"/>
              </w:rPr>
            </w:pPr>
            <w:r>
              <w:rPr>
                <w:rFonts w:hint="default" w:ascii="Times New Roman" w:hAnsi="Times New Roman" w:cs="Times New Roman"/>
                <w:snapToGrid w:val="0"/>
                <w:sz w:val="24"/>
              </w:rPr>
              <w:t>铬（Ⅵ）</w:t>
            </w:r>
          </w:p>
        </w:tc>
        <w:tc>
          <w:tcPr>
            <w:tcW w:w="2129" w:type="dxa"/>
            <w:vAlign w:val="center"/>
          </w:tcPr>
          <w:p>
            <w:pPr>
              <w:widowControl/>
              <w:jc w:val="center"/>
              <w:rPr>
                <w:rFonts w:hint="default" w:ascii="Times New Roman" w:hAnsi="Times New Roman" w:cs="Times New Roman"/>
                <w:sz w:val="24"/>
              </w:rPr>
            </w:pPr>
            <w:r>
              <w:rPr>
                <w:rFonts w:hint="default" w:ascii="Times New Roman" w:hAnsi="Times New Roman" w:cs="Times New Roman"/>
                <w:snapToGrid w:val="0"/>
                <w:sz w:val="24"/>
              </w:rPr>
              <w:t>GB/T2015-2017/6.1.2</w:t>
            </w:r>
          </w:p>
        </w:tc>
        <w:tc>
          <w:tcPr>
            <w:tcW w:w="1134" w:type="dxa"/>
            <w:vAlign w:val="top"/>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134" w:type="dxa"/>
            <w:vAlign w:val="center"/>
          </w:tcPr>
          <w:p>
            <w:pPr>
              <w:jc w:val="center"/>
              <w:rPr>
                <w:rFonts w:hint="default" w:ascii="Times New Roman" w:hAnsi="Times New Roman" w:cs="Times New Roman"/>
                <w:sz w:val="24"/>
              </w:rPr>
            </w:pP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9</w:t>
            </w:r>
          </w:p>
        </w:tc>
        <w:tc>
          <w:tcPr>
            <w:tcW w:w="1600" w:type="dxa"/>
            <w:vAlign w:val="center"/>
          </w:tcPr>
          <w:p>
            <w:pPr>
              <w:widowControl/>
              <w:jc w:val="center"/>
              <w:rPr>
                <w:rFonts w:hint="default" w:ascii="Times New Roman" w:hAnsi="Times New Roman" w:cs="Times New Roman"/>
                <w:snapToGrid w:val="0"/>
                <w:sz w:val="24"/>
              </w:rPr>
            </w:pPr>
            <w:r>
              <w:rPr>
                <w:rFonts w:hint="default" w:ascii="Times New Roman" w:hAnsi="Times New Roman" w:cs="Times New Roman"/>
                <w:snapToGrid w:val="0"/>
                <w:sz w:val="24"/>
              </w:rPr>
              <w:t>氯离子</w:t>
            </w:r>
          </w:p>
        </w:tc>
        <w:tc>
          <w:tcPr>
            <w:tcW w:w="2129" w:type="dxa"/>
            <w:vAlign w:val="center"/>
          </w:tcPr>
          <w:p>
            <w:pPr>
              <w:widowControl/>
              <w:jc w:val="center"/>
              <w:rPr>
                <w:rFonts w:hint="default" w:ascii="Times New Roman" w:hAnsi="Times New Roman" w:cs="Times New Roman"/>
                <w:snapToGrid w:val="0"/>
                <w:sz w:val="24"/>
              </w:rPr>
            </w:pPr>
            <w:r>
              <w:rPr>
                <w:rFonts w:hint="default" w:ascii="Times New Roman" w:hAnsi="Times New Roman" w:cs="Times New Roman"/>
                <w:snapToGrid w:val="0"/>
                <w:sz w:val="24"/>
              </w:rPr>
              <w:t>GB/T2015-2017/6.1.3</w:t>
            </w:r>
          </w:p>
        </w:tc>
        <w:tc>
          <w:tcPr>
            <w:tcW w:w="1134" w:type="dxa"/>
            <w:vAlign w:val="top"/>
          </w:tcPr>
          <w:p>
            <w:pPr>
              <w:jc w:val="center"/>
              <w:rPr>
                <w:rFonts w:hint="default" w:ascii="Times New Roman" w:hAnsi="Times New Roman" w:cs="Times New Roman"/>
                <w:snapToGrid w:val="0"/>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027" w:type="dxa"/>
            <w:vAlign w:val="center"/>
          </w:tcPr>
          <w:p>
            <w:pPr>
              <w:spacing w:line="32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jc w:val="center"/>
        </w:trPr>
        <w:tc>
          <w:tcPr>
            <w:tcW w:w="802" w:type="dxa"/>
            <w:vAlign w:val="center"/>
          </w:tcPr>
          <w:p>
            <w:pPr>
              <w:jc w:val="center"/>
              <w:rPr>
                <w:rFonts w:hint="default" w:ascii="Times New Roman" w:hAnsi="Times New Roman" w:cs="Times New Roman"/>
                <w:sz w:val="24"/>
              </w:rPr>
            </w:pPr>
            <w:r>
              <w:rPr>
                <w:rFonts w:hint="default" w:ascii="Times New Roman" w:hAnsi="Times New Roman" w:cs="Times New Roman"/>
                <w:sz w:val="24"/>
              </w:rPr>
              <w:t>10</w:t>
            </w:r>
          </w:p>
        </w:tc>
        <w:tc>
          <w:tcPr>
            <w:tcW w:w="1600" w:type="dxa"/>
            <w:vAlign w:val="center"/>
          </w:tcPr>
          <w:p>
            <w:pPr>
              <w:widowControl/>
              <w:jc w:val="center"/>
              <w:rPr>
                <w:rFonts w:hint="default" w:ascii="Times New Roman" w:hAnsi="Times New Roman" w:cs="Times New Roman"/>
                <w:snapToGrid w:val="0"/>
                <w:sz w:val="24"/>
              </w:rPr>
            </w:pPr>
            <w:r>
              <w:rPr>
                <w:rFonts w:hint="default" w:ascii="Times New Roman" w:hAnsi="Times New Roman" w:cs="Times New Roman"/>
                <w:snapToGrid w:val="0"/>
                <w:sz w:val="24"/>
              </w:rPr>
              <w:t>碱含量</w:t>
            </w:r>
          </w:p>
        </w:tc>
        <w:tc>
          <w:tcPr>
            <w:tcW w:w="2129" w:type="dxa"/>
            <w:vAlign w:val="center"/>
          </w:tcPr>
          <w:p>
            <w:pPr>
              <w:widowControl/>
              <w:jc w:val="center"/>
              <w:rPr>
                <w:rFonts w:hint="default" w:ascii="Times New Roman" w:hAnsi="Times New Roman" w:cs="Times New Roman"/>
                <w:snapToGrid w:val="0"/>
                <w:sz w:val="24"/>
              </w:rPr>
            </w:pPr>
            <w:r>
              <w:rPr>
                <w:rFonts w:hint="default" w:ascii="Times New Roman" w:hAnsi="Times New Roman" w:cs="Times New Roman"/>
                <w:snapToGrid w:val="0"/>
                <w:sz w:val="24"/>
              </w:rPr>
              <w:t>GB/T2015-2017/6.1.4</w:t>
            </w:r>
          </w:p>
        </w:tc>
        <w:tc>
          <w:tcPr>
            <w:tcW w:w="1134" w:type="dxa"/>
            <w:vAlign w:val="top"/>
          </w:tcPr>
          <w:p>
            <w:pPr>
              <w:jc w:val="center"/>
              <w:rPr>
                <w:rFonts w:hint="default" w:ascii="Times New Roman" w:hAnsi="Times New Roman" w:cs="Times New Roman"/>
                <w:snapToGrid w:val="0"/>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851" w:type="dxa"/>
            <w:vAlign w:val="center"/>
          </w:tcPr>
          <w:p>
            <w:pPr>
              <w:jc w:val="center"/>
              <w:rPr>
                <w:rFonts w:hint="default" w:ascii="Times New Roman" w:hAnsi="Times New Roman" w:cs="Times New Roman"/>
                <w:sz w:val="24"/>
              </w:rPr>
            </w:pPr>
          </w:p>
        </w:tc>
        <w:tc>
          <w:tcPr>
            <w:tcW w:w="1134"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027" w:type="dxa"/>
            <w:vAlign w:val="center"/>
          </w:tcPr>
          <w:p>
            <w:pPr>
              <w:spacing w:line="320" w:lineRule="exact"/>
              <w:jc w:val="center"/>
              <w:rPr>
                <w:rFonts w:hint="default"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cs="Times New Roman"/>
          <w:szCs w:val="32"/>
        </w:rPr>
      </w:pPr>
      <w:bookmarkStart w:id="0" w:name="_GoBack"/>
      <w:r>
        <w:rPr>
          <w:rFonts w:hint="default" w:ascii="Times New Roman" w:hAnsi="Times New Roman" w:cs="Times New Roman"/>
          <w:szCs w:val="32"/>
        </w:rPr>
        <w:t>当产品存在重要项不合格时属于严重不合格。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六</w:t>
      </w:r>
      <w:r>
        <w:rPr>
          <w:rFonts w:hint="default" w:ascii="Times New Roman" w:hAnsi="Times New Roman" w:eastAsia="黑体" w:cs="Times New Roman"/>
          <w:szCs w:val="32"/>
        </w:rPr>
        <w:t>、判定原则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经检验，检验项目全部合格，判定为被抽查产品未发现不合格；检验项目中任一项或一项以上不合格，判定为被抽查产品不合格。当产品存在重要项不合格时判定为实物质量不合格，属于严重不合格；当产品仅有较重要项不合格时，属于一般不合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bCs/>
          <w:szCs w:val="32"/>
        </w:rPr>
      </w:pPr>
      <w:r>
        <w:rPr>
          <w:rFonts w:hint="eastAsia" w:eastAsia="黑体" w:cs="Times New Roman"/>
          <w:bCs/>
          <w:szCs w:val="32"/>
          <w:lang w:eastAsia="zh-CN"/>
        </w:rPr>
        <w:t>七</w:t>
      </w:r>
      <w:r>
        <w:rPr>
          <w:rFonts w:hint="default" w:ascii="Times New Roman" w:hAnsi="Times New Roman" w:eastAsia="黑体" w:cs="Times New Roman"/>
          <w:bCs/>
          <w:szCs w:val="32"/>
        </w:rPr>
        <w:t>、复检工作安排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rPr>
          <w:rFonts w:hint="eastAsia" w:ascii="仿宋_GB2312" w:hAnsi="仿宋_GB2312" w:cs="仿宋_GB2312"/>
          <w:szCs w:val="32"/>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F641F"/>
    <w:rsid w:val="2E8F641F"/>
    <w:rsid w:val="7D9D65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2019-10-08T06:24:00Z</dcterms:created>
  <dc:creator>曾永</dc:creator>
  <cp:lastModifiedBy>曾永</cp:lastModifiedBy>
  <dcterms:modified xsi:type="dcterms:W3CDTF">2019-10-08T06:25:30Z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