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 xml:space="preserve">  </w:t>
      </w:r>
    </w:p>
    <w:p>
      <w:pPr>
        <w:ind w:right="212" w:firstLine="2513" w:firstLineChars="200"/>
        <w:jc w:val="right"/>
      </w:pPr>
      <w:r>
        <w:rPr>
          <w:rFonts w:hint="eastAsia" w:ascii="Times New Roman" w:hAnsi="Times New Roman"/>
          <w:b/>
          <w:bCs/>
          <w:color w:val="000000"/>
          <w:w w:val="130"/>
          <w:sz w:val="96"/>
          <w:szCs w:val="96"/>
        </w:rPr>
        <w:t xml:space="preserve"> DB</w:t>
      </w:r>
    </w:p>
    <w:p>
      <w:pPr>
        <w:jc w:val="center"/>
        <w:rPr>
          <w:rFonts w:ascii="方正姚体" w:hAnsi="Arial" w:eastAsia="方正姚体" w:cs="Arial"/>
          <w:sz w:val="72"/>
          <w:szCs w:val="72"/>
        </w:rPr>
      </w:pPr>
      <w:r>
        <w:rPr>
          <w:rFonts w:ascii="方正姚体" w:hAnsi="Arial" w:eastAsia="方正姚体" w:cs="Arial"/>
          <w:kern w:val="2"/>
          <w:sz w:val="36"/>
          <w:szCs w:val="36"/>
          <w:lang w:val="en-US" w:eastAsia="zh-CN" w:bidi="ar-SA"/>
        </w:rPr>
        <w:pict>
          <v:shape id="WordArt: Plain Text 4" o:spid="_x0000_s1032" type="#_x0000_t136" style="height:23.25pt;width:409.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山   西   省   地   方   标   准" style="v-text-align:center;font-family:宋体;font-size:36pt;"/>
            <w10:wrap type="none"/>
            <w10:anchorlock/>
          </v:shape>
        </w:pict>
      </w:r>
      <w:r>
        <w:rPr>
          <w:rFonts w:ascii="方正姚体" w:hAnsi="Arial" w:eastAsia="方正姚体" w:cs="Arial"/>
          <w:sz w:val="72"/>
          <w:szCs w:val="72"/>
        </w:rPr>
        <w:t xml:space="preserve"> </w:t>
      </w:r>
    </w:p>
    <w:p>
      <w:pPr>
        <w:widowControl/>
        <w:wordWrap w:val="0"/>
        <w:spacing w:after="200" w:line="276" w:lineRule="auto"/>
        <w:jc w:val="right"/>
        <w:rPr>
          <w:rFonts w:hint="eastAsia" w:ascii="Georgia" w:hAnsi="Georgia" w:cs="黑体"/>
          <w:kern w:val="0"/>
          <w:sz w:val="22"/>
          <w:lang w:bidi="en-US"/>
        </w:rPr>
      </w:pPr>
    </w:p>
    <w:p>
      <w:pPr>
        <w:widowControl/>
        <w:spacing w:after="200" w:line="276" w:lineRule="auto"/>
        <w:jc w:val="right"/>
        <w:rPr>
          <w:rFonts w:ascii="Georgia" w:hAnsi="Georgia" w:cs="黑体"/>
          <w:kern w:val="0"/>
          <w:sz w:val="22"/>
          <w:lang w:bidi="en-US"/>
        </w:rPr>
      </w:pPr>
      <w:r>
        <w:rPr>
          <w:rFonts w:hint="eastAsia" w:ascii="Georgia" w:hAnsi="Georgia" w:cs="黑体"/>
          <w:kern w:val="0"/>
          <w:sz w:val="22"/>
          <w:lang w:bidi="en-US"/>
        </w:rPr>
        <w:t>DB/T XXXXXX—XXXX</w:t>
      </w:r>
    </w:p>
    <w:p>
      <w:pPr>
        <w:jc w:val="right"/>
        <w:rPr>
          <w:rFonts w:ascii="宋体" w:hAnsi="宋体"/>
          <w:sz w:val="44"/>
          <w:szCs w:val="44"/>
        </w:rPr>
      </w:pPr>
      <w:r>
        <w:rPr>
          <w:rFonts w:ascii="宋体" w:hAnsi="宋体" w:eastAsia="宋体" w:cs="Times New Roman"/>
          <w:kern w:val="2"/>
          <w:sz w:val="44"/>
          <w:szCs w:val="44"/>
          <w:lang w:val="en-US" w:eastAsia="zh-CN" w:bidi="ar-SA"/>
        </w:rPr>
        <w:pict>
          <v:shape id="直接箭头连接符 21" o:spid="_x0000_s1033" type="#_x0000_t32" style="position:absolute;left:0;margin-left:-16.5pt;margin-top:3.25pt;height:0.05pt;width:444pt;rotation:0f;z-index:251658240;"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p>
    <w:p>
      <w:pPr>
        <w:rPr>
          <w:rFonts w:hint="eastAsia" w:ascii="宋体" w:hAnsi="宋体"/>
          <w:sz w:val="44"/>
          <w:szCs w:val="44"/>
        </w:rPr>
      </w:pPr>
    </w:p>
    <w:p>
      <w:pPr>
        <w:rPr>
          <w:rFonts w:ascii="宋体" w:hAnsi="宋体"/>
          <w:sz w:val="44"/>
          <w:szCs w:val="44"/>
        </w:rPr>
      </w:pPr>
    </w:p>
    <w:p>
      <w:pPr>
        <w:rPr>
          <w:rFonts w:ascii="宋体" w:hAnsi="宋体"/>
          <w:sz w:val="44"/>
          <w:szCs w:val="44"/>
        </w:rPr>
      </w:pPr>
    </w:p>
    <w:p>
      <w:pPr>
        <w:jc w:val="center"/>
        <w:rPr>
          <w:rFonts w:ascii="黑体" w:hAnsi="黑体" w:eastAsia="黑体"/>
          <w:b/>
          <w:sz w:val="44"/>
          <w:szCs w:val="44"/>
        </w:rPr>
      </w:pPr>
      <w:r>
        <w:rPr>
          <w:rFonts w:hint="eastAsia" w:ascii="黑体" w:hAnsi="黑体" w:eastAsia="黑体"/>
          <w:b/>
          <w:sz w:val="44"/>
          <w:szCs w:val="44"/>
        </w:rPr>
        <w:t>开办药品批发企业现代物流基本要求</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hint="eastAsia" w:ascii="宋体" w:hAnsi="宋体"/>
          <w:sz w:val="44"/>
          <w:szCs w:val="44"/>
        </w:rPr>
      </w:pPr>
    </w:p>
    <w:p>
      <w:pPr>
        <w:rPr>
          <w:rFonts w:hint="eastAsia" w:ascii="宋体" w:hAnsi="宋体"/>
          <w:sz w:val="44"/>
          <w:szCs w:val="44"/>
        </w:rPr>
      </w:pPr>
    </w:p>
    <w:p>
      <w:pPr>
        <w:rPr>
          <w:rFonts w:hint="eastAsia" w:ascii="宋体" w:hAnsi="宋体"/>
          <w:sz w:val="44"/>
          <w:szCs w:val="44"/>
        </w:rPr>
      </w:pPr>
    </w:p>
    <w:p>
      <w:pPr>
        <w:rPr>
          <w:rFonts w:hint="eastAsia" w:ascii="宋体" w:hAnsi="宋体"/>
          <w:sz w:val="44"/>
          <w:szCs w:val="44"/>
        </w:rPr>
      </w:pPr>
    </w:p>
    <w:p>
      <w:pPr>
        <w:rPr>
          <w:rFonts w:ascii="宋体" w:hAnsi="宋体"/>
          <w:sz w:val="44"/>
          <w:szCs w:val="44"/>
        </w:rPr>
      </w:pPr>
    </w:p>
    <w:p>
      <w:pPr>
        <w:spacing w:line="600" w:lineRule="exact"/>
        <w:ind w:right="-1270" w:rightChars="-605"/>
        <w:rPr>
          <w:rFonts w:ascii="宋体" w:hAnsi="宋体"/>
          <w:sz w:val="28"/>
          <w:szCs w:val="28"/>
        </w:rPr>
      </w:pPr>
      <w:r>
        <w:rPr>
          <w:rFonts w:ascii="宋体" w:hAnsi="宋体" w:eastAsia="宋体" w:cs="Times New Roman"/>
          <w:kern w:val="2"/>
          <w:sz w:val="44"/>
          <w:szCs w:val="44"/>
          <w:lang w:val="en-US" w:eastAsia="zh-CN" w:bidi="ar-SA"/>
        </w:rPr>
        <w:pict>
          <v:shape id="直接箭头连接符 20" o:spid="_x0000_s1034" type="#_x0000_t32" style="position:absolute;left:0;margin-left:-16.5pt;margin-top:30.1pt;height:0.05pt;width:457.5pt;rotation:0f;z-index:251659264;" o:ole="f" fillcolor="#FFFFFF" filled="t" o:preferrelative="t" stroked="t" coordorigin="0,0" coordsize="21600,21600">
            <v:stroke color="#000000" color2="#FFFFFF" joinstyle="round"/>
            <v:imagedata gain="65536f" blacklevel="0f" gamma="0"/>
            <o:lock v:ext="edit" position="f" selection="f" grouping="f" rotation="f" cropping="f" text="f" aspectratio="f"/>
          </v:shape>
        </w:pict>
      </w:r>
      <w:r>
        <w:rPr>
          <w:rFonts w:hint="eastAsia" w:ascii="宋体" w:hAnsi="宋体"/>
          <w:sz w:val="28"/>
          <w:szCs w:val="28"/>
        </w:rPr>
        <w:t xml:space="preserve">XXXX-XX-XX发布                                XXXX-XX-XX实施          </w:t>
      </w:r>
    </w:p>
    <w:p>
      <w:pPr>
        <w:jc w:val="center"/>
        <w:rPr>
          <w:rFonts w:ascii="黑体" w:hAnsi="黑体" w:eastAsia="黑体" w:cs="Gautami"/>
          <w:b/>
          <w:sz w:val="32"/>
          <w:szCs w:val="32"/>
        </w:rPr>
        <w:sectPr>
          <w:headerReference r:id="rId5" w:type="first"/>
          <w:footerReference r:id="rId7" w:type="first"/>
          <w:headerReference r:id="rId4" w:type="default"/>
          <w:footerReference r:id="rId6" w:type="default"/>
          <w:pgSz w:w="11906" w:h="16838"/>
          <w:pgMar w:top="1440" w:right="1800" w:bottom="1440" w:left="1800" w:header="851" w:footer="992" w:gutter="0"/>
          <w:pgNumType w:fmt="upperRoman" w:start="1"/>
          <w:cols w:space="720" w:num="1"/>
          <w:titlePg/>
          <w:docGrid w:type="lines" w:linePitch="312" w:charSpace="0"/>
        </w:sectPr>
      </w:pPr>
      <w:r>
        <w:rPr>
          <w:rFonts w:hint="eastAsia" w:ascii="方正姚体" w:eastAsia="方正姚体" w:cs="Gautami"/>
          <w:b/>
          <w:sz w:val="44"/>
          <w:szCs w:val="44"/>
        </w:rPr>
        <w:t xml:space="preserve">山西省市场监督管理局  </w:t>
      </w:r>
      <w:r>
        <w:rPr>
          <w:rFonts w:hint="eastAsia" w:ascii="黑体" w:hAnsi="黑体" w:eastAsia="黑体" w:cs="Gautami"/>
          <w:b/>
          <w:sz w:val="32"/>
          <w:szCs w:val="32"/>
        </w:rPr>
        <w:t>发 布</w:t>
      </w:r>
      <w:bookmarkStart w:id="68" w:name="_GoBack"/>
      <w:bookmarkEnd w:id="68"/>
    </w:p>
    <w:p>
      <w:pPr>
        <w:pStyle w:val="9"/>
        <w:tabs>
          <w:tab w:val="right" w:leader="dot" w:pos="8306"/>
        </w:tabs>
      </w:pPr>
    </w:p>
    <w:p>
      <w:pPr>
        <w:pStyle w:val="9"/>
        <w:tabs>
          <w:tab w:val="right" w:leader="dot" w:pos="8306"/>
        </w:tabs>
        <w:jc w:val="center"/>
      </w:pPr>
      <w:r>
        <w:rPr>
          <w:rFonts w:hint="eastAsia" w:ascii="黑体" w:hAnsi="黑体" w:eastAsia="黑体" w:cs="黑体"/>
          <w:sz w:val="32"/>
          <w:szCs w:val="32"/>
        </w:rPr>
        <w:t>目  次</w:t>
      </w:r>
    </w:p>
    <w:p>
      <w:pPr>
        <w:pStyle w:val="9"/>
        <w:tabs>
          <w:tab w:val="right" w:leader="dot" w:pos="8296"/>
        </w:tabs>
        <w:rPr>
          <w:rFonts w:ascii="Calibri" w:hAnsi="Calibri" w:eastAsia="宋体" w:cs="黑体"/>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HYPERLINK  \l "_Toc15461533" </w:instrText>
      </w:r>
      <w:r>
        <w:fldChar w:fldCharType="separate"/>
      </w:r>
      <w:r>
        <w:rPr>
          <w:rStyle w:val="18"/>
          <w:rFonts w:hint="eastAsia" w:ascii="黑体" w:hAnsi="黑体" w:eastAsia="黑体" w:cs="黑体"/>
        </w:rPr>
        <w:t>前</w:t>
      </w:r>
      <w:r>
        <w:rPr>
          <w:rStyle w:val="18"/>
          <w:rFonts w:ascii="黑体" w:hAnsi="黑体" w:eastAsia="黑体" w:cs="黑体"/>
        </w:rPr>
        <w:t xml:space="preserve">  </w:t>
      </w:r>
      <w:r>
        <w:rPr>
          <w:rStyle w:val="18"/>
          <w:rFonts w:hint="eastAsia" w:ascii="黑体" w:hAnsi="黑体" w:eastAsia="黑体" w:cs="黑体"/>
        </w:rPr>
        <w:t>言</w:t>
      </w:r>
      <w:r>
        <w:tab/>
      </w:r>
      <w:r>
        <w:fldChar w:fldCharType="begin"/>
      </w:r>
      <w:r>
        <w:instrText xml:space="preserve"> PAGEREF _Toc15461533 \h </w:instrText>
      </w:r>
      <w:r>
        <w:fldChar w:fldCharType="separate"/>
      </w:r>
      <w:r>
        <w:t>III</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"_Toc15461535" </w:instrText>
      </w:r>
      <w:r>
        <w:fldChar w:fldCharType="separate"/>
      </w:r>
      <w:r>
        <w:rPr>
          <w:rStyle w:val="18"/>
          <w:rFonts w:ascii="黑体" w:hAnsi="黑体" w:eastAsia="黑体" w:cs="黑体"/>
        </w:rPr>
        <w:t xml:space="preserve">1. </w:t>
      </w:r>
      <w:r>
        <w:rPr>
          <w:rStyle w:val="18"/>
          <w:rFonts w:hint="eastAsia" w:ascii="黑体" w:hAnsi="黑体" w:eastAsia="黑体" w:cs="黑体"/>
        </w:rPr>
        <w:t>范围</w:t>
      </w:r>
      <w:r>
        <w:tab/>
      </w:r>
      <w:r>
        <w:fldChar w:fldCharType="begin"/>
      </w:r>
      <w:r>
        <w:instrText xml:space="preserve"> PAGEREF _Toc15461535 \h </w:instrText>
      </w:r>
      <w:r>
        <w:fldChar w:fldCharType="separate"/>
      </w:r>
      <w:r>
        <w:t>1</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"_Toc15461536" </w:instrText>
      </w:r>
      <w:r>
        <w:fldChar w:fldCharType="separate"/>
      </w:r>
      <w:r>
        <w:rPr>
          <w:rStyle w:val="18"/>
          <w:rFonts w:ascii="黑体" w:hAnsi="黑体" w:eastAsia="黑体" w:cs="黑体"/>
        </w:rPr>
        <w:t xml:space="preserve">2. </w:t>
      </w:r>
      <w:r>
        <w:rPr>
          <w:rStyle w:val="18"/>
          <w:rFonts w:hint="eastAsia" w:ascii="黑体" w:hAnsi="黑体" w:eastAsia="黑体" w:cs="黑体"/>
        </w:rPr>
        <w:t>规范性引用文件</w:t>
      </w:r>
      <w:r>
        <w:tab/>
      </w:r>
      <w:r>
        <w:fldChar w:fldCharType="begin"/>
      </w:r>
      <w:r>
        <w:instrText xml:space="preserve"> PAGEREF _Toc15461536 \h </w:instrText>
      </w:r>
      <w:r>
        <w:fldChar w:fldCharType="separate"/>
      </w:r>
      <w:r>
        <w:t>1</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"_Toc15461537" </w:instrText>
      </w:r>
      <w:r>
        <w:fldChar w:fldCharType="separate"/>
      </w:r>
      <w:r>
        <w:rPr>
          <w:rStyle w:val="18"/>
          <w:rFonts w:ascii="黑体" w:hAnsi="黑体" w:eastAsia="黑体" w:cs="黑体"/>
        </w:rPr>
        <w:t>3.</w:t>
      </w:r>
      <w:r>
        <w:rPr>
          <w:rStyle w:val="18"/>
          <w:rFonts w:hint="eastAsia" w:ascii="黑体" w:hAnsi="黑体" w:eastAsia="黑体" w:cs="黑体"/>
        </w:rPr>
        <w:t xml:space="preserve"> 术语与定义</w:t>
      </w:r>
      <w:r>
        <w:tab/>
      </w:r>
      <w:r>
        <w:fldChar w:fldCharType="begin"/>
      </w:r>
      <w:r>
        <w:instrText xml:space="preserve"> PAGEREF _Toc15461537 \h </w:instrText>
      </w:r>
      <w:r>
        <w:fldChar w:fldCharType="separate"/>
      </w:r>
      <w:r>
        <w:t>1</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"_Toc15461545" </w:instrText>
      </w:r>
      <w:r>
        <w:fldChar w:fldCharType="separate"/>
      </w:r>
      <w:r>
        <w:rPr>
          <w:rStyle w:val="18"/>
          <w:rFonts w:ascii="黑体" w:hAnsi="黑体" w:eastAsia="黑体" w:cs="黑体"/>
        </w:rPr>
        <w:t>4.</w:t>
      </w:r>
      <w:r>
        <w:rPr>
          <w:rStyle w:val="18"/>
          <w:rFonts w:hint="eastAsia" w:ascii="黑体" w:hAnsi="黑体" w:eastAsia="黑体" w:cs="黑体"/>
        </w:rPr>
        <w:t xml:space="preserve"> 总体要求</w:t>
      </w:r>
      <w:r>
        <w:tab/>
      </w:r>
      <w:r>
        <w:fldChar w:fldCharType="begin"/>
      </w:r>
      <w:r>
        <w:instrText xml:space="preserve"> PAGEREF _Toc15461545 \h </w:instrText>
      </w:r>
      <w:r>
        <w:fldChar w:fldCharType="separate"/>
      </w:r>
      <w:r>
        <w:t>1</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"_Toc15461547" </w:instrText>
      </w:r>
      <w:r>
        <w:fldChar w:fldCharType="separate"/>
      </w:r>
      <w:r>
        <w:rPr>
          <w:rStyle w:val="18"/>
          <w:rFonts w:ascii="黑体" w:hAnsi="黑体" w:eastAsia="黑体" w:cs="黑体"/>
        </w:rPr>
        <w:t>5.</w:t>
      </w:r>
      <w:r>
        <w:rPr>
          <w:rStyle w:val="18"/>
          <w:rFonts w:hint="eastAsia" w:ascii="黑体" w:hAnsi="黑体" w:eastAsia="黑体" w:cs="黑体"/>
        </w:rPr>
        <w:t xml:space="preserve"> 组织机构与人员</w:t>
      </w:r>
      <w:r>
        <w:tab/>
      </w:r>
      <w:r>
        <w:fldChar w:fldCharType="begin"/>
      </w:r>
      <w:r>
        <w:instrText xml:space="preserve"> PAGEREF _Toc15461547 \h </w:instrText>
      </w:r>
      <w:r>
        <w:fldChar w:fldCharType="separate"/>
      </w:r>
      <w:r>
        <w:t>1</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"_Toc15461549" </w:instrText>
      </w:r>
      <w:r>
        <w:fldChar w:fldCharType="separate"/>
      </w:r>
      <w:r>
        <w:rPr>
          <w:rStyle w:val="18"/>
          <w:rFonts w:ascii="黑体" w:hAnsi="黑体" w:eastAsia="黑体" w:cs="黑体"/>
        </w:rPr>
        <w:t xml:space="preserve">6. </w:t>
      </w:r>
      <w:r>
        <w:rPr>
          <w:rStyle w:val="18"/>
          <w:rFonts w:hint="eastAsia" w:ascii="黑体" w:hAnsi="黑体" w:eastAsia="黑体" w:cs="黑体"/>
        </w:rPr>
        <w:t>设施设备</w:t>
      </w:r>
      <w:r>
        <w:tab/>
      </w:r>
      <w:r>
        <w:fldChar w:fldCharType="begin"/>
      </w:r>
      <w:r>
        <w:instrText xml:space="preserve"> PAGEREF _Toc15461549 \h </w:instrText>
      </w:r>
      <w:r>
        <w:fldChar w:fldCharType="separate"/>
      </w:r>
      <w:r>
        <w:t>2</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"_Toc15461550" </w:instrText>
      </w:r>
      <w:r>
        <w:fldChar w:fldCharType="separate"/>
      </w:r>
      <w:r>
        <w:rPr>
          <w:rStyle w:val="18"/>
          <w:rFonts w:ascii="黑体" w:hAnsi="黑体" w:eastAsia="黑体" w:cs="黑体"/>
        </w:rPr>
        <w:t>7.</w:t>
      </w:r>
      <w:r>
        <w:rPr>
          <w:rStyle w:val="18"/>
          <w:rFonts w:hint="eastAsia" w:ascii="黑体" w:hAnsi="黑体" w:eastAsia="黑体" w:cs="黑体"/>
        </w:rPr>
        <w:t xml:space="preserve"> 信息管理系统</w:t>
      </w:r>
      <w:r>
        <w:tab/>
      </w:r>
      <w:r>
        <w:fldChar w:fldCharType="begin"/>
      </w:r>
      <w:r>
        <w:instrText xml:space="preserve"> PAGEREF _Toc15461550 \h </w:instrText>
      </w:r>
      <w:r>
        <w:fldChar w:fldCharType="separate"/>
      </w:r>
      <w:r>
        <w:t>4</w:t>
      </w:r>
      <w:r>
        <w:fldChar w:fldCharType="end"/>
      </w:r>
      <w:r>
        <w:fldChar w:fldCharType="end"/>
      </w:r>
    </w:p>
    <w:p>
      <w:pPr>
        <w:pStyle w:val="9"/>
        <w:tabs>
          <w:tab w:val="right" w:leader="dot" w:pos="8296"/>
        </w:tabs>
        <w:rPr>
          <w:rFonts w:ascii="Calibri" w:hAnsi="Calibri" w:eastAsia="宋体" w:cs="黑体"/>
        </w:rPr>
      </w:pPr>
      <w:r>
        <w:fldChar w:fldCharType="begin"/>
      </w:r>
      <w:r>
        <w:instrText xml:space="preserve">HYPERLINK  \l "_Toc15461551" </w:instrText>
      </w:r>
      <w:r>
        <w:fldChar w:fldCharType="separate"/>
      </w:r>
      <w:r>
        <w:rPr>
          <w:rStyle w:val="18"/>
          <w:rFonts w:ascii="黑体" w:hAnsi="黑体" w:eastAsia="黑体" w:cs="黑体"/>
        </w:rPr>
        <w:t xml:space="preserve">8. </w:t>
      </w:r>
      <w:r>
        <w:rPr>
          <w:rStyle w:val="18"/>
          <w:rFonts w:hint="eastAsia" w:ascii="黑体" w:hAnsi="黑体" w:eastAsia="黑体" w:cs="黑体"/>
        </w:rPr>
        <w:t>质量管理体系</w:t>
      </w:r>
      <w:r>
        <w:tab/>
      </w:r>
      <w:r>
        <w:fldChar w:fldCharType="begin"/>
      </w:r>
      <w:r>
        <w:instrText xml:space="preserve"> PAGEREF _Toc15461551 \h </w:instrText>
      </w:r>
      <w:r>
        <w:fldChar w:fldCharType="separate"/>
      </w:r>
      <w:r>
        <w:t>5</w:t>
      </w:r>
      <w:r>
        <w:fldChar w:fldCharType="end"/>
      </w:r>
      <w:r>
        <w:fldChar w:fldCharType="end"/>
      </w:r>
    </w:p>
    <w:p>
      <w:pPr>
        <w:pStyle w:val="9"/>
        <w:tabs>
          <w:tab w:val="right" w:leader="dot" w:pos="8306"/>
        </w:tabs>
        <w:rPr>
          <w:rFonts w:hint="eastAsia"/>
        </w:rPr>
      </w:pPr>
      <w:r>
        <w:rPr>
          <w:rFonts w:hint="eastAsia"/>
        </w:rPr>
        <w:fldChar w:fldCharType="end"/>
      </w:r>
      <w:bookmarkStart w:id="0" w:name="_Toc20039"/>
      <w:bookmarkStart w:id="1" w:name="_Toc21154"/>
      <w:r>
        <w:rPr>
          <w:rFonts w:hint="eastAsia"/>
        </w:rPr>
        <w:fldChar w:fldCharType="begin"/>
      </w:r>
      <w:r>
        <w:rPr>
          <w:rFonts w:hint="eastAsia"/>
        </w:rPr>
        <w:instrText xml:space="preserve"> HYPERLINK \l _Toc13660 </w:instrText>
      </w:r>
      <w:r>
        <w:rPr>
          <w:rFonts w:hint="eastAsia"/>
        </w:rPr>
        <w:fldChar w:fldCharType="separate"/>
      </w:r>
      <w:r>
        <w:rPr>
          <w:rFonts w:hint="eastAsia" w:ascii="黑体" w:hAnsi="黑体" w:eastAsia="黑体" w:cs="黑体"/>
          <w:szCs w:val="21"/>
        </w:rPr>
        <w:t>附录A 开办药品批发企业现代物流设施设备配置表</w:t>
      </w:r>
      <w:r>
        <w:tab/>
      </w:r>
      <w:r>
        <w:rPr>
          <w:rFonts w:hint="eastAsia"/>
        </w:rPr>
        <w:t>8</w:t>
      </w:r>
      <w:r>
        <w:rPr>
          <w:rFonts w:hint="eastAsia"/>
        </w:rPr>
        <w:fldChar w:fldCharType="end"/>
      </w:r>
    </w:p>
    <w:p>
      <w:pPr>
        <w:pStyle w:val="9"/>
        <w:tabs>
          <w:tab w:val="right" w:leader="dot" w:pos="8306"/>
        </w:tabs>
      </w:pPr>
      <w:r>
        <w:fldChar w:fldCharType="begin"/>
      </w:r>
      <w:r>
        <w:instrText xml:space="preserve">HYPERLINK  \l "_Toc13660" </w:instrText>
      </w:r>
      <w:r>
        <w:fldChar w:fldCharType="separate"/>
      </w:r>
      <w:r>
        <w:rPr>
          <w:rFonts w:hint="eastAsia" w:ascii="黑体" w:hAnsi="黑体" w:eastAsia="黑体" w:cs="黑体"/>
          <w:szCs w:val="21"/>
        </w:rPr>
        <w:t>参考文献</w:t>
      </w:r>
      <w:r>
        <w:tab/>
      </w:r>
      <w:r>
        <w:rPr>
          <w:rFonts w:hint="eastAsia"/>
        </w:rPr>
        <w:t>9</w:t>
      </w:r>
      <w:r>
        <w:fldChar w:fldCharType="end"/>
      </w:r>
    </w:p>
    <w:p/>
    <w:p>
      <w:pPr>
        <w:pStyle w:val="12"/>
        <w:tabs>
          <w:tab w:val="right" w:leader="dot" w:pos="8306"/>
        </w:tabs>
        <w:spacing w:line="620" w:lineRule="exact"/>
        <w:ind w:left="0" w:leftChars="0"/>
      </w:pPr>
    </w:p>
    <w:p/>
    <w:p/>
    <w:p/>
    <w:p/>
    <w:p/>
    <w:p/>
    <w:p/>
    <w:p/>
    <w:p/>
    <w:p/>
    <w:p/>
    <w:p/>
    <w:p/>
    <w:p/>
    <w:p/>
    <w:p/>
    <w:p/>
    <w:p/>
    <w:p/>
    <w:p/>
    <w:p/>
    <w:p/>
    <w:p/>
    <w:p/>
    <w:p/>
    <w:p>
      <w:pPr>
        <w:outlineLvl w:val="0"/>
        <w:rPr>
          <w:rFonts w:ascii="黑体" w:hAnsi="黑体" w:eastAsia="黑体" w:cs="黑体"/>
          <w:sz w:val="32"/>
          <w:szCs w:val="32"/>
        </w:rPr>
        <w:sectPr>
          <w:footerReference r:id="rId8" w:type="default"/>
          <w:pgSz w:w="11906" w:h="16838"/>
          <w:pgMar w:top="1440" w:right="1800" w:bottom="1440" w:left="1800" w:header="851" w:footer="992" w:gutter="0"/>
          <w:pgNumType w:fmt="upperRoman" w:start="1"/>
          <w:cols w:space="720" w:num="1"/>
          <w:docGrid w:type="lines" w:linePitch="312" w:charSpace="0"/>
        </w:sectPr>
      </w:pPr>
    </w:p>
    <w:p>
      <w:pPr>
        <w:jc w:val="center"/>
        <w:outlineLvl w:val="0"/>
        <w:rPr>
          <w:rFonts w:ascii="黑体" w:hAnsi="黑体" w:eastAsia="黑体" w:cs="黑体"/>
          <w:sz w:val="32"/>
          <w:szCs w:val="32"/>
        </w:rPr>
      </w:pPr>
      <w:bookmarkStart w:id="2" w:name="_Toc30589_WPSOffice_Level1"/>
      <w:bookmarkStart w:id="3" w:name="_Toc15461533"/>
      <w:r>
        <w:rPr>
          <w:rFonts w:hint="eastAsia" w:ascii="黑体" w:hAnsi="黑体" w:eastAsia="黑体" w:cs="黑体"/>
          <w:sz w:val="32"/>
          <w:szCs w:val="32"/>
        </w:rPr>
        <w:t>前  言</w:t>
      </w:r>
      <w:bookmarkEnd w:id="0"/>
      <w:bookmarkEnd w:id="1"/>
      <w:bookmarkEnd w:id="2"/>
      <w:bookmarkEnd w:id="3"/>
    </w:p>
    <w:p/>
    <w:p>
      <w:pPr>
        <w:ind w:firstLine="420" w:firstLineChars="200"/>
        <w:rPr>
          <w:rFonts w:ascii="宋体" w:hAnsi="宋体" w:cs="宋体"/>
        </w:rPr>
      </w:pPr>
      <w:r>
        <w:rPr>
          <w:rFonts w:hint="eastAsia" w:ascii="宋体" w:hAnsi="宋体" w:cs="宋体"/>
        </w:rPr>
        <w:t>本标准按照 GB/T 1.1-2009 给出的规则起草。</w:t>
      </w:r>
    </w:p>
    <w:p>
      <w:pPr>
        <w:ind w:firstLine="420" w:firstLineChars="200"/>
        <w:rPr>
          <w:rFonts w:ascii="宋体" w:hAnsi="宋体" w:cs="宋体"/>
        </w:rPr>
      </w:pPr>
      <w:r>
        <w:rPr>
          <w:rFonts w:hint="eastAsia" w:ascii="宋体" w:hAnsi="宋体" w:cs="宋体"/>
        </w:rPr>
        <w:t>本标准由山西省药品监督管理局提出并归口。</w:t>
      </w:r>
    </w:p>
    <w:p>
      <w:pPr>
        <w:ind w:firstLine="420" w:firstLineChars="200"/>
        <w:rPr>
          <w:rFonts w:ascii="宋体" w:hAnsi="宋体" w:cs="宋体"/>
        </w:rPr>
      </w:pPr>
      <w:r>
        <w:rPr>
          <w:rFonts w:hint="eastAsia" w:ascii="宋体" w:hAnsi="宋体" w:cs="宋体"/>
        </w:rPr>
        <w:t>本标准起草单位：山西省药品监督管理局、太原市市场监督管理局、</w:t>
      </w:r>
    </w:p>
    <w:p>
      <w:pPr>
        <w:ind w:firstLine="2100" w:firstLineChars="1000"/>
        <w:rPr>
          <w:rFonts w:ascii="宋体" w:hAnsi="宋体" w:cs="宋体"/>
        </w:rPr>
      </w:pPr>
      <w:r>
        <w:rPr>
          <w:rFonts w:hint="eastAsia" w:ascii="宋体" w:hAnsi="宋体" w:cs="宋体"/>
        </w:rPr>
        <w:t>山西省食品药品检验所、国药控股山西有限公司</w:t>
      </w:r>
    </w:p>
    <w:p>
      <w:pPr>
        <w:ind w:left="420" w:leftChars="200"/>
      </w:pPr>
      <w:r>
        <w:rPr>
          <w:rFonts w:hint="eastAsia"/>
        </w:rPr>
        <w:t>本标准主要起草人：张雪航、武伟、王小芳、杨国伟、张栋、杨秀芬、</w:t>
      </w:r>
    </w:p>
    <w:p>
      <w:pPr>
        <w:ind w:firstLine="2310" w:firstLineChars="1100"/>
        <w:rPr>
          <w:rFonts w:ascii="宋体" w:hAnsi="宋体" w:cs="宋体"/>
        </w:rPr>
      </w:pPr>
      <w:r>
        <w:rPr>
          <w:rFonts w:hint="eastAsia"/>
        </w:rPr>
        <w:t>郭建平、杜娟、许宏伟</w: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jc w:val="center"/>
        <w:rPr>
          <w:rFonts w:ascii="黑体" w:hAnsi="黑体" w:eastAsia="黑体" w:cs="黑体"/>
          <w:sz w:val="32"/>
          <w:szCs w:val="32"/>
        </w:rPr>
        <w:sectPr>
          <w:footerReference r:id="rId9" w:type="default"/>
          <w:pgSz w:w="11906" w:h="16838"/>
          <w:pgMar w:top="1440" w:right="1800" w:bottom="1440" w:left="1800" w:header="851" w:footer="992" w:gutter="0"/>
          <w:pgNumType w:fmt="upperRoman"/>
          <w:cols w:space="720" w:num="1"/>
          <w:docGrid w:type="lines" w:linePitch="312" w:charSpace="0"/>
        </w:sectPr>
      </w:pPr>
    </w:p>
    <w:p>
      <w:pPr>
        <w:spacing w:line="460" w:lineRule="exact"/>
        <w:jc w:val="center"/>
        <w:outlineLvl w:val="0"/>
        <w:rPr>
          <w:rFonts w:ascii="黑体" w:hAnsi="黑体" w:eastAsia="黑体" w:cs="黑体"/>
          <w:sz w:val="32"/>
          <w:szCs w:val="32"/>
        </w:rPr>
      </w:pPr>
      <w:bookmarkStart w:id="4" w:name="_Toc16911_WPSOffice_Level1"/>
      <w:bookmarkStart w:id="5" w:name="_Toc1717"/>
      <w:bookmarkStart w:id="6" w:name="_Toc15219"/>
      <w:bookmarkStart w:id="7" w:name="_Toc15461534"/>
      <w:bookmarkStart w:id="8" w:name="_Toc24445"/>
      <w:bookmarkStart w:id="9" w:name="_Toc4621"/>
      <w:bookmarkStart w:id="10" w:name="_Toc11446"/>
      <w:r>
        <w:rPr>
          <w:rFonts w:hint="eastAsia" w:ascii="黑体" w:hAnsi="黑体" w:eastAsia="黑体" w:cs="黑体"/>
          <w:sz w:val="32"/>
          <w:szCs w:val="32"/>
        </w:rPr>
        <w:t>开办药品批发企业现代物流</w:t>
      </w:r>
      <w:bookmarkEnd w:id="4"/>
      <w:bookmarkEnd w:id="5"/>
      <w:r>
        <w:rPr>
          <w:rFonts w:hint="eastAsia" w:ascii="黑体" w:hAnsi="黑体" w:eastAsia="黑体" w:cs="黑体"/>
          <w:sz w:val="32"/>
          <w:szCs w:val="32"/>
        </w:rPr>
        <w:t>基本要求</w:t>
      </w:r>
      <w:bookmarkEnd w:id="6"/>
      <w:bookmarkEnd w:id="7"/>
    </w:p>
    <w:p>
      <w:pPr>
        <w:spacing w:line="460" w:lineRule="exact"/>
        <w:jc w:val="left"/>
        <w:outlineLvl w:val="0"/>
        <w:rPr>
          <w:rFonts w:ascii="黑体" w:hAnsi="黑体" w:eastAsia="黑体" w:cs="黑体"/>
          <w:szCs w:val="21"/>
        </w:rPr>
      </w:pPr>
      <w:bookmarkStart w:id="11" w:name="_Toc4520"/>
      <w:bookmarkStart w:id="12" w:name="_Toc15461535"/>
      <w:r>
        <w:rPr>
          <w:rFonts w:hint="eastAsia" w:ascii="黑体" w:hAnsi="黑体" w:eastAsia="黑体" w:cs="黑体"/>
          <w:szCs w:val="21"/>
        </w:rPr>
        <w:t>1. 范围</w:t>
      </w:r>
      <w:bookmarkEnd w:id="8"/>
      <w:bookmarkEnd w:id="9"/>
      <w:bookmarkEnd w:id="10"/>
      <w:bookmarkEnd w:id="11"/>
      <w:bookmarkEnd w:id="12"/>
    </w:p>
    <w:p>
      <w:pPr>
        <w:spacing w:line="460" w:lineRule="exact"/>
        <w:ind w:firstLine="420" w:firstLineChars="200"/>
        <w:jc w:val="left"/>
        <w:rPr>
          <w:rFonts w:ascii="宋体" w:hAnsi="宋体" w:cs="宋体"/>
          <w:szCs w:val="21"/>
        </w:rPr>
      </w:pPr>
      <w:r>
        <w:rPr>
          <w:rFonts w:hint="eastAsia" w:ascii="宋体" w:hAnsi="宋体" w:cs="宋体"/>
          <w:szCs w:val="21"/>
        </w:rPr>
        <w:t>本标准规定了开办药品批发企业现代物流基本要求的术语与定义、总体要求、组织机构与人员、设施设备、信息管理系统及质量管理体系。</w:t>
      </w:r>
    </w:p>
    <w:p>
      <w:pPr>
        <w:spacing w:line="460" w:lineRule="exact"/>
        <w:ind w:firstLine="420" w:firstLineChars="200"/>
        <w:jc w:val="left"/>
        <w:rPr>
          <w:rFonts w:ascii="宋体" w:hAnsi="宋体" w:cs="宋体"/>
          <w:szCs w:val="21"/>
        </w:rPr>
      </w:pPr>
      <w:r>
        <w:rPr>
          <w:rFonts w:hint="eastAsia" w:ascii="宋体" w:hAnsi="宋体" w:cs="宋体"/>
          <w:szCs w:val="21"/>
        </w:rPr>
        <w:t>本标准适用于开办药品批发企业现代物流建设的基本要求。</w:t>
      </w:r>
    </w:p>
    <w:p>
      <w:pPr>
        <w:spacing w:line="460" w:lineRule="exact"/>
        <w:jc w:val="left"/>
        <w:outlineLvl w:val="0"/>
        <w:rPr>
          <w:rFonts w:ascii="黑体" w:hAnsi="黑体" w:eastAsia="黑体" w:cs="黑体"/>
          <w:szCs w:val="21"/>
        </w:rPr>
      </w:pPr>
      <w:bookmarkStart w:id="13" w:name="_Toc1375"/>
      <w:bookmarkStart w:id="14" w:name="_Toc10891"/>
      <w:bookmarkStart w:id="15" w:name="_Toc440"/>
      <w:bookmarkStart w:id="16" w:name="_Toc1066"/>
      <w:bookmarkStart w:id="17" w:name="_Toc15461536"/>
      <w:r>
        <w:rPr>
          <w:rFonts w:hint="eastAsia" w:ascii="黑体" w:hAnsi="黑体" w:eastAsia="黑体" w:cs="黑体"/>
          <w:szCs w:val="21"/>
        </w:rPr>
        <w:t>2. 规范性引用文件</w:t>
      </w:r>
      <w:bookmarkEnd w:id="13"/>
      <w:bookmarkEnd w:id="14"/>
      <w:bookmarkEnd w:id="15"/>
      <w:bookmarkEnd w:id="16"/>
      <w:bookmarkEnd w:id="17"/>
    </w:p>
    <w:p>
      <w:pPr>
        <w:spacing w:line="460" w:lineRule="exact"/>
        <w:ind w:firstLine="420" w:firstLineChars="200"/>
        <w:jc w:val="left"/>
        <w:rPr>
          <w:rFonts w:ascii="宋体" w:hAnsi="宋体" w:cs="宋体"/>
          <w:szCs w:val="21"/>
        </w:rPr>
      </w:pPr>
      <w:r>
        <w:rPr>
          <w:rFonts w:hint="eastAsia" w:ascii="宋体" w:hAnsi="宋体" w:cs="宋体"/>
          <w:szCs w:val="21"/>
        </w:rPr>
        <w:t>下列文件对于本文件的应用是必不可少的。凡是注日期的引用文件，仅所注日期的版本适用于本文件。凡是不注日期的引用文件，其最新版本（包括所有的修改单）适用于本文件。</w:t>
      </w:r>
    </w:p>
    <w:p>
      <w:pPr>
        <w:spacing w:line="460" w:lineRule="exact"/>
        <w:ind w:firstLine="420" w:firstLineChars="200"/>
        <w:jc w:val="left"/>
        <w:rPr>
          <w:rFonts w:ascii="宋体" w:hAnsi="宋体" w:cs="宋体"/>
          <w:szCs w:val="21"/>
        </w:rPr>
      </w:pPr>
      <w:r>
        <w:rPr>
          <w:rFonts w:hint="eastAsia" w:ascii="宋体" w:hAnsi="宋体" w:cs="宋体"/>
          <w:szCs w:val="21"/>
        </w:rPr>
        <w:t>GB/T 18354 物流术语</w:t>
      </w:r>
    </w:p>
    <w:p>
      <w:pPr>
        <w:spacing w:line="460" w:lineRule="exact"/>
        <w:ind w:firstLine="420" w:firstLineChars="200"/>
        <w:jc w:val="left"/>
        <w:rPr>
          <w:rFonts w:ascii="宋体" w:hAnsi="宋体" w:cs="宋体"/>
          <w:szCs w:val="21"/>
        </w:rPr>
      </w:pPr>
      <w:bookmarkStart w:id="18" w:name="OLE_LINK2"/>
      <w:r>
        <w:rPr>
          <w:rFonts w:hint="eastAsia" w:ascii="宋体" w:hAnsi="宋体" w:cs="宋体"/>
          <w:szCs w:val="21"/>
        </w:rPr>
        <w:t>GB/T 19680</w:t>
      </w:r>
      <w:bookmarkEnd w:id="18"/>
      <w:r>
        <w:rPr>
          <w:rFonts w:hint="eastAsia" w:ascii="宋体" w:hAnsi="宋体" w:cs="宋体"/>
          <w:szCs w:val="21"/>
        </w:rPr>
        <w:t>-2013 物流企业分类与评估指标</w:t>
      </w:r>
    </w:p>
    <w:p>
      <w:pPr>
        <w:spacing w:line="460" w:lineRule="exact"/>
        <w:ind w:firstLine="420" w:firstLineChars="200"/>
        <w:jc w:val="left"/>
        <w:rPr>
          <w:rFonts w:hint="eastAsia" w:ascii="宋体" w:hAnsi="宋体" w:cs="宋体"/>
          <w:szCs w:val="21"/>
        </w:rPr>
      </w:pPr>
      <w:r>
        <w:rPr>
          <w:rFonts w:hint="eastAsia" w:ascii="宋体" w:hAnsi="宋体" w:cs="宋体"/>
          <w:szCs w:val="21"/>
        </w:rPr>
        <w:t>《中华人民共和国药典》</w:t>
      </w:r>
    </w:p>
    <w:p>
      <w:pPr>
        <w:spacing w:line="460" w:lineRule="exact"/>
        <w:ind w:firstLine="420" w:firstLineChars="200"/>
        <w:jc w:val="left"/>
        <w:rPr>
          <w:rFonts w:ascii="宋体" w:hAnsi="宋体" w:cs="宋体"/>
          <w:szCs w:val="21"/>
        </w:rPr>
      </w:pPr>
      <w:r>
        <w:rPr>
          <w:rFonts w:hint="eastAsia" w:ascii="宋体" w:hAnsi="宋体" w:cs="宋体"/>
          <w:szCs w:val="21"/>
        </w:rPr>
        <w:t>《药品经营质量管理规范》</w:t>
      </w:r>
    </w:p>
    <w:p>
      <w:pPr>
        <w:numPr>
          <w:ilvl w:val="0"/>
          <w:numId w:val="1"/>
        </w:numPr>
        <w:spacing w:line="460" w:lineRule="exact"/>
        <w:jc w:val="left"/>
        <w:outlineLvl w:val="0"/>
        <w:rPr>
          <w:rFonts w:ascii="黑体" w:hAnsi="黑体" w:eastAsia="黑体" w:cs="黑体"/>
          <w:szCs w:val="21"/>
        </w:rPr>
      </w:pPr>
      <w:bookmarkStart w:id="19" w:name="_Toc1015"/>
      <w:bookmarkStart w:id="20" w:name="_Toc5533"/>
      <w:bookmarkStart w:id="21" w:name="_Toc21599"/>
      <w:bookmarkStart w:id="22" w:name="_Toc27657"/>
      <w:bookmarkStart w:id="23" w:name="_Toc15461537"/>
      <w:r>
        <w:rPr>
          <w:rFonts w:hint="eastAsia" w:ascii="黑体" w:hAnsi="黑体" w:eastAsia="黑体" w:cs="黑体"/>
          <w:szCs w:val="21"/>
        </w:rPr>
        <w:t>术语与定义</w:t>
      </w:r>
      <w:bookmarkEnd w:id="19"/>
      <w:bookmarkEnd w:id="20"/>
      <w:bookmarkEnd w:id="21"/>
      <w:bookmarkEnd w:id="22"/>
      <w:bookmarkEnd w:id="23"/>
    </w:p>
    <w:p>
      <w:pPr>
        <w:spacing w:line="460" w:lineRule="exact"/>
        <w:jc w:val="left"/>
        <w:outlineLvl w:val="0"/>
        <w:rPr>
          <w:rFonts w:ascii="黑体" w:hAnsi="黑体" w:eastAsia="黑体" w:cs="黑体"/>
          <w:szCs w:val="21"/>
        </w:rPr>
      </w:pPr>
      <w:r>
        <w:rPr>
          <w:rFonts w:hint="eastAsia" w:ascii="黑体" w:hAnsi="黑体" w:eastAsia="黑体" w:cs="黑体"/>
          <w:szCs w:val="21"/>
        </w:rPr>
        <w:t xml:space="preserve">    </w:t>
      </w:r>
      <w:bookmarkStart w:id="24" w:name="_Toc19043"/>
      <w:bookmarkStart w:id="25" w:name="_Toc816"/>
      <w:bookmarkStart w:id="26" w:name="_Toc8975"/>
      <w:bookmarkStart w:id="27" w:name="_Toc15461538"/>
      <w:r>
        <w:rPr>
          <w:rFonts w:hint="eastAsia" w:ascii="宋体" w:hAnsi="宋体" w:cs="宋体"/>
          <w:szCs w:val="21"/>
        </w:rPr>
        <w:t>GB/T 18354界定的以及下列术语与定义适用于本文件。</w:t>
      </w:r>
      <w:bookmarkEnd w:id="24"/>
      <w:bookmarkEnd w:id="25"/>
      <w:bookmarkEnd w:id="26"/>
      <w:bookmarkEnd w:id="27"/>
    </w:p>
    <w:p>
      <w:pPr>
        <w:spacing w:line="460" w:lineRule="exact"/>
        <w:jc w:val="left"/>
        <w:outlineLvl w:val="1"/>
        <w:rPr>
          <w:rFonts w:ascii="宋体" w:hAnsi="宋体" w:cs="宋体"/>
          <w:szCs w:val="21"/>
        </w:rPr>
      </w:pPr>
      <w:bookmarkStart w:id="28" w:name="_Toc17551"/>
      <w:bookmarkStart w:id="29" w:name="_Toc24821"/>
      <w:bookmarkStart w:id="30" w:name="_Toc30626"/>
      <w:bookmarkStart w:id="31" w:name="_Toc15461539"/>
      <w:bookmarkStart w:id="32" w:name="_Toc27077"/>
      <w:bookmarkStart w:id="33" w:name="_Toc15855"/>
      <w:bookmarkStart w:id="34" w:name="_Toc10288"/>
      <w:bookmarkStart w:id="35" w:name="_Toc1539"/>
      <w:r>
        <w:rPr>
          <w:rFonts w:hint="eastAsia" w:ascii="黑体" w:hAnsi="黑体" w:eastAsia="黑体" w:cs="黑体"/>
          <w:szCs w:val="21"/>
        </w:rPr>
        <w:t>3.1</w:t>
      </w:r>
      <w:bookmarkEnd w:id="28"/>
      <w:bookmarkEnd w:id="29"/>
      <w:bookmarkEnd w:id="30"/>
      <w:bookmarkEnd w:id="31"/>
      <w:r>
        <w:rPr>
          <w:rFonts w:hint="eastAsia" w:ascii="宋体" w:hAnsi="宋体" w:cs="宋体"/>
          <w:szCs w:val="21"/>
        </w:rPr>
        <w:t xml:space="preserve"> </w:t>
      </w:r>
    </w:p>
    <w:p>
      <w:pPr>
        <w:spacing w:line="460" w:lineRule="exact"/>
        <w:ind w:firstLine="420"/>
        <w:jc w:val="left"/>
        <w:outlineLvl w:val="1"/>
        <w:rPr>
          <w:rFonts w:ascii="宋体" w:hAnsi="宋体" w:cs="宋体"/>
          <w:szCs w:val="21"/>
        </w:rPr>
      </w:pPr>
      <w:bookmarkStart w:id="36" w:name="_Toc14171"/>
      <w:bookmarkStart w:id="37" w:name="_Toc15461540"/>
      <w:bookmarkStart w:id="38" w:name="_Toc14494"/>
      <w:r>
        <w:rPr>
          <w:rFonts w:hint="eastAsia" w:ascii="宋体" w:hAnsi="宋体" w:cs="宋体"/>
          <w:szCs w:val="21"/>
        </w:rPr>
        <w:t>药品批发企业</w:t>
      </w:r>
      <w:bookmarkEnd w:id="36"/>
      <w:bookmarkEnd w:id="37"/>
      <w:bookmarkEnd w:id="38"/>
    </w:p>
    <w:p>
      <w:pPr>
        <w:spacing w:line="460" w:lineRule="exact"/>
        <w:ind w:firstLine="420"/>
        <w:jc w:val="left"/>
        <w:outlineLvl w:val="1"/>
        <w:rPr>
          <w:rFonts w:ascii="宋体" w:hAnsi="宋体" w:cs="宋体"/>
          <w:szCs w:val="21"/>
        </w:rPr>
      </w:pPr>
      <w:bookmarkStart w:id="39" w:name="_Toc25656"/>
      <w:bookmarkStart w:id="40" w:name="_Toc22525"/>
      <w:bookmarkStart w:id="41" w:name="_Toc15461541"/>
      <w:r>
        <w:rPr>
          <w:rFonts w:hint="eastAsia" w:ascii="宋体" w:hAnsi="宋体" w:cs="宋体"/>
          <w:szCs w:val="21"/>
        </w:rPr>
        <w:t>将购进的药品销售给药品生产企业、药品经营企业、医疗机构的药品经营企业。</w:t>
      </w:r>
      <w:bookmarkEnd w:id="39"/>
      <w:bookmarkEnd w:id="40"/>
      <w:bookmarkEnd w:id="41"/>
    </w:p>
    <w:p>
      <w:pPr>
        <w:spacing w:line="460" w:lineRule="exact"/>
        <w:jc w:val="left"/>
        <w:outlineLvl w:val="1"/>
        <w:rPr>
          <w:rFonts w:ascii="黑体" w:hAnsi="黑体" w:eastAsia="黑体" w:cs="黑体"/>
          <w:szCs w:val="21"/>
        </w:rPr>
      </w:pPr>
      <w:bookmarkStart w:id="42" w:name="_Toc14237"/>
      <w:bookmarkStart w:id="43" w:name="_Toc15461542"/>
      <w:bookmarkStart w:id="44" w:name="_Toc4071"/>
      <w:r>
        <w:rPr>
          <w:rFonts w:hint="eastAsia" w:ascii="黑体" w:hAnsi="黑体" w:eastAsia="黑体" w:cs="黑体"/>
          <w:szCs w:val="21"/>
        </w:rPr>
        <w:t>3.2</w:t>
      </w:r>
      <w:bookmarkEnd w:id="42"/>
      <w:bookmarkEnd w:id="43"/>
      <w:bookmarkEnd w:id="44"/>
    </w:p>
    <w:p>
      <w:pPr>
        <w:spacing w:line="460" w:lineRule="exact"/>
        <w:ind w:firstLine="420" w:firstLineChars="200"/>
        <w:jc w:val="left"/>
        <w:outlineLvl w:val="1"/>
        <w:rPr>
          <w:rFonts w:ascii="宋体" w:hAnsi="宋体" w:cs="宋体"/>
          <w:szCs w:val="21"/>
        </w:rPr>
      </w:pPr>
      <w:bookmarkStart w:id="45" w:name="_Toc28343"/>
      <w:bookmarkStart w:id="46" w:name="_Toc29048"/>
      <w:bookmarkStart w:id="47" w:name="_Toc15461543"/>
      <w:r>
        <w:rPr>
          <w:rFonts w:hint="eastAsia" w:ascii="宋体" w:hAnsi="宋体" w:cs="宋体"/>
          <w:szCs w:val="21"/>
        </w:rPr>
        <w:t>现代物流</w:t>
      </w:r>
      <w:bookmarkEnd w:id="45"/>
      <w:bookmarkEnd w:id="46"/>
      <w:bookmarkEnd w:id="47"/>
    </w:p>
    <w:p>
      <w:pPr>
        <w:spacing w:line="460" w:lineRule="exact"/>
        <w:ind w:firstLine="420" w:firstLineChars="200"/>
        <w:jc w:val="left"/>
        <w:outlineLvl w:val="1"/>
        <w:rPr>
          <w:rFonts w:ascii="宋体" w:hAnsi="宋体" w:cs="宋体"/>
          <w:szCs w:val="21"/>
        </w:rPr>
      </w:pPr>
      <w:bookmarkStart w:id="48" w:name="_Toc673"/>
      <w:bookmarkStart w:id="49" w:name="_Toc17376"/>
      <w:bookmarkStart w:id="50" w:name="_Toc15461544"/>
      <w:r>
        <w:rPr>
          <w:rFonts w:hint="eastAsia" w:ascii="宋体" w:hAnsi="宋体" w:cs="宋体"/>
          <w:szCs w:val="21"/>
        </w:rPr>
        <w:t>通过信息化手段及现代化设施设备将运输、仓储、库存、装卸搬运以及包装等物流活动有机结合，形成的一种完整的集成式管理模式。</w:t>
      </w:r>
      <w:bookmarkEnd w:id="48"/>
      <w:bookmarkEnd w:id="49"/>
      <w:bookmarkEnd w:id="50"/>
    </w:p>
    <w:bookmarkEnd w:id="32"/>
    <w:bookmarkEnd w:id="33"/>
    <w:bookmarkEnd w:id="34"/>
    <w:bookmarkEnd w:id="35"/>
    <w:p>
      <w:pPr>
        <w:numPr>
          <w:ilvl w:val="0"/>
          <w:numId w:val="1"/>
        </w:numPr>
        <w:spacing w:line="460" w:lineRule="exact"/>
        <w:jc w:val="left"/>
        <w:outlineLvl w:val="0"/>
        <w:rPr>
          <w:rFonts w:ascii="黑体" w:hAnsi="黑体" w:eastAsia="黑体" w:cs="黑体"/>
          <w:szCs w:val="21"/>
        </w:rPr>
      </w:pPr>
      <w:bookmarkStart w:id="51" w:name="_Toc15461545"/>
      <w:bookmarkStart w:id="52" w:name="_Toc11888"/>
      <w:r>
        <w:rPr>
          <w:rFonts w:hint="eastAsia" w:ascii="黑体" w:hAnsi="黑体" w:eastAsia="黑体" w:cs="黑体"/>
          <w:szCs w:val="21"/>
        </w:rPr>
        <w:t>总体要求</w:t>
      </w:r>
      <w:bookmarkEnd w:id="51"/>
    </w:p>
    <w:p>
      <w:pPr>
        <w:spacing w:line="460" w:lineRule="exact"/>
        <w:jc w:val="left"/>
        <w:outlineLvl w:val="0"/>
        <w:rPr>
          <w:rFonts w:ascii="黑体" w:hAnsi="黑体" w:eastAsia="黑体" w:cs="黑体"/>
          <w:szCs w:val="21"/>
        </w:rPr>
      </w:pPr>
      <w:r>
        <w:rPr>
          <w:rFonts w:hint="eastAsia" w:ascii="黑体" w:hAnsi="黑体" w:eastAsia="黑体" w:cs="黑体"/>
          <w:szCs w:val="21"/>
        </w:rPr>
        <w:t xml:space="preserve">    </w:t>
      </w:r>
      <w:bookmarkStart w:id="53" w:name="_Toc26226"/>
      <w:bookmarkStart w:id="54" w:name="_Toc15461546"/>
      <w:r>
        <w:rPr>
          <w:rFonts w:hint="eastAsia" w:ascii="宋体" w:hAnsi="宋体" w:cs="宋体"/>
          <w:szCs w:val="21"/>
        </w:rPr>
        <w:t>开办药品批发企业涉及的组织机构、人员、设施设备、信息管理系统与质量管理体系等内容均应符合法律法规要求。</w:t>
      </w:r>
      <w:bookmarkEnd w:id="53"/>
      <w:bookmarkEnd w:id="54"/>
    </w:p>
    <w:p>
      <w:pPr>
        <w:numPr>
          <w:ilvl w:val="0"/>
          <w:numId w:val="1"/>
        </w:numPr>
        <w:spacing w:line="460" w:lineRule="exact"/>
        <w:jc w:val="left"/>
        <w:outlineLvl w:val="0"/>
        <w:rPr>
          <w:rFonts w:ascii="黑体" w:hAnsi="黑体" w:eastAsia="黑体" w:cs="黑体"/>
          <w:szCs w:val="21"/>
        </w:rPr>
      </w:pPr>
      <w:bookmarkStart w:id="55" w:name="_Toc15461547"/>
      <w:r>
        <w:rPr>
          <w:rFonts w:hint="eastAsia" w:ascii="黑体" w:hAnsi="黑体" w:eastAsia="黑体" w:cs="黑体"/>
          <w:szCs w:val="21"/>
        </w:rPr>
        <w:t>组织机构与人员</w:t>
      </w:r>
      <w:bookmarkEnd w:id="52"/>
      <w:bookmarkEnd w:id="55"/>
    </w:p>
    <w:p>
      <w:pPr>
        <w:pStyle w:val="14"/>
        <w:shd w:val="clear" w:color="auto" w:fill="FFFFFF"/>
        <w:spacing w:before="0" w:beforeAutospacing="0" w:after="0" w:afterAutospacing="0" w:line="360" w:lineRule="atLeast"/>
        <w:jc w:val="both"/>
        <w:rPr>
          <w:rFonts w:ascii="黑体" w:hAnsi="黑体" w:eastAsia="黑体" w:cs="黑体"/>
          <w:kern w:val="2"/>
          <w:sz w:val="21"/>
          <w:szCs w:val="21"/>
        </w:rPr>
      </w:pPr>
      <w:r>
        <w:rPr>
          <w:rFonts w:hint="eastAsia" w:ascii="黑体" w:hAnsi="黑体" w:eastAsia="黑体" w:cs="黑体"/>
          <w:kern w:val="2"/>
          <w:sz w:val="21"/>
          <w:szCs w:val="21"/>
        </w:rPr>
        <w:t xml:space="preserve">    5.1</w:t>
      </w:r>
      <w:r>
        <w:rPr>
          <w:rFonts w:hint="eastAsia" w:ascii="宋体" w:hAnsi="宋体" w:cs="宋体"/>
          <w:kern w:val="2"/>
          <w:sz w:val="21"/>
          <w:szCs w:val="21"/>
        </w:rPr>
        <w:t>开办药品批发企业应当设立与其经营活动和质量管理相适应的组织机构和岗位，明确规定其职责、权限及相互关系。设置专门的质量管理机构，并下设质量管理组、质量验收组、质量养护组，每组至少2名专职人员。</w:t>
      </w:r>
    </w:p>
    <w:p>
      <w:pPr>
        <w:spacing w:line="460" w:lineRule="exact"/>
        <w:jc w:val="left"/>
        <w:outlineLvl w:val="1"/>
        <w:rPr>
          <w:rFonts w:ascii="宋体" w:hAnsi="宋体" w:cs="宋体"/>
          <w:szCs w:val="21"/>
        </w:rPr>
      </w:pPr>
      <w:r>
        <w:rPr>
          <w:rFonts w:hint="eastAsia" w:ascii="宋体" w:hAnsi="宋体" w:cs="宋体"/>
          <w:szCs w:val="21"/>
        </w:rPr>
        <w:t xml:space="preserve">    </w:t>
      </w:r>
      <w:bookmarkStart w:id="56" w:name="_Toc14959"/>
      <w:bookmarkStart w:id="57" w:name="_Toc21986"/>
      <w:bookmarkStart w:id="58" w:name="_Toc3042"/>
      <w:bookmarkStart w:id="59" w:name="_Toc15461548"/>
      <w:r>
        <w:rPr>
          <w:rFonts w:hint="eastAsia" w:ascii="黑体" w:hAnsi="黑体" w:eastAsia="黑体" w:cs="黑体"/>
          <w:szCs w:val="21"/>
        </w:rPr>
        <w:t>5.2</w:t>
      </w:r>
      <w:r>
        <w:rPr>
          <w:rFonts w:hint="eastAsia" w:ascii="宋体" w:hAnsi="宋体" w:cs="宋体"/>
          <w:szCs w:val="21"/>
        </w:rPr>
        <w:t>企业质量管理机构应行使药品质量管理职能，全面负责药品质量管理工作，独立履行职责。</w:t>
      </w:r>
      <w:bookmarkEnd w:id="56"/>
      <w:bookmarkEnd w:id="57"/>
      <w:bookmarkEnd w:id="58"/>
      <w:bookmarkEnd w:id="59"/>
    </w:p>
    <w:p>
      <w:pPr>
        <w:pStyle w:val="14"/>
        <w:shd w:val="clear" w:color="auto" w:fill="FFFFFF"/>
        <w:spacing w:before="0" w:beforeAutospacing="0" w:after="0" w:afterAutospacing="0" w:line="360" w:lineRule="atLeast"/>
        <w:ind w:firstLine="420" w:firstLineChars="200"/>
        <w:jc w:val="both"/>
        <w:rPr>
          <w:rFonts w:ascii="宋体" w:hAnsi="宋体" w:cs="宋体"/>
          <w:kern w:val="2"/>
          <w:sz w:val="21"/>
          <w:szCs w:val="21"/>
        </w:rPr>
      </w:pPr>
      <w:r>
        <w:rPr>
          <w:rFonts w:hint="eastAsia" w:ascii="黑体" w:hAnsi="黑体" w:eastAsia="黑体" w:cs="黑体"/>
          <w:kern w:val="2"/>
          <w:sz w:val="21"/>
          <w:szCs w:val="21"/>
        </w:rPr>
        <w:t xml:space="preserve">5.3 </w:t>
      </w:r>
      <w:r>
        <w:rPr>
          <w:rFonts w:hint="eastAsia" w:ascii="宋体" w:hAnsi="宋体" w:cs="宋体"/>
          <w:kern w:val="2"/>
          <w:sz w:val="21"/>
          <w:szCs w:val="21"/>
        </w:rPr>
        <w:t>企业、企业法定代表人或企业负责人、质量负责人无《药品管理法》第75条、82条规定的情形。</w:t>
      </w:r>
    </w:p>
    <w:p>
      <w:pPr>
        <w:pStyle w:val="14"/>
        <w:shd w:val="clear" w:color="auto" w:fill="FFFFFF"/>
        <w:spacing w:before="0" w:beforeAutospacing="0" w:after="0" w:afterAutospacing="0" w:line="360" w:lineRule="atLeast"/>
        <w:ind w:firstLine="210" w:firstLineChars="100"/>
        <w:jc w:val="both"/>
        <w:rPr>
          <w:rFonts w:ascii="宋体" w:hAnsi="宋体" w:cs="宋体"/>
          <w:color w:val="000000"/>
          <w:sz w:val="21"/>
          <w:szCs w:val="21"/>
        </w:rPr>
      </w:pPr>
      <w:r>
        <w:rPr>
          <w:rFonts w:hint="eastAsia" w:ascii="宋体" w:hAnsi="宋体" w:cs="宋体"/>
          <w:kern w:val="2"/>
          <w:sz w:val="21"/>
          <w:szCs w:val="21"/>
        </w:rPr>
        <w:t xml:space="preserve">  </w:t>
      </w:r>
      <w:r>
        <w:rPr>
          <w:rFonts w:hint="eastAsia" w:ascii="黑体" w:hAnsi="黑体" w:eastAsia="黑体" w:cs="黑体"/>
          <w:kern w:val="2"/>
          <w:sz w:val="21"/>
          <w:szCs w:val="21"/>
        </w:rPr>
        <w:t>5.4</w:t>
      </w:r>
      <w:r>
        <w:rPr>
          <w:rFonts w:hint="eastAsia" w:ascii="宋体" w:hAnsi="宋体" w:cs="宋体"/>
          <w:color w:val="000000"/>
          <w:sz w:val="21"/>
          <w:szCs w:val="21"/>
        </w:rPr>
        <w:t>企业对药品质量负主体责任，企业负责人为本企业药品经营质量管理第一责任人，对其药品经营质量管理行为承担领导责任。负责人应当具有大学专科以上学历或者中级以上专业技术职称，经过基本的药学专业知识培训，熟悉有关药品管理的法律法规及《药品经营质量管理规范》。</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5.5</w:t>
      </w:r>
      <w:r>
        <w:rPr>
          <w:rFonts w:hint="eastAsia" w:ascii="宋体" w:hAnsi="宋体" w:cs="宋体"/>
          <w:color w:val="000000"/>
          <w:sz w:val="21"/>
          <w:szCs w:val="21"/>
        </w:rPr>
        <w:t>企业质量负责人应当由高层管理人员担任，全面负责药品质量管理工作，独立履行职责，在企业内部对药品质量管理具有裁决权。应具有大学本科（含）以上学历、执业药师资格和3年以上（含3年，下同）药品经营质量管理工作经历。在质量管理工作中具备正确判断和保障实施的能力，在职在岗，不得在其它单位兼职。</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5.6</w:t>
      </w:r>
      <w:r>
        <w:rPr>
          <w:rFonts w:hint="eastAsia" w:ascii="宋体" w:hAnsi="宋体" w:cs="宋体"/>
          <w:color w:val="000000"/>
          <w:sz w:val="21"/>
          <w:szCs w:val="21"/>
        </w:rPr>
        <w:t>企业质量管理机构负责人应当具有执业药师资格和3年以上药品经营质量管理工作经历，能独立解决经营过程中的质量问题，在职在岗，不得在其它单位兼职，也不得在本企业其它岗位兼职。</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w:t>
      </w:r>
      <w:r>
        <w:rPr>
          <w:rFonts w:hint="eastAsia" w:ascii="宋体" w:hAnsi="宋体" w:cs="宋体"/>
          <w:color w:val="000000"/>
          <w:sz w:val="21"/>
          <w:szCs w:val="21"/>
        </w:rPr>
        <w:t>企业从事药品质量管理、验收、养护等工作的人员应符合相关要求：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5.7.1</w:t>
      </w:r>
      <w:r>
        <w:rPr>
          <w:rFonts w:hint="eastAsia" w:ascii="宋体" w:hAnsi="宋体" w:cs="宋体"/>
          <w:color w:val="000000"/>
          <w:sz w:val="21"/>
          <w:szCs w:val="21"/>
        </w:rPr>
        <w:t>从事质量管理工作的，应当具有药学中专或者医学、生物、化学等相关专业大学专科以上学历或者具有药学初级以上专业技术职称。</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5.7.2</w:t>
      </w:r>
      <w:r>
        <w:rPr>
          <w:rFonts w:hint="eastAsia" w:ascii="宋体" w:hAnsi="宋体" w:cs="宋体"/>
          <w:color w:val="000000"/>
          <w:sz w:val="21"/>
          <w:szCs w:val="21"/>
        </w:rPr>
        <w:t>从事验收、养护工作的，应当具有药学或者医学、生物、化学等相关专业中专以上学历或者具有药学初级以上专业技术职称。</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5.7.3</w:t>
      </w:r>
      <w:r>
        <w:rPr>
          <w:rFonts w:hint="eastAsia" w:ascii="宋体" w:hAnsi="宋体" w:cs="宋体"/>
          <w:color w:val="000000"/>
          <w:sz w:val="21"/>
          <w:szCs w:val="21"/>
        </w:rPr>
        <w:t>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5.7.4</w:t>
      </w:r>
      <w:r>
        <w:rPr>
          <w:rFonts w:hint="eastAsia" w:ascii="宋体" w:hAnsi="宋体" w:cs="宋体"/>
          <w:color w:val="000000"/>
          <w:sz w:val="21"/>
          <w:szCs w:val="21"/>
        </w:rPr>
        <w:t>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5.7.5</w:t>
      </w:r>
      <w:r>
        <w:rPr>
          <w:rFonts w:hint="eastAsia" w:ascii="宋体" w:hAnsi="宋体" w:cs="宋体"/>
          <w:color w:val="000000"/>
          <w:sz w:val="21"/>
          <w:szCs w:val="21"/>
        </w:rPr>
        <w:t>质量管理机构负责人、质量管理员等关键岗位工作的人员应具有计算机基本知识和应用能力，上岗前，应经过计算机基本知识和应用技能培训。</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5.8</w:t>
      </w:r>
      <w:r>
        <w:rPr>
          <w:rFonts w:hint="eastAsia" w:ascii="宋体" w:hAnsi="宋体" w:cs="宋体"/>
          <w:color w:val="000000"/>
          <w:sz w:val="21"/>
          <w:szCs w:val="21"/>
        </w:rPr>
        <w:t>企业应设置信息管理部，负责对企业计算机系统的构建及维护。至少配备1名负责计算机软件管理的工作人员，且应取得计算机等相关专业大学专科以上学历或者具有《计算机技术与软件专业技术资格（水平）证书》或者具有《全国专业技术人员计算机应用能力考试成绩合格证书》和2年以上计算机管理工作经验。</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5.9</w:t>
      </w:r>
      <w:r>
        <w:rPr>
          <w:rFonts w:hint="eastAsia" w:ascii="宋体" w:hAnsi="宋体" w:cs="宋体"/>
          <w:color w:val="000000"/>
          <w:sz w:val="21"/>
          <w:szCs w:val="21"/>
        </w:rPr>
        <w:t>企业质量负责人不得兼职或分管药品经营业务（采购、销售等）相关工作。从事质量管理、验收、计算机管理等工作人员应在职在岗，不得兼任其它岗位工作。</w:t>
      </w:r>
    </w:p>
    <w:p>
      <w:pPr>
        <w:spacing w:line="460" w:lineRule="exact"/>
        <w:jc w:val="left"/>
        <w:outlineLvl w:val="0"/>
        <w:rPr>
          <w:rFonts w:ascii="黑体" w:hAnsi="黑体" w:eastAsia="黑体" w:cs="黑体"/>
          <w:szCs w:val="21"/>
        </w:rPr>
      </w:pPr>
      <w:bookmarkStart w:id="60" w:name="_Toc32456"/>
      <w:bookmarkStart w:id="61" w:name="_Toc15461549"/>
      <w:r>
        <w:rPr>
          <w:rFonts w:hint="eastAsia" w:ascii="黑体" w:hAnsi="黑体" w:eastAsia="黑体" w:cs="黑体"/>
          <w:szCs w:val="21"/>
        </w:rPr>
        <w:t>6. 设施设备</w:t>
      </w:r>
      <w:bookmarkEnd w:id="60"/>
      <w:bookmarkEnd w:id="61"/>
    </w:p>
    <w:p>
      <w:pPr>
        <w:pStyle w:val="14"/>
        <w:shd w:val="clear" w:color="auto" w:fill="FFFFFF"/>
        <w:spacing w:before="0" w:beforeAutospacing="0" w:after="0" w:afterAutospacing="0" w:line="360" w:lineRule="atLeast"/>
        <w:ind w:firstLine="420" w:firstLineChars="200"/>
        <w:jc w:val="both"/>
        <w:rPr>
          <w:rFonts w:ascii="黑体" w:hAnsi="黑体" w:eastAsia="黑体" w:cs="黑体"/>
          <w:kern w:val="2"/>
          <w:sz w:val="21"/>
          <w:szCs w:val="21"/>
        </w:rPr>
      </w:pPr>
      <w:r>
        <w:rPr>
          <w:rFonts w:hint="eastAsia" w:ascii="黑体" w:hAnsi="黑体" w:eastAsia="黑体" w:cs="黑体"/>
          <w:kern w:val="2"/>
          <w:sz w:val="21"/>
          <w:szCs w:val="21"/>
        </w:rPr>
        <w:t>6.1</w:t>
      </w:r>
      <w:r>
        <w:rPr>
          <w:rFonts w:hint="eastAsia" w:ascii="宋体" w:hAnsi="宋体" w:cs="宋体"/>
          <w:color w:val="000000"/>
          <w:sz w:val="21"/>
          <w:szCs w:val="21"/>
        </w:rPr>
        <w:t>开办药品批发企业现代物流必须具备与药品经营范围、规模相适应的经营场所和库房，具备满足药品经营及储存配送的设施设备，并符合《药品经营质量管理规范》要求。</w:t>
      </w:r>
      <w:r>
        <w:rPr>
          <w:rFonts w:hint="eastAsia" w:ascii="宋体" w:hAnsi="宋体" w:cs="宋体"/>
          <w:kern w:val="2"/>
          <w:sz w:val="21"/>
          <w:szCs w:val="21"/>
        </w:rPr>
        <w:t xml:space="preserve">   </w:t>
      </w:r>
    </w:p>
    <w:p>
      <w:pPr>
        <w:spacing w:line="460" w:lineRule="exact"/>
        <w:ind w:firstLine="420" w:firstLineChars="200"/>
        <w:jc w:val="left"/>
        <w:rPr>
          <w:rFonts w:ascii="宋体" w:hAnsi="宋体" w:cs="宋体"/>
          <w:color w:val="000000"/>
          <w:szCs w:val="21"/>
        </w:rPr>
      </w:pPr>
      <w:r>
        <w:rPr>
          <w:rFonts w:hint="eastAsia" w:ascii="黑体" w:hAnsi="黑体" w:eastAsia="黑体" w:cs="黑体"/>
          <w:szCs w:val="21"/>
        </w:rPr>
        <w:t>6.2</w:t>
      </w:r>
      <w:r>
        <w:rPr>
          <w:rFonts w:hint="eastAsia" w:ascii="宋体" w:hAnsi="宋体" w:cs="宋体"/>
          <w:color w:val="000000"/>
          <w:szCs w:val="21"/>
        </w:rPr>
        <w:t>企业营业场所房屋性质为商业用房，周围环境应做到整洁、卫生、无杂草、无污染，办公场所要求明亮、整洁。企业药品仓库应设在交通便利的场所，不得设在居民区内，内墙、地面、顶棚应做到平整、光滑、无脱落物、无裂痕、霉斑和水浸渍，门窗结构严密，库区周围应做到卫生、整洁、无杂草、无粉尘、有害气体等污染源。</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 xml:space="preserve">6.3 </w:t>
      </w:r>
      <w:r>
        <w:rPr>
          <w:rFonts w:hint="eastAsia" w:ascii="宋体" w:hAnsi="宋体" w:cs="宋体"/>
          <w:color w:val="000000"/>
          <w:sz w:val="21"/>
          <w:szCs w:val="21"/>
        </w:rPr>
        <w:t>药品储存作业区、辅助作业区应当与办公区、生活区分开一定距离或者有隔离措施。　</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6.4</w:t>
      </w:r>
      <w:r>
        <w:rPr>
          <w:rFonts w:hint="eastAsia" w:ascii="宋体" w:hAnsi="宋体" w:cs="宋体"/>
          <w:color w:val="000000"/>
          <w:sz w:val="21"/>
          <w:szCs w:val="21"/>
        </w:rPr>
        <w:t xml:space="preserve"> 企业应具备适宜药品分类保管和符合药品储存要求的常温库、阴凉库、冷库；经营特殊温度储存要求的药品应配备相应储存库区或设备。</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6.5</w:t>
      </w:r>
      <w:r>
        <w:rPr>
          <w:rFonts w:hint="eastAsia" w:ascii="宋体" w:hAnsi="宋体" w:cs="宋体"/>
          <w:color w:val="000000"/>
          <w:sz w:val="21"/>
          <w:szCs w:val="21"/>
        </w:rPr>
        <w:t>仓库中具有适合药品储存的专用货架和入库、传送、分检、上架、出库等现代物流系统的装置和设备。</w:t>
      </w:r>
    </w:p>
    <w:p>
      <w:pPr>
        <w:ind w:firstLine="420" w:firstLineChars="200"/>
        <w:rPr>
          <w:rFonts w:ascii="宋体" w:hAnsi="宋体" w:cs="宋体"/>
          <w:color w:val="000000"/>
          <w:szCs w:val="21"/>
        </w:rPr>
      </w:pPr>
      <w:r>
        <w:rPr>
          <w:rFonts w:hint="eastAsia" w:ascii="黑体" w:hAnsi="黑体" w:eastAsia="黑体" w:cs="黑体"/>
          <w:szCs w:val="21"/>
        </w:rPr>
        <w:t>6.5.1</w:t>
      </w:r>
      <w:r>
        <w:rPr>
          <w:rFonts w:hint="eastAsia" w:ascii="宋体" w:hAnsi="宋体" w:cs="宋体"/>
          <w:color w:val="000000"/>
          <w:szCs w:val="21"/>
        </w:rPr>
        <w:t>药品仓储区面积参照《中华人民共和国国家标准物流企业分类与评估指标》（GB/T 19680-2013）中综合型物流企业评估指标，企业注册地所属行政区域在县级的应符合A级标准（即1000平方米），企业注册地所属行政区域在市级（太原市除外）的应符合AA级标准（即3000平方米），企业注册地所属行政区域在太原市的应符合AAA级标准（即10000平方米）。</w:t>
      </w:r>
    </w:p>
    <w:p>
      <w:pPr>
        <w:ind w:firstLine="420" w:firstLineChars="200"/>
        <w:rPr>
          <w:rFonts w:ascii="宋体" w:hAnsi="宋体" w:cs="宋体"/>
          <w:color w:val="000000"/>
          <w:szCs w:val="21"/>
        </w:rPr>
      </w:pPr>
      <w:r>
        <w:rPr>
          <w:rFonts w:hint="eastAsia" w:ascii="宋体" w:hAnsi="宋体" w:cs="宋体"/>
          <w:color w:val="000000"/>
          <w:szCs w:val="21"/>
        </w:rPr>
        <w:t>仓库结构应符合药品储存要求，收货、验收、集货、复核、发货等辅助作业区建筑层高和面积应满足企业作业的要求，楼库应配有专用载货电梯或其它输送设备。</w:t>
      </w:r>
    </w:p>
    <w:p>
      <w:pPr>
        <w:ind w:firstLine="420" w:firstLineChars="200"/>
        <w:rPr>
          <w:rFonts w:ascii="宋体" w:hAnsi="宋体" w:cs="宋体"/>
          <w:color w:val="000000"/>
          <w:szCs w:val="21"/>
        </w:rPr>
      </w:pPr>
      <w:r>
        <w:rPr>
          <w:rFonts w:hint="eastAsia" w:ascii="宋体" w:hAnsi="宋体" w:cs="宋体"/>
          <w:color w:val="000000"/>
          <w:szCs w:val="21"/>
        </w:rPr>
        <w:t>药品储存仓库不得于地下（含半地下）设置。</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6.5.2</w:t>
      </w:r>
      <w:r>
        <w:rPr>
          <w:rFonts w:hint="eastAsia" w:ascii="宋体" w:hAnsi="宋体" w:cs="宋体"/>
          <w:color w:val="000000"/>
          <w:sz w:val="21"/>
          <w:szCs w:val="21"/>
        </w:rPr>
        <w:t>仓库应安装符合药品作业要求的设施设备。</w:t>
      </w:r>
    </w:p>
    <w:p>
      <w:pPr>
        <w:pStyle w:val="14"/>
        <w:shd w:val="clear" w:color="auto" w:fill="FFFFFF"/>
        <w:spacing w:before="0" w:beforeAutospacing="0" w:after="0" w:afterAutospacing="0" w:line="360" w:lineRule="atLeast"/>
        <w:ind w:firstLine="480"/>
        <w:jc w:val="both"/>
        <w:rPr>
          <w:rFonts w:hint="eastAsia" w:ascii="宋体" w:hAnsi="宋体" w:cs="宋体"/>
          <w:color w:val="000000"/>
          <w:sz w:val="21"/>
          <w:szCs w:val="21"/>
        </w:rPr>
      </w:pPr>
      <w:r>
        <w:rPr>
          <w:rFonts w:hint="eastAsia" w:ascii="黑体" w:hAnsi="黑体" w:eastAsia="黑体" w:cs="黑体"/>
          <w:kern w:val="2"/>
          <w:sz w:val="21"/>
          <w:szCs w:val="21"/>
        </w:rPr>
        <w:t>6.5.2.1</w:t>
      </w:r>
      <w:r>
        <w:rPr>
          <w:rFonts w:hint="eastAsia" w:ascii="宋体" w:hAnsi="宋体" w:cs="宋体"/>
          <w:color w:val="000000"/>
          <w:sz w:val="21"/>
          <w:szCs w:val="21"/>
        </w:rPr>
        <w:t>仓储区域应能满足物流作业流程的需要，仓库中应配备用于药品存储、拣选、输送、复核等设施设备，具体明细详见《开办药品批发企业现代物流设施设备配置表》。</w:t>
      </w:r>
    </w:p>
    <w:p>
      <w:pPr>
        <w:pStyle w:val="14"/>
        <w:shd w:val="clear" w:color="auto" w:fill="FFFFFF"/>
        <w:spacing w:before="0" w:beforeAutospacing="0" w:after="0" w:afterAutospacing="0" w:line="360" w:lineRule="atLeast"/>
        <w:ind w:firstLine="480"/>
        <w:jc w:val="both"/>
        <w:rPr>
          <w:rFonts w:ascii="黑体" w:hAnsi="黑体" w:eastAsia="黑体" w:cs="黑体"/>
          <w:kern w:val="2"/>
          <w:sz w:val="21"/>
          <w:szCs w:val="21"/>
        </w:rPr>
      </w:pPr>
      <w:r>
        <w:rPr>
          <w:rFonts w:hint="eastAsia" w:ascii="黑体" w:hAnsi="黑体" w:eastAsia="黑体" w:cs="黑体"/>
          <w:kern w:val="2"/>
          <w:sz w:val="21"/>
          <w:szCs w:val="21"/>
        </w:rPr>
        <w:t xml:space="preserve">6.5.2.2 </w:t>
      </w:r>
      <w:r>
        <w:rPr>
          <w:rFonts w:hint="eastAsia" w:ascii="宋体" w:hAnsi="宋体" w:cs="宋体"/>
          <w:color w:val="000000"/>
          <w:sz w:val="21"/>
          <w:szCs w:val="21"/>
        </w:rPr>
        <w:t>储存区应设置标准托盘货位，且货位数与仓储规模相适应。</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6.5.2.3</w:t>
      </w:r>
      <w:r>
        <w:rPr>
          <w:rFonts w:hint="eastAsia" w:ascii="宋体" w:hAnsi="宋体" w:cs="宋体"/>
          <w:color w:val="000000"/>
          <w:sz w:val="21"/>
          <w:szCs w:val="21"/>
        </w:rPr>
        <w:t>拣选作业可采用无线条形码数据采集器或电子标签，并配置条形码标签打印设备。</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6.5.2.4</w:t>
      </w:r>
      <w:r>
        <w:rPr>
          <w:rFonts w:hint="eastAsia" w:ascii="宋体" w:hAnsi="宋体" w:cs="宋体"/>
          <w:color w:val="000000"/>
          <w:sz w:val="21"/>
          <w:szCs w:val="21"/>
        </w:rPr>
        <w:t>仓储搬运需有与经营规模相适应的全自动叉车(包括堆垛机)或搬运车(含电动叉车)。</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6.5.2.5</w:t>
      </w:r>
      <w:r>
        <w:rPr>
          <w:rFonts w:hint="eastAsia" w:ascii="宋体" w:hAnsi="宋体" w:cs="宋体"/>
          <w:color w:val="000000"/>
          <w:sz w:val="21"/>
          <w:szCs w:val="21"/>
        </w:rPr>
        <w:t>药品出库复核应采用条形码扫描或RFID(读写器)等识别技术完成。</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w:t>
      </w:r>
      <w:r>
        <w:rPr>
          <w:rFonts w:hint="eastAsia" w:ascii="宋体" w:hAnsi="宋体" w:cs="宋体"/>
          <w:color w:val="000000"/>
          <w:sz w:val="21"/>
          <w:szCs w:val="21"/>
        </w:rPr>
        <w:t>常温库、阴凉库应具备与其经营药品储存特性相适应的温湿度调节设备。经营冷藏、冷冻（超低温）药品的，应具备与其经营规模和药品储存特性相适应的冷库及设施设备。</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6.6.1</w:t>
      </w:r>
      <w:r>
        <w:rPr>
          <w:rFonts w:hint="eastAsia" w:ascii="宋体" w:hAnsi="宋体" w:cs="宋体"/>
          <w:color w:val="000000"/>
          <w:sz w:val="21"/>
          <w:szCs w:val="21"/>
        </w:rPr>
        <w:t>经营冷藏药品的企业应设置独立的冷库，冷库总容积应与经营规模相适应，且不得少于50立方米。</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6.6.2</w:t>
      </w:r>
      <w:r>
        <w:rPr>
          <w:rFonts w:hint="eastAsia" w:ascii="宋体" w:hAnsi="宋体" w:cs="宋体"/>
          <w:color w:val="000000"/>
          <w:sz w:val="21"/>
          <w:szCs w:val="21"/>
        </w:rPr>
        <w:t>具有双回路电路或专用的备用发电机组，设备性能完好；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6.6.3</w:t>
      </w:r>
      <w:r>
        <w:rPr>
          <w:rFonts w:hint="eastAsia" w:ascii="宋体" w:hAnsi="宋体" w:cs="宋体"/>
          <w:color w:val="000000"/>
          <w:sz w:val="21"/>
          <w:szCs w:val="21"/>
        </w:rPr>
        <w:t>应配备与配送规模相适应的冷藏车、车载冷藏箱或保温箱等设备，能够满足药品贮藏及运输过程中对温度控制的要求；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6.6.4</w:t>
      </w:r>
      <w:r>
        <w:rPr>
          <w:rFonts w:hint="eastAsia" w:ascii="宋体" w:hAnsi="宋体" w:cs="宋体"/>
          <w:color w:val="000000"/>
          <w:sz w:val="21"/>
          <w:szCs w:val="21"/>
        </w:rPr>
        <w:t>冷库及冷藏车应符合以下要求：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6.6.4.1</w:t>
      </w:r>
      <w:r>
        <w:rPr>
          <w:rFonts w:hint="eastAsia" w:ascii="宋体" w:hAnsi="宋体" w:cs="宋体"/>
          <w:color w:val="000000"/>
          <w:sz w:val="21"/>
          <w:szCs w:val="21"/>
        </w:rPr>
        <w:t>应有空载、满载验证方案和验证报告；</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6.6.4.2</w:t>
      </w:r>
      <w:r>
        <w:rPr>
          <w:rFonts w:hint="eastAsia" w:ascii="宋体" w:hAnsi="宋体" w:cs="宋体"/>
          <w:color w:val="000000"/>
          <w:sz w:val="21"/>
          <w:szCs w:val="21"/>
        </w:rPr>
        <w:t>应设有温湿度自动采集器，采集点应经过校准；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6.6.4.3</w:t>
      </w:r>
      <w:r>
        <w:rPr>
          <w:rFonts w:hint="eastAsia" w:ascii="宋体" w:hAnsi="宋体" w:cs="宋体"/>
          <w:color w:val="000000"/>
          <w:sz w:val="21"/>
          <w:szCs w:val="21"/>
        </w:rPr>
        <w:t>应具有温湿度自动监测和自动记录、并具有声光报警和远程自动报警功能。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6.6.5</w:t>
      </w:r>
      <w:r>
        <w:rPr>
          <w:rFonts w:hint="eastAsia" w:ascii="宋体" w:hAnsi="宋体" w:cs="宋体"/>
          <w:color w:val="000000"/>
          <w:sz w:val="21"/>
          <w:szCs w:val="21"/>
        </w:rPr>
        <w:t>根据药品运输的不同环境和要求，对其储运药品的车载冷藏箱或保温箱进行验证，确保运输过程温度符合要求。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6.7</w:t>
      </w:r>
      <w:r>
        <w:rPr>
          <w:rFonts w:hint="eastAsia" w:ascii="宋体" w:hAnsi="宋体" w:cs="宋体"/>
          <w:color w:val="000000"/>
          <w:sz w:val="21"/>
          <w:szCs w:val="21"/>
        </w:rPr>
        <w:t>企业应具备符合药品特性要求的运输能力，配备自有密闭式的药品运输车辆且不少于2辆。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6.8</w:t>
      </w:r>
      <w:r>
        <w:rPr>
          <w:rFonts w:hint="eastAsia" w:ascii="宋体" w:hAnsi="宋体" w:cs="宋体"/>
          <w:color w:val="000000"/>
          <w:sz w:val="21"/>
          <w:szCs w:val="21"/>
        </w:rPr>
        <w:t xml:space="preserve"> 企业应当制定冷藏、冷冻药品运输过程中温度控制的应急预案，对运输过程中出现的异常气候、设备故障、交通事故等意外或紧急情况，能够及时采取有效的应对措施，防止因异常情况造成的温度失控或温度记录缺失。</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6.9</w:t>
      </w:r>
      <w:r>
        <w:rPr>
          <w:rFonts w:hint="eastAsia" w:ascii="宋体" w:hAnsi="宋体" w:cs="宋体"/>
          <w:color w:val="000000"/>
          <w:sz w:val="21"/>
          <w:szCs w:val="21"/>
        </w:rPr>
        <w:t>储存、运输设施设备的定期检查、清洁和维保应当由专人负责，并建立记录和档案。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6.10</w:t>
      </w:r>
      <w:r>
        <w:rPr>
          <w:rFonts w:hint="eastAsia" w:ascii="宋体" w:hAnsi="宋体" w:cs="宋体"/>
          <w:color w:val="000000"/>
          <w:sz w:val="21"/>
          <w:szCs w:val="21"/>
        </w:rPr>
        <w:t>仓库应划分待验库（区）、合格品库（区）、发货库（区）、不合格品库（区）、退货库（区）等与药品性质和仓储管理要求相适应的专用场所。以上各库（区）均应设有明显标志，实行色标管理。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6.11</w:t>
      </w:r>
      <w:r>
        <w:rPr>
          <w:rFonts w:hint="eastAsia" w:ascii="宋体" w:hAnsi="宋体" w:cs="宋体"/>
          <w:color w:val="000000"/>
          <w:sz w:val="21"/>
          <w:szCs w:val="21"/>
        </w:rPr>
        <w:t>仓库内墙壁、顶棚和地面光洁、平整，门窗结构严密，应有避光、通风、防潮、防虫、防鼠、防尘、防污染等设备和设施。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6.12</w:t>
      </w:r>
      <w:r>
        <w:rPr>
          <w:rFonts w:hint="eastAsia" w:ascii="宋体" w:hAnsi="宋体" w:cs="宋体"/>
          <w:color w:val="000000"/>
          <w:sz w:val="21"/>
          <w:szCs w:val="21"/>
        </w:rPr>
        <w:t>仓库应具备符合仓储作业要求的照明设施。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6.13</w:t>
      </w:r>
      <w:r>
        <w:rPr>
          <w:rFonts w:hint="eastAsia" w:ascii="宋体" w:hAnsi="宋体" w:cs="宋体"/>
          <w:color w:val="000000"/>
          <w:sz w:val="21"/>
          <w:szCs w:val="21"/>
        </w:rPr>
        <w:t>仓库应具备适宜拆零及拼箱发货的工作场所和包装物料的储存场所和设备。</w:t>
      </w:r>
    </w:p>
    <w:p>
      <w:pPr>
        <w:numPr>
          <w:ilvl w:val="0"/>
          <w:numId w:val="2"/>
        </w:numPr>
        <w:spacing w:line="460" w:lineRule="exact"/>
        <w:jc w:val="left"/>
        <w:outlineLvl w:val="0"/>
        <w:rPr>
          <w:rFonts w:ascii="黑体" w:hAnsi="黑体" w:eastAsia="黑体" w:cs="黑体"/>
          <w:szCs w:val="21"/>
        </w:rPr>
      </w:pPr>
      <w:bookmarkStart w:id="62" w:name="_Toc15461550"/>
      <w:r>
        <w:rPr>
          <w:rFonts w:hint="eastAsia" w:ascii="黑体" w:hAnsi="黑体" w:eastAsia="黑体" w:cs="黑体"/>
          <w:szCs w:val="21"/>
        </w:rPr>
        <w:t>信息管理系统</w:t>
      </w:r>
      <w:bookmarkEnd w:id="62"/>
    </w:p>
    <w:p>
      <w:pPr>
        <w:pStyle w:val="14"/>
        <w:shd w:val="clear" w:color="auto" w:fill="FFFFFF"/>
        <w:spacing w:before="0" w:beforeAutospacing="0" w:after="0" w:afterAutospacing="0" w:line="360" w:lineRule="atLeast"/>
        <w:ind w:firstLine="480"/>
        <w:jc w:val="both"/>
        <w:rPr>
          <w:rFonts w:hint="eastAsia" w:ascii="宋体" w:hAnsi="宋体" w:cs="宋体"/>
          <w:color w:val="000000"/>
          <w:sz w:val="21"/>
          <w:szCs w:val="21"/>
        </w:rPr>
      </w:pPr>
      <w:r>
        <w:rPr>
          <w:rFonts w:hint="eastAsia" w:ascii="黑体" w:hAnsi="黑体" w:eastAsia="黑体" w:cs="黑体"/>
          <w:kern w:val="2"/>
          <w:sz w:val="21"/>
          <w:szCs w:val="21"/>
        </w:rPr>
        <w:t>7.1</w:t>
      </w:r>
      <w:r>
        <w:rPr>
          <w:rFonts w:hint="eastAsia" w:ascii="宋体" w:hAnsi="宋体" w:cs="宋体"/>
          <w:color w:val="000000"/>
          <w:sz w:val="21"/>
          <w:szCs w:val="21"/>
        </w:rPr>
        <w:t xml:space="preserve"> 企业具有专用的服务器和中央数据处理系统（包括ERP、WMS、TMS等系统），并运用该系统对在库药品的分类、存放等相关信息进行检索以及对药品的购进、入库验收、在库养护、销售、出库复核进行记录和管理。</w:t>
      </w:r>
    </w:p>
    <w:p>
      <w:pPr>
        <w:pStyle w:val="14"/>
        <w:shd w:val="clear" w:color="auto" w:fill="FFFFFF"/>
        <w:spacing w:before="0" w:beforeAutospacing="0" w:after="0" w:afterAutospacing="0" w:line="360" w:lineRule="atLeast"/>
        <w:ind w:firstLine="480"/>
        <w:jc w:val="both"/>
        <w:rPr>
          <w:rFonts w:hint="eastAsia" w:ascii="宋体" w:hAnsi="宋体" w:cs="宋体"/>
          <w:color w:val="000000"/>
          <w:sz w:val="21"/>
          <w:szCs w:val="21"/>
        </w:rPr>
      </w:pPr>
      <w:r>
        <w:rPr>
          <w:rFonts w:hint="eastAsia" w:ascii="黑体" w:hAnsi="黑体" w:eastAsia="黑体" w:cs="黑体"/>
          <w:kern w:val="2"/>
          <w:sz w:val="21"/>
          <w:szCs w:val="21"/>
        </w:rPr>
        <w:t>7.1.1</w:t>
      </w:r>
      <w:r>
        <w:rPr>
          <w:rFonts w:hint="eastAsia" w:ascii="宋体" w:hAnsi="宋体" w:cs="宋体"/>
          <w:color w:val="000000"/>
          <w:sz w:val="21"/>
          <w:szCs w:val="21"/>
        </w:rPr>
        <w:t>服务器应企业自有或企业所属的医药经营集团自有，集团统一管理的应实时远程备份并出具相关证明文件。服务器采用双机热备，配备能满足要求的不间断电源（UPS）等辅助供电设备，并拥有独立的机房，或将自有服务器托管于互联网数据中心（IDC）。</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7.1.2</w:t>
      </w:r>
      <w:r>
        <w:rPr>
          <w:rFonts w:hint="eastAsia" w:ascii="宋体" w:hAnsi="宋体" w:cs="宋体"/>
          <w:color w:val="000000"/>
          <w:sz w:val="21"/>
          <w:szCs w:val="21"/>
        </w:rPr>
        <w:t>企业应具备实现部门之间、岗位之间信息传输和数据共享的局域网。</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7.1.3</w:t>
      </w:r>
      <w:r>
        <w:rPr>
          <w:rFonts w:hint="eastAsia" w:ascii="宋体" w:hAnsi="宋体" w:cs="宋体"/>
          <w:color w:val="000000"/>
          <w:sz w:val="21"/>
          <w:szCs w:val="21"/>
        </w:rPr>
        <w:t>企业的计算机管理系统应覆盖经营全过程，对药品实施全程控制和管理，并具备药品经营业务票据生成、打印和管理功能。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7.2.4</w:t>
      </w:r>
      <w:r>
        <w:rPr>
          <w:rFonts w:hint="eastAsia" w:ascii="宋体" w:hAnsi="宋体" w:cs="宋体"/>
          <w:color w:val="000000"/>
          <w:sz w:val="21"/>
          <w:szCs w:val="21"/>
        </w:rPr>
        <w:t>计算机系统应具备稳定、安全的网络环境，有固定接入互联网的方式和可靠的信息安全平台。企业经营场所和仓库不在同一地址，应采用固定、安全的网络接入方式。</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7.2.5</w:t>
      </w:r>
      <w:r>
        <w:rPr>
          <w:rFonts w:hint="eastAsia" w:ascii="宋体" w:hAnsi="宋体" w:cs="宋体"/>
          <w:color w:val="000000"/>
          <w:sz w:val="21"/>
          <w:szCs w:val="21"/>
        </w:rPr>
        <w:t>系统各类电子记录和数据应采用可靠的方式储存并按日异地备份，备份数据应存放在安全场所。</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7.2.6</w:t>
      </w:r>
      <w:r>
        <w:rPr>
          <w:rFonts w:hint="eastAsia" w:ascii="宋体" w:hAnsi="宋体" w:cs="宋体"/>
          <w:color w:val="000000"/>
          <w:sz w:val="21"/>
          <w:szCs w:val="21"/>
        </w:rPr>
        <w:t>计算机管理系统应符合以下要求：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7.2.6.1</w:t>
      </w:r>
      <w:r>
        <w:rPr>
          <w:rFonts w:hint="eastAsia" w:ascii="宋体" w:hAnsi="宋体" w:cs="宋体"/>
          <w:color w:val="000000"/>
          <w:sz w:val="21"/>
          <w:szCs w:val="21"/>
        </w:rPr>
        <w:t>具备组织架构定义、人员管理、权限定义、人员授权等系统管理功能。按照岗位职责定义每个作业人员，使系统组织架构与人员信息对应，并保证系统操作的独立性。</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7.2.6.2</w:t>
      </w:r>
      <w:r>
        <w:rPr>
          <w:rFonts w:hint="eastAsia" w:ascii="宋体" w:hAnsi="宋体" w:cs="宋体"/>
          <w:color w:val="000000"/>
          <w:sz w:val="21"/>
          <w:szCs w:val="21"/>
        </w:rPr>
        <w:t>具备建立供应商、客户、药品基础信息的数据库，并实现有效管理和维护。</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7.2.6.3</w:t>
      </w:r>
      <w:r>
        <w:rPr>
          <w:rFonts w:hint="eastAsia" w:ascii="宋体" w:hAnsi="宋体" w:cs="宋体"/>
          <w:color w:val="000000"/>
          <w:sz w:val="21"/>
          <w:szCs w:val="21"/>
        </w:rPr>
        <w:t>具备《药品经营质量管理规范》规定的流程和控制措施，并在经营过程中保证所有记录符合《药品经营质量管理规范》要求。</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7.2.6.4</w:t>
      </w:r>
      <w:r>
        <w:rPr>
          <w:rFonts w:hint="eastAsia" w:ascii="宋体" w:hAnsi="宋体" w:cs="宋体"/>
          <w:color w:val="000000"/>
          <w:sz w:val="21"/>
          <w:szCs w:val="21"/>
        </w:rPr>
        <w:t>具备药品收货、验收、入库、上架、移库、分拣、复核、集货等作业功能。入库时实现货位自动分配；出库时利用波次管理、通过手持拣选设备或电子标签拣选、条形码扫描复核、自动优化集货。</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7.2</w:t>
      </w:r>
      <w:r>
        <w:rPr>
          <w:rFonts w:hint="eastAsia" w:ascii="黑体" w:hAnsi="黑体" w:eastAsia="黑体" w:cs="黑体"/>
          <w:color w:val="000000"/>
          <w:sz w:val="21"/>
          <w:szCs w:val="21"/>
        </w:rPr>
        <w:t>.6.5</w:t>
      </w:r>
      <w:r>
        <w:rPr>
          <w:rFonts w:hint="eastAsia" w:ascii="宋体" w:hAnsi="宋体" w:cs="宋体"/>
          <w:color w:val="000000"/>
          <w:sz w:val="21"/>
          <w:szCs w:val="21"/>
        </w:rPr>
        <w:t>能自动生成养护计划，确保养护工作准确及时。</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 xml:space="preserve">7.3 </w:t>
      </w:r>
      <w:r>
        <w:rPr>
          <w:rFonts w:hint="eastAsia" w:ascii="宋体" w:hAnsi="宋体" w:cs="宋体"/>
          <w:color w:val="000000"/>
          <w:sz w:val="21"/>
          <w:szCs w:val="21"/>
        </w:rPr>
        <w:t>计算机系统各类数据的录入、修改、保存等操作应当符合授权范围、操作规程和管理制度的要求，保证数据原始、真实、准确、安全和可追溯。</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7.4</w:t>
      </w:r>
      <w:r>
        <w:rPr>
          <w:rFonts w:hint="eastAsia" w:ascii="宋体" w:hAnsi="宋体" w:cs="宋体"/>
          <w:color w:val="000000"/>
          <w:sz w:val="21"/>
          <w:szCs w:val="21"/>
        </w:rPr>
        <w:t xml:space="preserve"> 企业应当采用计算机系统对库存药品的有效期进行自动跟踪和控制，采取近效期预警及超过有效期自动锁定等措施，防止过期药品销售。</w:t>
      </w:r>
    </w:p>
    <w:p>
      <w:pPr>
        <w:spacing w:line="460" w:lineRule="exact"/>
        <w:jc w:val="left"/>
        <w:outlineLvl w:val="0"/>
        <w:rPr>
          <w:rFonts w:ascii="黑体" w:hAnsi="黑体" w:eastAsia="黑体" w:cs="黑体"/>
          <w:szCs w:val="21"/>
        </w:rPr>
      </w:pPr>
      <w:bookmarkStart w:id="63" w:name="_Toc12389"/>
      <w:bookmarkStart w:id="64" w:name="_Toc8620"/>
      <w:bookmarkStart w:id="65" w:name="_Toc15461551"/>
      <w:r>
        <w:rPr>
          <w:rFonts w:hint="eastAsia" w:ascii="黑体" w:hAnsi="黑体" w:eastAsia="黑体" w:cs="黑体"/>
          <w:szCs w:val="21"/>
        </w:rPr>
        <w:t xml:space="preserve">8. </w:t>
      </w:r>
      <w:bookmarkEnd w:id="63"/>
      <w:r>
        <w:rPr>
          <w:rFonts w:hint="eastAsia" w:ascii="黑体" w:hAnsi="黑体" w:eastAsia="黑体" w:cs="黑体"/>
          <w:szCs w:val="21"/>
        </w:rPr>
        <w:t>质量管理体系</w:t>
      </w:r>
      <w:bookmarkEnd w:id="64"/>
      <w:bookmarkEnd w:id="65"/>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bookmarkStart w:id="66" w:name="_Toc22691"/>
      <w:r>
        <w:rPr>
          <w:rFonts w:hint="eastAsia" w:ascii="黑体" w:hAnsi="黑体" w:eastAsia="黑体" w:cs="黑体"/>
          <w:kern w:val="2"/>
          <w:sz w:val="21"/>
          <w:szCs w:val="21"/>
        </w:rPr>
        <w:t xml:space="preserve">8.1 </w:t>
      </w:r>
      <w:bookmarkEnd w:id="66"/>
      <w:r>
        <w:rPr>
          <w:rFonts w:hint="eastAsia" w:ascii="宋体" w:hAnsi="宋体" w:cs="宋体"/>
          <w:color w:val="000000"/>
          <w:sz w:val="21"/>
          <w:szCs w:val="21"/>
        </w:rPr>
        <w:t>企业应按照《药品管理法》、《药品流通监督管理办法》、《药品经营许可证管理办法》和《药品经营质量管理规范》等相关要求，建立质量管理体系，确定质量方针，制定质量管理体系文件，开展质量策划、质量控制、质量保证、质量改进和质量风险管理等活动。企业制定的质量方针文件应当明确企业总的质量目标和要求，并贯彻到药品经营活动的全过程。</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8.2</w:t>
      </w:r>
      <w:r>
        <w:rPr>
          <w:rFonts w:hint="eastAsia" w:ascii="宋体" w:hAnsi="宋体" w:cs="宋体"/>
          <w:color w:val="000000"/>
          <w:sz w:val="21"/>
          <w:szCs w:val="21"/>
        </w:rPr>
        <w:t>企业质量管理体系应当与其经营范围和规模相适应，包括但不限于组织机构、人员、设施设备、质量管理体系文件及相应的计算机管理系统等内容。</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8.3</w:t>
      </w:r>
      <w:r>
        <w:rPr>
          <w:rFonts w:hint="eastAsia" w:ascii="宋体" w:hAnsi="宋体" w:cs="宋体"/>
          <w:color w:val="000000"/>
          <w:sz w:val="21"/>
          <w:szCs w:val="21"/>
        </w:rPr>
        <w:t>企业应当定期以及在质量管理体系关键要素发生重大变化时，组织开展内审，并对内审的情况进行分析，依据分析结论制定相应的质量管理体系改进措施，不断提高质量控制水平，保证质量管理体系持续有效运行。</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8.4</w:t>
      </w:r>
      <w:r>
        <w:rPr>
          <w:rFonts w:hint="eastAsia" w:ascii="宋体" w:hAnsi="宋体" w:cs="宋体"/>
          <w:color w:val="000000"/>
          <w:sz w:val="21"/>
          <w:szCs w:val="21"/>
        </w:rPr>
        <w:t>企业应当采用前瞻或者回顾的方式，对药品流通过程中的质量风险进行评估、控制、沟通和审核。</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8.5</w:t>
      </w:r>
      <w:r>
        <w:rPr>
          <w:rFonts w:hint="eastAsia" w:ascii="宋体" w:hAnsi="宋体" w:cs="宋体"/>
          <w:color w:val="000000"/>
          <w:sz w:val="21"/>
          <w:szCs w:val="21"/>
        </w:rPr>
        <w:t>企业应当对药品供货单位、购货单位的质量管理体系进行评价，确认其质量保证能力和质量信誉，必要时进行实地考察。</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 xml:space="preserve">8.6 </w:t>
      </w:r>
      <w:r>
        <w:rPr>
          <w:rFonts w:hint="eastAsia" w:ascii="宋体" w:hAnsi="宋体" w:cs="宋体"/>
          <w:color w:val="000000"/>
          <w:sz w:val="21"/>
          <w:szCs w:val="21"/>
        </w:rPr>
        <w:t>企业应当设立与其经营活动和质量管理相适应的组织机构或者岗位，明确规定其职责、权限及相互关系。应当全员参与质量管理。各部门、岗位人员应当正确理解并履行职责，承担相应质量责任。部门及岗位职责应当包括：</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a）质量管理、采购、储存、销售、运输、财务和信息管理等部门职责；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b）企业负责人、质量负责人及质量管理、采购、储存、销售、运输、财务和信息管理等部门负责人的岗位职责；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c）质量管理、采购、收货、验收、储存、养护、销售、出库复核、运输、财务、信息管理等岗位职责；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d）与药品经营相关的其他岗位职责。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8.7</w:t>
      </w:r>
      <w:r>
        <w:rPr>
          <w:rFonts w:hint="eastAsia" w:ascii="宋体" w:hAnsi="宋体" w:cs="宋体"/>
          <w:color w:val="000000"/>
          <w:sz w:val="21"/>
          <w:szCs w:val="21"/>
        </w:rPr>
        <w:t>企业应当设立质量管理部门，有效开展质量管理工作。质量管理部门的职责不得由其他部门及人员履行。质量管理部门应当履行以下职责：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a）督促相关部门和岗位人员执行药品管理的法律法规及《药品经营质量管理规范》；</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b）组织制订质量管理体系文件，并指导、监督文件的执行；</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c）负责对供货单位和购货单位的合法性、购进药品的合法性以及供货单位销售人员、购货单位采购人员的合法资格进行审核，并根据审核内容的变化进行动态管理；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d）负责质量信息的收集和管理，并建立药品质量档案；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e）负责药品的验收，指导并监督药品采购、储存、养护、销售、退货、运输等环节的质量管理工作；</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f）负责不合格药品的确认，对不合格药品的处理过程实施监督；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g）负责药品质量投诉和质量事故的调查、处理及报告；</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h）负责假劣药品的报告；</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i）负责药品质量查询；</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j）负责指导设定计算机系统质量控制功能；</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k）负责计算机系统操作权限的审核和质量管理基础数据的建立及更新；</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l）组织验证、校准相关设施设备；</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m）负责药品召回的管理；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n）负责药品不良反应的报告；</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o）组织质量管理体系的内审和风险评估；</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p）组织对药品供货单位及购货单位质量管理体系和服务质量的考察和评价；</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q）组织对被委托运输的承运方运输条件和质量保障能力的审查；</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r）协助开展质量管理教育和培训；</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s）其他应当由质量管理部门履行的职责。</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8.8</w:t>
      </w:r>
      <w:r>
        <w:rPr>
          <w:rFonts w:hint="eastAsia" w:ascii="宋体" w:hAnsi="宋体" w:cs="宋体"/>
          <w:color w:val="000000"/>
          <w:sz w:val="21"/>
          <w:szCs w:val="21"/>
        </w:rPr>
        <w:t>企业制定质量管理体系文件应当符合企业实际。文件包括质量管理制度、部门及岗位职责、操作规程、档案、报告、记录和凭证等。文件的起草、修订、审核、批准、分发、保管，以及修改、撤销、替换、销毁等应当按照文件管理操作规程进行，并保存相关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8.9</w:t>
      </w:r>
      <w:r>
        <w:rPr>
          <w:rFonts w:hint="eastAsia" w:ascii="宋体" w:hAnsi="宋体" w:cs="宋体"/>
          <w:color w:val="000000"/>
          <w:sz w:val="21"/>
          <w:szCs w:val="21"/>
        </w:rPr>
        <w:t>质量管理制度应当包括以下内容：</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a）质量管理体系内审的规定；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b）质量否决权的规定；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c）质量管理文件的管理；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d）质量信息的管理；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e）供货单位、购货单位、供货单位销售人员及购货单位采购人员等资格审核的规定；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f）药品采购、收货、验收、储存、养护、销售、出库、运输的管理；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g）特殊管理的药品的规定；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h）药品有效期的管理；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i）不合格药品、药品销毁的管理；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j）药品退货的管理；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k）药品召回的管理；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l）质量查询的管理；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m）质量事故、质量投诉的管理；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n）药品不良反应报告的规定；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o）环境卫生、人员健康的规定；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p）质量方面的教育、培训及考核的规定；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q）设施设备保管和维护的管理；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r）设施设备验证和校准的管理；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s）记录和凭证的管理；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t）计算机系统的管理；</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w）药品追溯系统相关规定；</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v）其他应当规定的内容。</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8.10</w:t>
      </w:r>
      <w:r>
        <w:rPr>
          <w:rFonts w:hint="eastAsia" w:ascii="宋体" w:hAnsi="宋体" w:cs="宋体"/>
          <w:color w:val="000000"/>
          <w:sz w:val="21"/>
          <w:szCs w:val="21"/>
        </w:rPr>
        <w:t>企业应当制定药品采购、收货、验收、储存、养护、销售、出库复核、运输等环节及计算机系统的操作规程。</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kern w:val="2"/>
          <w:sz w:val="21"/>
          <w:szCs w:val="21"/>
        </w:rPr>
        <w:t>8.11</w:t>
      </w:r>
      <w:r>
        <w:rPr>
          <w:rFonts w:hint="eastAsia" w:ascii="宋体" w:hAnsi="宋体" w:cs="宋体"/>
          <w:color w:val="000000"/>
          <w:sz w:val="21"/>
          <w:szCs w:val="21"/>
        </w:rPr>
        <w:t>企业应按规定建立药品质量管理记录，包括以下内容：</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a）药品采购记录；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b）药品收货、验收记录；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c）药品养护、检查记录；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d）药品出库复核记录；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e）药品销售记录；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f）药品购进退出记录；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g）药品销后退回记录；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h）药品运输记录；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i）储运温、湿度监测记录；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g）不合格药品报损、销毁处理记录；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k）药品质量查询、投诉、抽查情况记录；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l）质量事故报告记录；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m）药品不良反应报告记录；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n）计算机管理系统相关数据的更改记录；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o）文件的起草、修订、审核、批准、分发、保管，以及修改、撤销、替换、销毁等应当按照文件管理操作规程进行，并保存相关记录；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P) 其他应当规定的记录。</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黑体" w:hAnsi="黑体" w:eastAsia="黑体" w:cs="黑体"/>
          <w:color w:val="000000"/>
          <w:sz w:val="21"/>
          <w:szCs w:val="21"/>
        </w:rPr>
        <w:t>8.12</w:t>
      </w:r>
      <w:r>
        <w:rPr>
          <w:rFonts w:hint="eastAsia" w:ascii="宋体" w:hAnsi="宋体" w:cs="宋体"/>
          <w:color w:val="000000"/>
          <w:sz w:val="21"/>
          <w:szCs w:val="21"/>
        </w:rPr>
        <w:t>企业应按规定建立以下药品质量管理档案，包括以下内容：</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（1）员工健康检查档案；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（2）员工培训档案；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（3）药品质量档案；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（4）药品养护档案；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（5）供货方档案；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（6）用户档案；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（7）设施和设备及定期检查、维修、保养档案；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（8）计量器具管理档案；</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（9）首营企业审批表；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（10）首营品种审批表；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（11）不合格药品报损审批表；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（12）药品质量信息汇总表；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（13）药品质量问题追踪表；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（14）近效期药品催销表；</w:t>
      </w:r>
    </w:p>
    <w:p>
      <w:pPr>
        <w:pStyle w:val="14"/>
        <w:shd w:val="clear" w:color="auto" w:fill="FFFFFF"/>
        <w:spacing w:before="0" w:beforeAutospacing="0" w:after="0" w:afterAutospacing="0" w:line="360" w:lineRule="atLeast"/>
        <w:ind w:firstLine="480"/>
        <w:jc w:val="both"/>
        <w:rPr>
          <w:rFonts w:ascii="宋体" w:hAnsi="宋体" w:cs="宋体"/>
          <w:color w:val="000000"/>
          <w:sz w:val="21"/>
          <w:szCs w:val="21"/>
        </w:rPr>
      </w:pPr>
      <w:r>
        <w:rPr>
          <w:rFonts w:hint="eastAsia" w:ascii="宋体" w:hAnsi="宋体" w:cs="宋体"/>
          <w:color w:val="000000"/>
          <w:sz w:val="21"/>
          <w:szCs w:val="21"/>
        </w:rPr>
        <w:t>（15）药品不良反应报告表等；</w:t>
      </w:r>
    </w:p>
    <w:p>
      <w:pPr>
        <w:pStyle w:val="14"/>
        <w:shd w:val="clear" w:color="auto" w:fill="FFFFFF"/>
        <w:spacing w:before="0" w:beforeAutospacing="0" w:after="0" w:afterAutospacing="0" w:line="360" w:lineRule="atLeast"/>
        <w:ind w:firstLine="480"/>
        <w:jc w:val="both"/>
        <w:rPr>
          <w:rFonts w:ascii="黑体" w:hAnsi="黑体" w:eastAsia="黑体" w:cs="黑体"/>
          <w:color w:val="000000"/>
          <w:sz w:val="21"/>
          <w:szCs w:val="21"/>
        </w:rPr>
      </w:pPr>
    </w:p>
    <w:p>
      <w:pPr>
        <w:pStyle w:val="14"/>
        <w:shd w:val="clear" w:color="auto" w:fill="FFFFFF"/>
        <w:spacing w:before="0" w:beforeAutospacing="0" w:after="0" w:afterAutospacing="0" w:line="360" w:lineRule="atLeast"/>
        <w:jc w:val="both"/>
        <w:rPr>
          <w:rFonts w:ascii="黑体" w:hAnsi="黑体" w:eastAsia="黑体" w:cs="黑体"/>
          <w:color w:val="000000"/>
          <w:sz w:val="21"/>
          <w:szCs w:val="21"/>
        </w:rPr>
      </w:pPr>
      <w:r>
        <w:rPr>
          <w:rFonts w:hint="eastAsia" w:ascii="黑体" w:hAnsi="黑体" w:eastAsia="黑体" w:cs="黑体"/>
          <w:color w:val="000000"/>
          <w:sz w:val="21"/>
          <w:szCs w:val="21"/>
        </w:rPr>
        <w:t>附录A</w:t>
      </w:r>
    </w:p>
    <w:p>
      <w:pPr>
        <w:pStyle w:val="14"/>
        <w:shd w:val="clear" w:color="auto" w:fill="FFFFFF"/>
        <w:spacing w:before="0" w:beforeAutospacing="0" w:after="0" w:afterAutospacing="0" w:line="360" w:lineRule="atLeast"/>
        <w:jc w:val="both"/>
        <w:rPr>
          <w:rFonts w:ascii="宋体" w:hAnsi="宋体" w:cs="宋体"/>
          <w:color w:val="000000"/>
          <w:sz w:val="21"/>
          <w:szCs w:val="21"/>
        </w:rPr>
      </w:pPr>
    </w:p>
    <w:p>
      <w:pPr>
        <w:jc w:val="center"/>
        <w:rPr>
          <w:b/>
          <w:szCs w:val="21"/>
        </w:rPr>
      </w:pPr>
      <w:bookmarkStart w:id="67" w:name="OLE_LINK4"/>
      <w:r>
        <w:rPr>
          <w:rFonts w:hint="eastAsia"/>
          <w:b/>
          <w:szCs w:val="21"/>
        </w:rPr>
        <w:t>开办药品批发企业现代物流设施设备配置表</w:t>
      </w:r>
      <w:bookmarkEnd w:id="67"/>
    </w:p>
    <w:p/>
    <w:tbl>
      <w:tblPr>
        <w:tblStyle w:val="20"/>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1276"/>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Align w:val="center"/>
          </w:tcPr>
          <w:p>
            <w:pPr>
              <w:rPr>
                <w:rFonts w:ascii="宋体" w:hAnsi="宋体" w:cs="宋体"/>
                <w:b/>
                <w:bCs/>
                <w:szCs w:val="21"/>
              </w:rPr>
            </w:pPr>
            <w:r>
              <w:rPr>
                <w:rFonts w:hint="eastAsia" w:ascii="宋体" w:hAnsi="宋体" w:cs="宋体"/>
                <w:b/>
                <w:bCs/>
                <w:szCs w:val="21"/>
              </w:rPr>
              <w:t>分类</w:t>
            </w:r>
          </w:p>
        </w:tc>
        <w:tc>
          <w:tcPr>
            <w:tcW w:w="3544" w:type="dxa"/>
            <w:vAlign w:val="center"/>
          </w:tcPr>
          <w:p>
            <w:pPr>
              <w:jc w:val="center"/>
              <w:rPr>
                <w:rFonts w:ascii="宋体" w:hAnsi="宋体" w:cs="宋体"/>
                <w:b/>
                <w:bCs/>
                <w:szCs w:val="21"/>
              </w:rPr>
            </w:pPr>
            <w:r>
              <w:rPr>
                <w:rFonts w:hint="eastAsia" w:ascii="宋体" w:hAnsi="宋体" w:cs="宋体"/>
                <w:b/>
                <w:bCs/>
                <w:szCs w:val="21"/>
              </w:rPr>
              <w:t>设施设备名称</w:t>
            </w:r>
          </w:p>
        </w:tc>
        <w:tc>
          <w:tcPr>
            <w:tcW w:w="1276" w:type="dxa"/>
            <w:vAlign w:val="center"/>
          </w:tcPr>
          <w:p>
            <w:pPr>
              <w:jc w:val="center"/>
              <w:rPr>
                <w:rFonts w:ascii="宋体" w:hAnsi="宋体" w:cs="宋体"/>
                <w:b/>
                <w:bCs/>
                <w:szCs w:val="21"/>
              </w:rPr>
            </w:pPr>
            <w:r>
              <w:rPr>
                <w:rFonts w:hint="eastAsia" w:ascii="宋体" w:hAnsi="宋体" w:cs="宋体"/>
                <w:b/>
                <w:bCs/>
                <w:szCs w:val="21"/>
              </w:rPr>
              <w:t>必配</w:t>
            </w:r>
          </w:p>
        </w:tc>
        <w:tc>
          <w:tcPr>
            <w:tcW w:w="1559" w:type="dxa"/>
            <w:vAlign w:val="center"/>
          </w:tcPr>
          <w:p>
            <w:pPr>
              <w:jc w:val="center"/>
              <w:rPr>
                <w:rFonts w:ascii="宋体" w:hAnsi="宋体" w:cs="宋体"/>
                <w:b/>
                <w:bCs/>
                <w:szCs w:val="21"/>
              </w:rPr>
            </w:pPr>
            <w:r>
              <w:rPr>
                <w:rFonts w:hint="eastAsia" w:ascii="宋体" w:hAnsi="宋体" w:cs="宋体"/>
                <w:b/>
                <w:bCs/>
                <w:szCs w:val="21"/>
              </w:rPr>
              <w:t>选配</w:t>
            </w:r>
          </w:p>
        </w:tc>
        <w:tc>
          <w:tcPr>
            <w:tcW w:w="1326"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restart"/>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库</w:t>
            </w:r>
          </w:p>
          <w:p>
            <w:pPr>
              <w:jc w:val="center"/>
              <w:rPr>
                <w:rFonts w:ascii="宋体" w:hAnsi="宋体" w:cs="宋体"/>
                <w:b/>
                <w:bCs/>
                <w:szCs w:val="21"/>
              </w:rPr>
            </w:pPr>
            <w:r>
              <w:rPr>
                <w:rFonts w:hint="eastAsia" w:ascii="宋体" w:hAnsi="宋体" w:cs="宋体"/>
                <w:b/>
                <w:bCs/>
                <w:szCs w:val="21"/>
              </w:rPr>
              <w:t>房</w:t>
            </w:r>
          </w:p>
          <w:p>
            <w:pPr>
              <w:jc w:val="center"/>
              <w:rPr>
                <w:rFonts w:ascii="宋体" w:hAnsi="宋体" w:cs="宋体"/>
                <w:b/>
                <w:bCs/>
                <w:szCs w:val="21"/>
              </w:rPr>
            </w:pPr>
            <w:r>
              <w:rPr>
                <w:rFonts w:hint="eastAsia" w:ascii="宋体" w:hAnsi="宋体" w:cs="宋体"/>
                <w:b/>
                <w:bCs/>
                <w:szCs w:val="21"/>
              </w:rPr>
              <w:t>设</w:t>
            </w:r>
          </w:p>
          <w:p>
            <w:pPr>
              <w:jc w:val="center"/>
              <w:rPr>
                <w:rFonts w:ascii="宋体" w:hAnsi="宋体" w:cs="宋体"/>
                <w:b/>
                <w:bCs/>
                <w:szCs w:val="21"/>
              </w:rPr>
            </w:pPr>
            <w:r>
              <w:rPr>
                <w:rFonts w:hint="eastAsia" w:ascii="宋体" w:hAnsi="宋体" w:cs="宋体"/>
                <w:b/>
                <w:bCs/>
                <w:szCs w:val="21"/>
              </w:rPr>
              <w:t>施</w:t>
            </w:r>
          </w:p>
          <w:p>
            <w:pPr>
              <w:jc w:val="center"/>
              <w:rPr>
                <w:rFonts w:ascii="宋体" w:hAnsi="宋体" w:cs="宋体"/>
                <w:b/>
                <w:bCs/>
                <w:szCs w:val="21"/>
              </w:rPr>
            </w:pPr>
            <w:r>
              <w:rPr>
                <w:rFonts w:hint="eastAsia" w:ascii="宋体" w:hAnsi="宋体" w:cs="宋体"/>
                <w:b/>
                <w:bCs/>
                <w:szCs w:val="21"/>
              </w:rPr>
              <w:t>设</w:t>
            </w:r>
          </w:p>
          <w:p>
            <w:pPr>
              <w:jc w:val="center"/>
              <w:rPr>
                <w:rFonts w:ascii="宋体" w:hAnsi="宋体" w:cs="宋体"/>
                <w:szCs w:val="21"/>
              </w:rPr>
            </w:pPr>
            <w:r>
              <w:rPr>
                <w:rFonts w:hint="eastAsia" w:ascii="宋体" w:hAnsi="宋体" w:cs="宋体"/>
                <w:b/>
                <w:bCs/>
                <w:szCs w:val="21"/>
              </w:rPr>
              <w:t>备</w:t>
            </w: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1、自动化立体仓库（AS/RS）或高架仓库</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2、根据GSP要求建设的药品仓库</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3、自动化立体仓库堆垛机</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4、重型组合式货架或隔板货架或流利货架</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5、标准托盘（1000mm*1200mm）</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6、条码扫描设施设备</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7、电子标签</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8、搬运车（含电动叉车）</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9、自动分拣设施设备</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10、自动输送设施设备</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11、双电路或备用发电机组</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12、无线条码数据采集器</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b/>
                <w:szCs w:val="21"/>
              </w:rPr>
              <w:t>运输设施设 备</w:t>
            </w:r>
          </w:p>
        </w:tc>
        <w:tc>
          <w:tcPr>
            <w:tcW w:w="3544" w:type="dxa"/>
            <w:tcBorders>
              <w:left w:val="single" w:color="auto" w:sz="4" w:space="0"/>
            </w:tcBorders>
            <w:vAlign w:val="center"/>
          </w:tcPr>
          <w:p>
            <w:pPr>
              <w:rPr>
                <w:rFonts w:ascii="宋体" w:hAnsi="宋体" w:cs="宋体"/>
                <w:b/>
                <w:szCs w:val="21"/>
              </w:rPr>
            </w:pPr>
            <w:r>
              <w:rPr>
                <w:rFonts w:hint="eastAsia" w:ascii="宋体" w:hAnsi="宋体" w:cs="宋体"/>
                <w:szCs w:val="21"/>
              </w:rPr>
              <w:t>1、密闭式运输车辆</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2、冷藏车</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r>
              <w:rPr>
                <w:rFonts w:hint="eastAsia" w:ascii="宋体" w:hAnsi="宋体" w:cs="宋体"/>
                <w:szCs w:val="21"/>
              </w:rPr>
              <w:t>经营冷藏药品的企业必配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3、保温箱或车载冷藏箱</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r>
              <w:rPr>
                <w:rFonts w:hint="eastAsia" w:ascii="宋体" w:hAnsi="宋体" w:cs="宋体"/>
                <w:szCs w:val="21"/>
              </w:rPr>
              <w:t>经营冷藏药品的企业必配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restart"/>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信</w:t>
            </w:r>
          </w:p>
          <w:p>
            <w:pPr>
              <w:jc w:val="center"/>
              <w:rPr>
                <w:rFonts w:ascii="宋体" w:hAnsi="宋体" w:cs="宋体"/>
                <w:b/>
                <w:bCs/>
                <w:szCs w:val="21"/>
              </w:rPr>
            </w:pPr>
            <w:r>
              <w:rPr>
                <w:rFonts w:hint="eastAsia" w:ascii="宋体" w:hAnsi="宋体" w:cs="宋体"/>
                <w:b/>
                <w:bCs/>
                <w:szCs w:val="21"/>
              </w:rPr>
              <w:t>息</w:t>
            </w:r>
          </w:p>
          <w:p>
            <w:pPr>
              <w:jc w:val="center"/>
              <w:rPr>
                <w:rFonts w:ascii="宋体" w:hAnsi="宋体" w:cs="宋体"/>
                <w:b/>
                <w:bCs/>
                <w:szCs w:val="21"/>
              </w:rPr>
            </w:pPr>
            <w:r>
              <w:rPr>
                <w:rFonts w:hint="eastAsia" w:ascii="宋体" w:hAnsi="宋体" w:cs="宋体"/>
                <w:b/>
                <w:bCs/>
                <w:szCs w:val="21"/>
              </w:rPr>
              <w:t>管</w:t>
            </w:r>
          </w:p>
          <w:p>
            <w:pPr>
              <w:jc w:val="center"/>
              <w:rPr>
                <w:rFonts w:ascii="宋体" w:hAnsi="宋体" w:cs="宋体"/>
                <w:b/>
                <w:bCs/>
                <w:szCs w:val="21"/>
              </w:rPr>
            </w:pPr>
            <w:r>
              <w:rPr>
                <w:rFonts w:hint="eastAsia" w:ascii="宋体" w:hAnsi="宋体" w:cs="宋体"/>
                <w:b/>
                <w:bCs/>
                <w:szCs w:val="21"/>
              </w:rPr>
              <w:t>理</w:t>
            </w:r>
          </w:p>
          <w:p>
            <w:pPr>
              <w:jc w:val="center"/>
              <w:rPr>
                <w:rFonts w:ascii="宋体" w:hAnsi="宋体" w:cs="宋体"/>
                <w:b/>
                <w:bCs/>
                <w:szCs w:val="21"/>
              </w:rPr>
            </w:pPr>
            <w:r>
              <w:rPr>
                <w:rFonts w:hint="eastAsia" w:ascii="宋体" w:hAnsi="宋体" w:cs="宋体"/>
                <w:b/>
                <w:bCs/>
                <w:szCs w:val="21"/>
              </w:rPr>
              <w:t>系</w:t>
            </w:r>
          </w:p>
          <w:p>
            <w:pPr>
              <w:jc w:val="center"/>
              <w:rPr>
                <w:rFonts w:ascii="宋体" w:hAnsi="宋体" w:cs="宋体"/>
                <w:szCs w:val="21"/>
              </w:rPr>
            </w:pPr>
            <w:r>
              <w:rPr>
                <w:rFonts w:hint="eastAsia" w:ascii="宋体" w:hAnsi="宋体" w:cs="宋体"/>
                <w:b/>
                <w:bCs/>
                <w:szCs w:val="21"/>
              </w:rPr>
              <w:t>统</w:t>
            </w: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1、企业信息管理系统（ERP）</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2、仓储管理系统（WMS）</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3、仓储作业控制系统（WCS）</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4、运输管理系统（TMS）</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5、全球定位系统（GPS）或北斗导航系统</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6、温湿度监测系统</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7、库区视频监控系统</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8、电子数据交换平台（EDI）</w:t>
            </w:r>
          </w:p>
        </w:tc>
        <w:tc>
          <w:tcPr>
            <w:tcW w:w="1276"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w:t>
            </w: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9、网络安全软件</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10、数据库软件</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11、计算机网络环境</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12、计算机硬件系统</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13、网络带宽</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14、网络交换机</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tcBorders>
              <w:left w:val="single" w:color="auto" w:sz="4" w:space="0"/>
              <w:right w:val="single" w:color="auto" w:sz="4" w:space="0"/>
            </w:tcBorders>
            <w:vAlign w:val="center"/>
          </w:tcPr>
          <w:p>
            <w:pPr>
              <w:rPr>
                <w:rFonts w:ascii="宋体" w:hAnsi="宋体" w:cs="宋体"/>
                <w:szCs w:val="21"/>
              </w:rPr>
            </w:pPr>
          </w:p>
        </w:tc>
        <w:tc>
          <w:tcPr>
            <w:tcW w:w="3544" w:type="dxa"/>
            <w:tcBorders>
              <w:left w:val="single" w:color="auto" w:sz="4" w:space="0"/>
            </w:tcBorders>
            <w:vAlign w:val="center"/>
          </w:tcPr>
          <w:p>
            <w:pPr>
              <w:rPr>
                <w:rFonts w:ascii="宋体" w:hAnsi="宋体" w:cs="宋体"/>
                <w:szCs w:val="21"/>
              </w:rPr>
            </w:pPr>
            <w:r>
              <w:rPr>
                <w:rFonts w:hint="eastAsia" w:ascii="宋体" w:hAnsi="宋体" w:cs="宋体"/>
                <w:szCs w:val="21"/>
              </w:rPr>
              <w:t>15、服务器</w:t>
            </w:r>
          </w:p>
        </w:tc>
        <w:tc>
          <w:tcPr>
            <w:tcW w:w="1276" w:type="dxa"/>
            <w:vAlign w:val="center"/>
          </w:tcPr>
          <w:p>
            <w:pPr>
              <w:jc w:val="center"/>
              <w:rPr>
                <w:rFonts w:ascii="宋体" w:hAnsi="宋体" w:cs="宋体"/>
                <w:szCs w:val="21"/>
              </w:rPr>
            </w:pPr>
            <w:r>
              <w:rPr>
                <w:rFonts w:hint="eastAsia" w:ascii="宋体" w:hAnsi="宋体" w:cs="宋体"/>
                <w:szCs w:val="21"/>
              </w:rPr>
              <w:t>√</w:t>
            </w:r>
          </w:p>
        </w:tc>
        <w:tc>
          <w:tcPr>
            <w:tcW w:w="1559" w:type="dxa"/>
            <w:vAlign w:val="center"/>
          </w:tcPr>
          <w:p>
            <w:pPr>
              <w:jc w:val="center"/>
              <w:rPr>
                <w:rFonts w:ascii="宋体" w:hAnsi="宋体" w:cs="宋体"/>
                <w:szCs w:val="21"/>
              </w:rPr>
            </w:pPr>
          </w:p>
        </w:tc>
        <w:tc>
          <w:tcPr>
            <w:tcW w:w="1326" w:type="dxa"/>
            <w:vAlign w:val="center"/>
          </w:tcPr>
          <w:p>
            <w:pPr>
              <w:jc w:val="center"/>
              <w:rPr>
                <w:rFonts w:ascii="宋体" w:hAnsi="宋体" w:cs="宋体"/>
                <w:szCs w:val="21"/>
              </w:rPr>
            </w:pPr>
          </w:p>
        </w:tc>
      </w:tr>
    </w:tbl>
    <w:p>
      <w:pPr>
        <w:pStyle w:val="14"/>
        <w:shd w:val="clear" w:color="auto" w:fill="FFFFFF"/>
        <w:spacing w:before="0" w:beforeAutospacing="0" w:after="0" w:afterAutospacing="0" w:line="360" w:lineRule="atLeast"/>
        <w:jc w:val="center"/>
        <w:rPr>
          <w:rFonts w:hint="eastAsia" w:ascii="宋体" w:hAnsi="宋体" w:cs="宋体"/>
          <w:kern w:val="2"/>
          <w:sz w:val="21"/>
          <w:szCs w:val="21"/>
        </w:rPr>
      </w:pPr>
    </w:p>
    <w:p>
      <w:pPr>
        <w:pStyle w:val="14"/>
        <w:shd w:val="clear" w:color="auto" w:fill="FFFFFF"/>
        <w:spacing w:before="0" w:beforeAutospacing="0" w:after="0" w:afterAutospacing="0" w:line="360" w:lineRule="atLeast"/>
        <w:jc w:val="center"/>
        <w:rPr>
          <w:rFonts w:ascii="宋体" w:hAnsi="宋体" w:cs="宋体"/>
          <w:kern w:val="2"/>
          <w:sz w:val="21"/>
          <w:szCs w:val="21"/>
        </w:rPr>
      </w:pPr>
      <w:r>
        <w:rPr>
          <w:rFonts w:hint="eastAsia" w:ascii="宋体" w:hAnsi="宋体" w:cs="宋体"/>
          <w:kern w:val="2"/>
          <w:sz w:val="21"/>
          <w:szCs w:val="21"/>
        </w:rPr>
        <w:t>参 考 文 献</w:t>
      </w:r>
    </w:p>
    <w:p>
      <w:pPr>
        <w:spacing w:line="460" w:lineRule="exact"/>
        <w:ind w:firstLine="420" w:firstLineChars="200"/>
        <w:jc w:val="left"/>
        <w:rPr>
          <w:rFonts w:ascii="宋体" w:hAnsi="宋体" w:cs="宋体"/>
          <w:szCs w:val="21"/>
        </w:rPr>
      </w:pPr>
      <w:r>
        <w:rPr>
          <w:rFonts w:hint="eastAsia" w:ascii="宋体" w:hAnsi="宋体" w:cs="宋体"/>
          <w:szCs w:val="21"/>
        </w:rPr>
        <w:t>【1】《药品管理法》</w:t>
      </w:r>
    </w:p>
    <w:p>
      <w:pPr>
        <w:spacing w:line="460" w:lineRule="exact"/>
        <w:ind w:firstLine="420" w:firstLineChars="200"/>
        <w:jc w:val="left"/>
        <w:rPr>
          <w:rFonts w:ascii="宋体" w:hAnsi="宋体" w:cs="宋体"/>
          <w:szCs w:val="21"/>
        </w:rPr>
      </w:pPr>
      <w:r>
        <w:rPr>
          <w:rFonts w:hint="eastAsia" w:ascii="宋体" w:hAnsi="宋体" w:cs="宋体"/>
          <w:szCs w:val="21"/>
        </w:rPr>
        <w:t>【2】《药品经营许可证管理办法》</w:t>
      </w:r>
    </w:p>
    <w:p>
      <w:pPr>
        <w:spacing w:line="460" w:lineRule="exact"/>
        <w:ind w:firstLine="420" w:firstLineChars="200"/>
        <w:jc w:val="left"/>
        <w:rPr>
          <w:rFonts w:ascii="宋体" w:hAnsi="宋体" w:cs="宋体"/>
          <w:szCs w:val="21"/>
        </w:rPr>
      </w:pPr>
      <w:r>
        <w:rPr>
          <w:rFonts w:hint="eastAsia" w:ascii="宋体" w:hAnsi="宋体" w:cs="宋体"/>
          <w:szCs w:val="21"/>
        </w:rPr>
        <w:t>【3】《药品流通监督管理办法》</w:t>
      </w:r>
    </w:p>
    <w:p>
      <w:pPr>
        <w:spacing w:line="460" w:lineRule="exact"/>
        <w:ind w:firstLine="420"/>
        <w:jc w:val="left"/>
        <w:rPr>
          <w:rFonts w:ascii="宋体" w:hAnsi="宋体" w:cs="宋体"/>
          <w:szCs w:val="21"/>
        </w:rPr>
      </w:pPr>
      <w:r>
        <w:rPr>
          <w:rFonts w:hint="eastAsia" w:ascii="宋体" w:hAnsi="宋体" w:cs="宋体"/>
          <w:szCs w:val="21"/>
        </w:rPr>
        <w:t>【4】《药品经营质量管理规范》</w:t>
      </w:r>
    </w:p>
    <w:p>
      <w:pPr>
        <w:spacing w:line="460" w:lineRule="exact"/>
        <w:ind w:firstLine="420"/>
        <w:jc w:val="left"/>
        <w:rPr>
          <w:rFonts w:ascii="宋体" w:hAnsi="宋体" w:cs="宋体"/>
          <w:color w:val="000000"/>
          <w:szCs w:val="21"/>
        </w:rPr>
      </w:pPr>
      <w:r>
        <w:rPr>
          <w:rFonts w:hint="eastAsia" w:ascii="宋体" w:hAnsi="宋体" w:cs="宋体"/>
          <w:szCs w:val="21"/>
        </w:rPr>
        <w:t>【5】《药品经营质量管理规范现场检查指导原则》</w:t>
      </w:r>
    </w:p>
    <w:p>
      <w:pPr>
        <w:spacing w:line="460" w:lineRule="exact"/>
        <w:jc w:val="left"/>
        <w:rPr>
          <w:rFonts w:ascii="宋体" w:hAnsi="宋体" w:cs="宋体"/>
          <w:szCs w:val="21"/>
        </w:rPr>
      </w:pPr>
    </w:p>
    <w:p>
      <w:pPr>
        <w:spacing w:line="460" w:lineRule="exact"/>
        <w:ind w:firstLine="420" w:firstLineChars="200"/>
        <w:jc w:val="left"/>
        <w:rPr>
          <w:rFonts w:ascii="宋体" w:hAnsi="宋体" w:cs="宋体"/>
        </w:rPr>
      </w:pPr>
      <w:r>
        <w:rPr>
          <w:rFonts w:hint="eastAsia" w:ascii="宋体" w:hAnsi="宋体" w:cs="宋体"/>
          <w:szCs w:val="21"/>
        </w:rPr>
        <w:t xml:space="preserve">                  </w:t>
      </w:r>
      <w:r>
        <w:rPr>
          <w:rFonts w:hint="eastAsia" w:ascii="宋体" w:hAnsi="宋体" w:cs="宋体"/>
          <w:szCs w:val="21"/>
          <w:u w:val="single"/>
        </w:rPr>
        <w:t xml:space="preserve">                                   </w:t>
      </w:r>
    </w:p>
    <w:sectPr>
      <w:footerReference r:id="rId1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Arial Narrow">
    <w:panose1 w:val="020B0606020202030204"/>
    <w:charset w:val="00"/>
    <w:family w:val="auto"/>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Gautami">
    <w:panose1 w:val="02000500000000000000"/>
    <w:charset w:val="00"/>
    <w:family w:val="auto"/>
    <w:pitch w:val="default"/>
    <w:sig w:usb0="002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2"/>
        <w:lang w:val="en-US" w:eastAsia="zh-CN" w:bidi="ar-SA"/>
      </w:rPr>
      <w:pict>
        <v:rect id="文本框 17" o:spid="_x0000_s1026"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2"/>
        <w:lang w:val="en-US" w:eastAsia="zh-CN" w:bidi="ar-SA"/>
      </w:rPr>
      <w:pict>
        <v:rect id="文本框 18" o:spid="_x0000_s1027" style="position:absolute;left:0;margin-top:0pt;height:12.8pt;width:2.65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2"/>
        <w:lang w:val="en-US" w:eastAsia="zh-CN" w:bidi="ar-SA"/>
      </w:rPr>
      <w:pict>
        <v:rect id="文本框 6" o:spid="_x0000_s1028" style="position:absolute;left:0;margin-top:0pt;height:12.8pt;width:2.6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2"/>
        <w:lang w:val="en-US" w:eastAsia="zh-CN" w:bidi="ar-SA"/>
      </w:rPr>
      <w:pict>
        <v:rect id="Rectangle 5" o:spid="_x0000_s1029" style="position:absolute;left:0;margin-top:0pt;height:12.8pt;width:5.3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w:t>
                </w:r>
                <w:r>
                  <w:rPr>
                    <w:rFonts w:hint="eastAsia"/>
                    <w:sz w:val="18"/>
                  </w:rPr>
                  <w:fldChar w:fldCharType="end"/>
                </w:r>
              </w:p>
            </w:txbxContent>
          </v:textbox>
        </v:rect>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22"/>
        <w:lang w:val="en-US" w:eastAsia="zh-CN" w:bidi="ar-SA"/>
      </w:rPr>
      <w:pict>
        <v:rect id="Rectangle 6" o:spid="_x0000_s1030" style="position:absolute;left:0;margin-top:0pt;height:12.8pt;width:10.65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single" w:color="auto" w:sz="4" w:space="1"/>
      </w:pBdr>
    </w:pPr>
  </w:p>
  <w:p>
    <w:pPr>
      <w:pStyle w:val="8"/>
      <w:pBdr>
        <w:bottom w:val="single" w:color="auto" w:sz="4" w:space="1"/>
      </w:pBdr>
    </w:pPr>
    <w:r>
      <w:rPr>
        <w:rFonts w:ascii="Calibri" w:hAnsi="Calibri" w:eastAsia="宋体" w:cs="Times New Roman"/>
        <w:kern w:val="2"/>
        <w:sz w:val="18"/>
        <w:szCs w:val="22"/>
        <w:lang w:val="en-US" w:eastAsia="zh-CN" w:bidi="ar-SA"/>
      </w:rPr>
      <w:pict>
        <v:rect id="文本框 5" o:spid="_x0000_s1025" style="position:absolute;left:0;margin-left:129.95pt;margin-top:6.8pt;height:22.7pt;width:191.9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rPr>
                    <w:szCs w:val="21"/>
                  </w:rPr>
                </w:pPr>
              </w:p>
            </w:txbxContent>
          </v:textbox>
        </v:rect>
      </w:pict>
    </w:r>
  </w:p>
  <w:p>
    <w:pPr>
      <w:pStyle w:val="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302261">
    <w:nsid w:val="5878A7B5"/>
    <w:multiLevelType w:val="singleLevel"/>
    <w:tmpl w:val="5878A7B5"/>
    <w:lvl w:ilvl="0" w:tentative="1">
      <w:start w:val="3"/>
      <w:numFmt w:val="decimal"/>
      <w:suff w:val="space"/>
      <w:lvlText w:val="%1."/>
      <w:lvlJc w:val="left"/>
    </w:lvl>
  </w:abstractNum>
  <w:abstractNum w:abstractNumId="1563432072">
    <w:nsid w:val="5D301488"/>
    <w:multiLevelType w:val="multilevel"/>
    <w:tmpl w:val="5D301488"/>
    <w:lvl w:ilvl="0" w:tentative="1">
      <w:start w:val="7"/>
      <w:numFmt w:val="decimal"/>
      <w:suff w:val="space"/>
      <w:lvlText w:val="%1."/>
      <w:lvlJc w:val="left"/>
    </w:lvl>
    <w:lvl w:ilvl="1" w:tentative="1">
      <w:start w:val="1"/>
      <w:numFmt w:val="decimal"/>
      <w:isLgl/>
      <w:lvlText w:val="%1.%2"/>
      <w:lvlJc w:val="left"/>
      <w:pPr>
        <w:ind w:left="1380" w:hanging="900"/>
      </w:pPr>
      <w:rPr>
        <w:rFonts w:hint="default" w:ascii="黑体" w:hAnsi="黑体" w:eastAsia="黑体" w:cs="黑体"/>
        <w:color w:val="auto"/>
      </w:rPr>
    </w:lvl>
    <w:lvl w:ilvl="2" w:tentative="1">
      <w:start w:val="1"/>
      <w:numFmt w:val="decimal"/>
      <w:isLgl/>
      <w:lvlText w:val="%1.%2.%3"/>
      <w:lvlJc w:val="left"/>
      <w:pPr>
        <w:ind w:left="1860" w:hanging="900"/>
      </w:pPr>
      <w:rPr>
        <w:rFonts w:hint="default" w:ascii="黑体" w:hAnsi="黑体" w:eastAsia="黑体" w:cs="黑体"/>
        <w:color w:val="auto"/>
      </w:rPr>
    </w:lvl>
    <w:lvl w:ilvl="3" w:tentative="1">
      <w:start w:val="1"/>
      <w:numFmt w:val="decimal"/>
      <w:isLgl/>
      <w:lvlText w:val="%1.%2.%3.%4"/>
      <w:lvlJc w:val="left"/>
      <w:pPr>
        <w:ind w:left="2520" w:hanging="1080"/>
      </w:pPr>
      <w:rPr>
        <w:rFonts w:hint="default" w:ascii="黑体" w:hAnsi="黑体" w:eastAsia="黑体" w:cs="黑体"/>
        <w:color w:val="auto"/>
      </w:rPr>
    </w:lvl>
    <w:lvl w:ilvl="4" w:tentative="1">
      <w:start w:val="1"/>
      <w:numFmt w:val="decimal"/>
      <w:isLgl/>
      <w:lvlText w:val="%1.%2.%3.%4.%5"/>
      <w:lvlJc w:val="left"/>
      <w:pPr>
        <w:ind w:left="3000" w:hanging="1080"/>
      </w:pPr>
      <w:rPr>
        <w:rFonts w:hint="default" w:ascii="黑体" w:hAnsi="黑体" w:eastAsia="黑体" w:cs="黑体"/>
        <w:color w:val="auto"/>
      </w:rPr>
    </w:lvl>
    <w:lvl w:ilvl="5" w:tentative="1">
      <w:start w:val="1"/>
      <w:numFmt w:val="decimal"/>
      <w:isLgl/>
      <w:lvlText w:val="%1.%2.%3.%4.%5.%6"/>
      <w:lvlJc w:val="left"/>
      <w:pPr>
        <w:ind w:left="3840" w:hanging="1440"/>
      </w:pPr>
      <w:rPr>
        <w:rFonts w:hint="default" w:ascii="黑体" w:hAnsi="黑体" w:eastAsia="黑体" w:cs="黑体"/>
        <w:color w:val="auto"/>
      </w:rPr>
    </w:lvl>
    <w:lvl w:ilvl="6" w:tentative="1">
      <w:start w:val="1"/>
      <w:numFmt w:val="decimal"/>
      <w:isLgl/>
      <w:lvlText w:val="%1.%2.%3.%4.%5.%6.%7"/>
      <w:lvlJc w:val="left"/>
      <w:pPr>
        <w:ind w:left="4320" w:hanging="1440"/>
      </w:pPr>
      <w:rPr>
        <w:rFonts w:hint="default" w:ascii="黑体" w:hAnsi="黑体" w:eastAsia="黑体" w:cs="黑体"/>
        <w:color w:val="auto"/>
      </w:rPr>
    </w:lvl>
    <w:lvl w:ilvl="7" w:tentative="1">
      <w:start w:val="1"/>
      <w:numFmt w:val="decimal"/>
      <w:isLgl/>
      <w:lvlText w:val="%1.%2.%3.%4.%5.%6.%7.%8"/>
      <w:lvlJc w:val="left"/>
      <w:pPr>
        <w:ind w:left="5160" w:hanging="1800"/>
      </w:pPr>
      <w:rPr>
        <w:rFonts w:hint="default" w:ascii="黑体" w:hAnsi="黑体" w:eastAsia="黑体" w:cs="黑体"/>
        <w:color w:val="auto"/>
      </w:rPr>
    </w:lvl>
    <w:lvl w:ilvl="8" w:tentative="1">
      <w:start w:val="1"/>
      <w:numFmt w:val="decimal"/>
      <w:isLgl/>
      <w:lvlText w:val="%1.%2.%3.%4.%5.%6.%7.%8.%9"/>
      <w:lvlJc w:val="left"/>
      <w:pPr>
        <w:ind w:left="5640" w:hanging="1800"/>
      </w:pPr>
      <w:rPr>
        <w:rFonts w:hint="default" w:ascii="黑体" w:hAnsi="黑体" w:eastAsia="黑体" w:cs="黑体"/>
        <w:color w:val="auto"/>
      </w:rPr>
    </w:lvl>
  </w:abstractNum>
  <w:num w:numId="1">
    <w:abstractNumId w:val="1484302261"/>
  </w:num>
  <w:num w:numId="2">
    <w:abstractNumId w:val="15634320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FA252DB"/>
    <w:rsid w:val="000E4953"/>
    <w:rsid w:val="001340AA"/>
    <w:rsid w:val="002E24DD"/>
    <w:rsid w:val="00484502"/>
    <w:rsid w:val="005D38B8"/>
    <w:rsid w:val="006F77DD"/>
    <w:rsid w:val="00746199"/>
    <w:rsid w:val="008B7C15"/>
    <w:rsid w:val="008E020B"/>
    <w:rsid w:val="00961166"/>
    <w:rsid w:val="00A03440"/>
    <w:rsid w:val="00A04FF4"/>
    <w:rsid w:val="00B239A1"/>
    <w:rsid w:val="00B246EA"/>
    <w:rsid w:val="00BE398F"/>
    <w:rsid w:val="00D66682"/>
    <w:rsid w:val="00FD5BA8"/>
    <w:rsid w:val="02B22640"/>
    <w:rsid w:val="05306C78"/>
    <w:rsid w:val="05E27B28"/>
    <w:rsid w:val="067B0D1E"/>
    <w:rsid w:val="06B01105"/>
    <w:rsid w:val="077855B3"/>
    <w:rsid w:val="08345FAE"/>
    <w:rsid w:val="084F3FAC"/>
    <w:rsid w:val="085A48AD"/>
    <w:rsid w:val="09270C49"/>
    <w:rsid w:val="095A0161"/>
    <w:rsid w:val="0A4557E9"/>
    <w:rsid w:val="0A814349"/>
    <w:rsid w:val="0DB357FC"/>
    <w:rsid w:val="0DBA2892"/>
    <w:rsid w:val="0E21138E"/>
    <w:rsid w:val="0F0A6D3C"/>
    <w:rsid w:val="0F873B7B"/>
    <w:rsid w:val="0FA252DB"/>
    <w:rsid w:val="109C3C4F"/>
    <w:rsid w:val="11EC4876"/>
    <w:rsid w:val="13616FAE"/>
    <w:rsid w:val="1696199B"/>
    <w:rsid w:val="16CE1271"/>
    <w:rsid w:val="17592D5E"/>
    <w:rsid w:val="184322B5"/>
    <w:rsid w:val="192C06DB"/>
    <w:rsid w:val="19884D7D"/>
    <w:rsid w:val="19DA523B"/>
    <w:rsid w:val="1AF639E2"/>
    <w:rsid w:val="1D120041"/>
    <w:rsid w:val="1D6D7456"/>
    <w:rsid w:val="1EA10CDC"/>
    <w:rsid w:val="1F087C25"/>
    <w:rsid w:val="1FB963C1"/>
    <w:rsid w:val="20201EC2"/>
    <w:rsid w:val="21A47771"/>
    <w:rsid w:val="224E0D4C"/>
    <w:rsid w:val="225177D2"/>
    <w:rsid w:val="228A3F15"/>
    <w:rsid w:val="24EC1B4A"/>
    <w:rsid w:val="25453720"/>
    <w:rsid w:val="25A130CE"/>
    <w:rsid w:val="274402F0"/>
    <w:rsid w:val="292B1FC3"/>
    <w:rsid w:val="29D43F33"/>
    <w:rsid w:val="2A0C1188"/>
    <w:rsid w:val="2A3C2734"/>
    <w:rsid w:val="2B7319D4"/>
    <w:rsid w:val="2B73782B"/>
    <w:rsid w:val="2B9746EB"/>
    <w:rsid w:val="2D2B38F6"/>
    <w:rsid w:val="2EF24156"/>
    <w:rsid w:val="30C645ED"/>
    <w:rsid w:val="31F9640B"/>
    <w:rsid w:val="32331BE9"/>
    <w:rsid w:val="330C68B0"/>
    <w:rsid w:val="33B17548"/>
    <w:rsid w:val="34762022"/>
    <w:rsid w:val="34AC3D09"/>
    <w:rsid w:val="35DB285B"/>
    <w:rsid w:val="375C2CDF"/>
    <w:rsid w:val="37C36BAF"/>
    <w:rsid w:val="38900799"/>
    <w:rsid w:val="38DB3B38"/>
    <w:rsid w:val="39B62EAD"/>
    <w:rsid w:val="3ACF18A4"/>
    <w:rsid w:val="3B0019C9"/>
    <w:rsid w:val="3B483E1C"/>
    <w:rsid w:val="3BD5470A"/>
    <w:rsid w:val="3EF32DD6"/>
    <w:rsid w:val="40CE300C"/>
    <w:rsid w:val="42A66DE7"/>
    <w:rsid w:val="43956819"/>
    <w:rsid w:val="44EF7D44"/>
    <w:rsid w:val="450776E6"/>
    <w:rsid w:val="4513776A"/>
    <w:rsid w:val="45E745BD"/>
    <w:rsid w:val="46B42F9B"/>
    <w:rsid w:val="4757351A"/>
    <w:rsid w:val="486B31B0"/>
    <w:rsid w:val="494A3822"/>
    <w:rsid w:val="4AF850CA"/>
    <w:rsid w:val="4C852209"/>
    <w:rsid w:val="4C8B713F"/>
    <w:rsid w:val="4D0608E0"/>
    <w:rsid w:val="4E730669"/>
    <w:rsid w:val="4ED731FD"/>
    <w:rsid w:val="50736CA7"/>
    <w:rsid w:val="51A22DAF"/>
    <w:rsid w:val="51B07591"/>
    <w:rsid w:val="521C7F46"/>
    <w:rsid w:val="52A3394C"/>
    <w:rsid w:val="53DA1B9B"/>
    <w:rsid w:val="53E87C6B"/>
    <w:rsid w:val="54876B7D"/>
    <w:rsid w:val="551A2D6F"/>
    <w:rsid w:val="57C00B06"/>
    <w:rsid w:val="580C7901"/>
    <w:rsid w:val="59145F35"/>
    <w:rsid w:val="5ADF7453"/>
    <w:rsid w:val="5B705D07"/>
    <w:rsid w:val="5BE460C8"/>
    <w:rsid w:val="5D530093"/>
    <w:rsid w:val="5D8208F7"/>
    <w:rsid w:val="5E4D1C61"/>
    <w:rsid w:val="5F0A2555"/>
    <w:rsid w:val="5F8B5444"/>
    <w:rsid w:val="64D76D97"/>
    <w:rsid w:val="656A164B"/>
    <w:rsid w:val="68203A54"/>
    <w:rsid w:val="6C5E57D7"/>
    <w:rsid w:val="6CA81FBC"/>
    <w:rsid w:val="6E185E2D"/>
    <w:rsid w:val="6E4E2148"/>
    <w:rsid w:val="6E7E09DF"/>
    <w:rsid w:val="6E9B2B83"/>
    <w:rsid w:val="6F0271E4"/>
    <w:rsid w:val="6F4B01DE"/>
    <w:rsid w:val="70BA5CA3"/>
    <w:rsid w:val="711627CD"/>
    <w:rsid w:val="71263532"/>
    <w:rsid w:val="734A06B7"/>
    <w:rsid w:val="752C3172"/>
    <w:rsid w:val="75C735CB"/>
    <w:rsid w:val="77777B4F"/>
    <w:rsid w:val="788947AF"/>
    <w:rsid w:val="792E01F8"/>
    <w:rsid w:val="79AE4F6F"/>
    <w:rsid w:val="7CE17F58"/>
    <w:rsid w:val="7E9633BF"/>
    <w:rsid w:val="7F8C4D7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utoSpaceDE w:val="0"/>
      <w:autoSpaceDN w:val="0"/>
      <w:adjustRightInd w:val="0"/>
      <w:jc w:val="center"/>
      <w:outlineLvl w:val="0"/>
    </w:pPr>
    <w:rPr>
      <w:rFonts w:ascii="Arial Narrow" w:eastAsia="华文新魏" w:cs="Arial Unicode MS"/>
      <w:b/>
      <w:bCs/>
      <w:color w:val="000000"/>
      <w:kern w:val="0"/>
      <w:sz w:val="36"/>
      <w:szCs w:val="36"/>
      <w:lang w:val="zh-CN"/>
    </w:rPr>
  </w:style>
  <w:style w:type="character" w:default="1" w:styleId="15">
    <w:name w:val="Default Paragraph Font"/>
    <w:unhideWhenUsed/>
    <w:uiPriority w:val="1"/>
  </w:style>
  <w:style w:type="table" w:default="1" w:styleId="19">
    <w:name w:val="Normal Table"/>
    <w:unhideWhenUsed/>
    <w:uiPriority w:val="99"/>
    <w:tblPr>
      <w:tblStyle w:val="19"/>
      <w:tblLayout w:type="fixed"/>
      <w:tblCellMar>
        <w:top w:w="0" w:type="dxa"/>
        <w:left w:w="108" w:type="dxa"/>
        <w:bottom w:w="0" w:type="dxa"/>
        <w:right w:w="108" w:type="dxa"/>
      </w:tblCellMar>
    </w:tblPr>
    <w:tcPr>
      <w:textDirection w:val="lrTb"/>
    </w:tcPr>
  </w:style>
  <w:style w:type="paragraph" w:styleId="3">
    <w:name w:val="toc 7"/>
    <w:basedOn w:val="1"/>
    <w:next w:val="1"/>
    <w:qFormat/>
    <w:uiPriority w:val="0"/>
    <w:pPr>
      <w:ind w:left="2520" w:leftChars="1200"/>
    </w:pPr>
  </w:style>
  <w:style w:type="paragraph" w:styleId="4">
    <w:name w:val="toc 5"/>
    <w:basedOn w:val="1"/>
    <w:next w:val="1"/>
    <w:qFormat/>
    <w:uiPriority w:val="0"/>
    <w:pPr>
      <w:ind w:left="1680" w:leftChars="800"/>
    </w:pPr>
  </w:style>
  <w:style w:type="paragraph" w:styleId="5">
    <w:name w:val="toc 3"/>
    <w:basedOn w:val="1"/>
    <w:next w:val="1"/>
    <w:qFormat/>
    <w:uiPriority w:val="0"/>
    <w:pPr>
      <w:ind w:left="840" w:leftChars="400"/>
    </w:pPr>
  </w:style>
  <w:style w:type="paragraph" w:styleId="6">
    <w:name w:val="toc 8"/>
    <w:basedOn w:val="1"/>
    <w:next w:val="1"/>
    <w:qFormat/>
    <w:uiPriority w:val="0"/>
    <w:pPr>
      <w:ind w:left="2940" w:leftChars="1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4"/>
    <w:basedOn w:val="1"/>
    <w:next w:val="1"/>
    <w:qFormat/>
    <w:uiPriority w:val="0"/>
    <w:pPr>
      <w:ind w:left="1260" w:leftChars="600"/>
    </w:pPr>
  </w:style>
  <w:style w:type="paragraph" w:styleId="11">
    <w:name w:val="toc 6"/>
    <w:basedOn w:val="1"/>
    <w:next w:val="1"/>
    <w:qFormat/>
    <w:uiPriority w:val="0"/>
    <w:pPr>
      <w:ind w:left="2100" w:leftChars="1000"/>
    </w:pPr>
  </w:style>
  <w:style w:type="paragraph" w:styleId="12">
    <w:name w:val="toc 2"/>
    <w:basedOn w:val="1"/>
    <w:next w:val="1"/>
    <w:qFormat/>
    <w:uiPriority w:val="39"/>
    <w:pPr>
      <w:ind w:left="420" w:leftChars="200"/>
    </w:pPr>
  </w:style>
  <w:style w:type="paragraph" w:styleId="13">
    <w:name w:val="toc 9"/>
    <w:basedOn w:val="1"/>
    <w:next w:val="1"/>
    <w:qFormat/>
    <w:uiPriority w:val="0"/>
    <w:pPr>
      <w:ind w:left="3360" w:leftChars="1600"/>
    </w:pPr>
  </w:style>
  <w:style w:type="paragraph" w:styleId="14">
    <w:name w:val="Normal (Web)"/>
    <w:basedOn w:val="1"/>
    <w:qFormat/>
    <w:uiPriority w:val="0"/>
    <w:pPr>
      <w:spacing w:before="100" w:beforeAutospacing="1" w:after="100" w:afterAutospacing="1"/>
      <w:jc w:val="left"/>
    </w:pPr>
    <w:rPr>
      <w:kern w:val="0"/>
      <w:sz w:val="24"/>
    </w:rPr>
  </w:style>
  <w:style w:type="character" w:styleId="16">
    <w:name w:val="page number"/>
    <w:basedOn w:val="15"/>
    <w:qFormat/>
    <w:uiPriority w:val="0"/>
    <w:rPr/>
  </w:style>
  <w:style w:type="character" w:styleId="17">
    <w:name w:val="FollowedHyperlink"/>
    <w:basedOn w:val="15"/>
    <w:qFormat/>
    <w:uiPriority w:val="0"/>
    <w:rPr>
      <w:color w:val="5D5D5D"/>
      <w:u w:val="none"/>
    </w:rPr>
  </w:style>
  <w:style w:type="character" w:styleId="18">
    <w:name w:val="Hyperlink"/>
    <w:basedOn w:val="15"/>
    <w:qFormat/>
    <w:uiPriority w:val="99"/>
    <w:rPr>
      <w:color w:val="3A3A3A"/>
      <w:u w:val="none"/>
    </w:r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WPSOffice手动目录 1"/>
    <w:qFormat/>
    <w:uiPriority w:val="0"/>
    <w:rPr>
      <w:rFonts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textRotate="1"/>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1296</Words>
  <Characters>7392</Characters>
  <Lines>61</Lines>
  <Paragraphs>17</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2019-07-31T01:39:00Z</dcterms:created>
  <dc:creator>123</dc:creator>
  <cp:lastModifiedBy>Administrator</cp:lastModifiedBy>
  <cp:lastPrinted>2017-01-17T08:09:00Z</cp:lastPrinted>
  <dcterms:modified xsi:type="dcterms:W3CDTF">2019-07-31T02:58:19Z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