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DE" w:rsidRDefault="00FE6ADE" w:rsidP="00FE6ADE">
      <w:pPr>
        <w:jc w:val="right"/>
        <w:rPr>
          <w:rFonts w:ascii="仿宋_GB2312" w:eastAsia="仿宋_GB2312" w:hint="eastAsia"/>
          <w:sz w:val="32"/>
          <w:szCs w:val="32"/>
        </w:rPr>
      </w:pPr>
    </w:p>
    <w:p w:rsidR="000F249E" w:rsidRPr="00FE6ADE" w:rsidRDefault="00FE6ADE" w:rsidP="00FE6ADE">
      <w:pPr>
        <w:jc w:val="right"/>
        <w:rPr>
          <w:rFonts w:ascii="仿宋_GB2312" w:eastAsia="仿宋_GB2312" w:hint="eastAsia"/>
          <w:sz w:val="32"/>
          <w:szCs w:val="32"/>
        </w:rPr>
      </w:pPr>
      <w:r w:rsidRPr="00FE6ADE">
        <w:rPr>
          <w:rFonts w:ascii="仿宋_GB2312" w:eastAsia="仿宋_GB2312" w:hint="eastAsia"/>
          <w:sz w:val="32"/>
          <w:szCs w:val="32"/>
        </w:rPr>
        <w:t>商法函[2018]180号</w:t>
      </w:r>
    </w:p>
    <w:p w:rsidR="00FE6ADE" w:rsidRDefault="00FE6ADE" w:rsidP="00DF364A">
      <w:pPr>
        <w:rPr>
          <w:rFonts w:ascii="黑体" w:eastAsia="黑体" w:hint="eastAsia"/>
          <w:sz w:val="32"/>
          <w:szCs w:val="32"/>
        </w:rPr>
      </w:pPr>
    </w:p>
    <w:p w:rsidR="00FE6ADE" w:rsidRPr="00FE6ADE" w:rsidRDefault="00FE6ADE" w:rsidP="00FE6ADE">
      <w:pPr>
        <w:jc w:val="center"/>
        <w:rPr>
          <w:rFonts w:ascii="华文中宋" w:eastAsia="华文中宋" w:hAnsi="华文中宋" w:hint="eastAsia"/>
          <w:sz w:val="36"/>
          <w:szCs w:val="32"/>
        </w:rPr>
      </w:pPr>
      <w:r w:rsidRPr="00FE6ADE">
        <w:rPr>
          <w:rFonts w:ascii="华文中宋" w:eastAsia="华文中宋" w:hAnsi="华文中宋" w:hint="eastAsia"/>
          <w:sz w:val="36"/>
          <w:szCs w:val="32"/>
        </w:rPr>
        <w:t>商务部行政处罚决定书</w:t>
      </w:r>
    </w:p>
    <w:p w:rsidR="00FE6ADE" w:rsidRDefault="00FE6ADE" w:rsidP="00DF364A">
      <w:pPr>
        <w:rPr>
          <w:rFonts w:ascii="黑体" w:eastAsia="黑体" w:hint="eastAsia"/>
          <w:sz w:val="32"/>
          <w:szCs w:val="32"/>
        </w:rPr>
      </w:pPr>
    </w:p>
    <w:p w:rsidR="00593A36" w:rsidRPr="00B46A35" w:rsidRDefault="00593A36" w:rsidP="00DF364A">
      <w:pPr>
        <w:rPr>
          <w:rFonts w:ascii="仿宋_GB2312" w:eastAsia="仿宋_GB2312"/>
          <w:sz w:val="32"/>
          <w:szCs w:val="32"/>
        </w:rPr>
      </w:pPr>
      <w:r w:rsidRPr="00B46A35">
        <w:rPr>
          <w:rFonts w:ascii="黑体" w:eastAsia="黑体" w:hint="eastAsia"/>
          <w:sz w:val="32"/>
          <w:szCs w:val="32"/>
        </w:rPr>
        <w:t>当事人：</w:t>
      </w:r>
      <w:r w:rsidRPr="00B46A35">
        <w:rPr>
          <w:rFonts w:ascii="仿宋_GB2312" w:eastAsia="仿宋_GB2312" w:hint="eastAsia"/>
          <w:sz w:val="32"/>
          <w:szCs w:val="32"/>
        </w:rPr>
        <w:t>天津海光先进技术投资有限公司</w:t>
      </w:r>
    </w:p>
    <w:p w:rsidR="00593A36" w:rsidRPr="00B46A35" w:rsidRDefault="00593A36" w:rsidP="00DF364A">
      <w:pPr>
        <w:rPr>
          <w:rFonts w:ascii="仿宋_GB2312" w:eastAsia="仿宋_GB2312"/>
          <w:sz w:val="32"/>
          <w:szCs w:val="32"/>
        </w:rPr>
      </w:pPr>
      <w:r w:rsidRPr="00B46A35">
        <w:rPr>
          <w:rFonts w:ascii="仿宋_GB2312" w:eastAsia="仿宋_GB2312" w:hint="eastAsia"/>
          <w:sz w:val="32"/>
          <w:szCs w:val="32"/>
        </w:rPr>
        <w:t xml:space="preserve">       （现已更名为海光信息技术有限公司）</w:t>
      </w:r>
    </w:p>
    <w:p w:rsidR="00593A36" w:rsidRPr="00B46A35" w:rsidRDefault="00593A36" w:rsidP="00DF364A">
      <w:pPr>
        <w:rPr>
          <w:rFonts w:ascii="仿宋_GB2312" w:eastAsia="仿宋_GB2312"/>
          <w:sz w:val="32"/>
          <w:szCs w:val="32"/>
        </w:rPr>
      </w:pPr>
      <w:r w:rsidRPr="00B46A35">
        <w:rPr>
          <w:rFonts w:ascii="黑体" w:eastAsia="黑体" w:hint="eastAsia"/>
          <w:sz w:val="32"/>
          <w:szCs w:val="32"/>
        </w:rPr>
        <w:t>住  所：</w:t>
      </w:r>
      <w:r w:rsidRPr="00B46A35">
        <w:rPr>
          <w:rFonts w:ascii="仿宋_GB2312" w:eastAsia="仿宋_GB2312" w:hint="eastAsia"/>
          <w:sz w:val="32"/>
          <w:szCs w:val="32"/>
        </w:rPr>
        <w:t>天津华苑产业区海</w:t>
      </w:r>
      <w:proofErr w:type="gramStart"/>
      <w:r w:rsidRPr="00B46A35">
        <w:rPr>
          <w:rFonts w:ascii="仿宋_GB2312" w:eastAsia="仿宋_GB2312" w:hint="eastAsia"/>
          <w:sz w:val="32"/>
          <w:szCs w:val="32"/>
        </w:rPr>
        <w:t>泰西路</w:t>
      </w:r>
      <w:proofErr w:type="gramEnd"/>
      <w:r w:rsidRPr="00B46A35">
        <w:rPr>
          <w:rFonts w:ascii="仿宋_GB2312" w:eastAsia="仿宋_GB2312" w:hint="eastAsia"/>
          <w:sz w:val="32"/>
          <w:szCs w:val="32"/>
        </w:rPr>
        <w:t>18号北2-204工业孵化-3-8</w:t>
      </w:r>
    </w:p>
    <w:p w:rsidR="00593A36" w:rsidRPr="00B46A35" w:rsidRDefault="00593A36" w:rsidP="00DF364A">
      <w:pPr>
        <w:rPr>
          <w:rFonts w:ascii="仿宋_GB2312" w:eastAsia="仿宋_GB2312"/>
          <w:sz w:val="32"/>
          <w:szCs w:val="32"/>
        </w:rPr>
      </w:pPr>
    </w:p>
    <w:p w:rsidR="00593A36" w:rsidRPr="00B46A35" w:rsidRDefault="00593A36" w:rsidP="00DF364A">
      <w:pPr>
        <w:rPr>
          <w:rFonts w:ascii="仿宋_GB2312" w:eastAsia="仿宋_GB2312"/>
          <w:sz w:val="32"/>
          <w:szCs w:val="32"/>
        </w:rPr>
      </w:pPr>
      <w:r w:rsidRPr="00B46A35">
        <w:rPr>
          <w:rFonts w:ascii="黑体" w:eastAsia="黑体" w:hint="eastAsia"/>
          <w:sz w:val="32"/>
          <w:szCs w:val="32"/>
        </w:rPr>
        <w:t>当事人：</w:t>
      </w:r>
      <w:proofErr w:type="gramStart"/>
      <w:r w:rsidRPr="00B46A35">
        <w:rPr>
          <w:rFonts w:ascii="仿宋_GB2312" w:eastAsia="仿宋_GB2312" w:hint="eastAsia"/>
          <w:sz w:val="32"/>
          <w:szCs w:val="32"/>
        </w:rPr>
        <w:t>Advanced Micro Devices, Inc.</w:t>
      </w:r>
      <w:proofErr w:type="gramEnd"/>
    </w:p>
    <w:p w:rsidR="00593A36" w:rsidRPr="00B46A35" w:rsidRDefault="00593A36" w:rsidP="00DF364A">
      <w:pPr>
        <w:rPr>
          <w:rFonts w:ascii="仿宋_GB2312" w:eastAsia="仿宋_GB2312"/>
          <w:sz w:val="32"/>
          <w:szCs w:val="32"/>
        </w:rPr>
      </w:pPr>
      <w:r w:rsidRPr="00B46A35">
        <w:rPr>
          <w:rFonts w:ascii="黑体" w:eastAsia="黑体" w:hint="eastAsia"/>
          <w:sz w:val="32"/>
          <w:szCs w:val="32"/>
        </w:rPr>
        <w:t>住</w:t>
      </w:r>
      <w:r w:rsidR="00DF364A" w:rsidRPr="00B46A35">
        <w:rPr>
          <w:rFonts w:ascii="黑体" w:eastAsia="黑体" w:hint="eastAsia"/>
          <w:sz w:val="32"/>
          <w:szCs w:val="32"/>
        </w:rPr>
        <w:t xml:space="preserve">  </w:t>
      </w:r>
      <w:r w:rsidRPr="00B46A35">
        <w:rPr>
          <w:rFonts w:ascii="黑体" w:eastAsia="黑体" w:hint="eastAsia"/>
          <w:sz w:val="32"/>
          <w:szCs w:val="32"/>
        </w:rPr>
        <w:t>所：</w:t>
      </w:r>
      <w:r w:rsidRPr="00B46A35">
        <w:rPr>
          <w:rFonts w:ascii="仿宋_GB2312" w:eastAsia="仿宋_GB2312" w:hint="eastAsia"/>
          <w:sz w:val="32"/>
          <w:szCs w:val="32"/>
        </w:rPr>
        <w:t>美国纽卡斯尔县威尔明顿市</w:t>
      </w:r>
      <w:proofErr w:type="gramStart"/>
      <w:r w:rsidRPr="00B46A35">
        <w:rPr>
          <w:rFonts w:ascii="仿宋_GB2312" w:eastAsia="仿宋_GB2312" w:hint="eastAsia"/>
          <w:sz w:val="32"/>
          <w:szCs w:val="32"/>
        </w:rPr>
        <w:t>奥兰治街1209号</w:t>
      </w:r>
      <w:proofErr w:type="gramEnd"/>
    </w:p>
    <w:p w:rsidR="00593A36" w:rsidRPr="00B46A35" w:rsidRDefault="00593A36" w:rsidP="00DF364A">
      <w:pPr>
        <w:rPr>
          <w:rFonts w:ascii="仿宋_GB2312" w:eastAsia="仿宋_GB2312"/>
          <w:sz w:val="32"/>
          <w:szCs w:val="32"/>
        </w:rPr>
      </w:pPr>
    </w:p>
    <w:p w:rsidR="00DF364A" w:rsidRPr="00B46A35" w:rsidRDefault="00593A36" w:rsidP="00B46A35">
      <w:pPr>
        <w:ind w:firstLineChars="200" w:firstLine="640"/>
        <w:rPr>
          <w:rFonts w:ascii="仿宋_GB2312" w:eastAsia="仿宋_GB2312" w:hAnsi="宋体" w:cs="宋体"/>
          <w:kern w:val="0"/>
          <w:sz w:val="32"/>
          <w:szCs w:val="32"/>
        </w:rPr>
      </w:pPr>
      <w:r w:rsidRPr="00B46A35">
        <w:rPr>
          <w:rFonts w:ascii="仿宋_GB2312" w:eastAsia="仿宋_GB2312" w:hAnsi="宋体" w:cs="宋体" w:hint="eastAsia"/>
          <w:kern w:val="0"/>
          <w:sz w:val="32"/>
          <w:szCs w:val="32"/>
        </w:rPr>
        <w:t>根据《反垄断法》《未依法申报经营者集中调查处理暂行办法》（简称《暂行办法》），我部于2017年3月1日依法对</w:t>
      </w:r>
      <w:r w:rsidRPr="00B46A35">
        <w:rPr>
          <w:rFonts w:ascii="仿宋_GB2312" w:eastAsia="仿宋_GB2312" w:hint="eastAsia"/>
          <w:sz w:val="32"/>
          <w:szCs w:val="32"/>
        </w:rPr>
        <w:t>天津海光先进技术投资有限公司（简称天津海光，现已更名为海光信息技术有限公司）、Advanced Micro Devices, Inc.（</w:t>
      </w:r>
      <w:proofErr w:type="gramStart"/>
      <w:r w:rsidRPr="00B46A35">
        <w:rPr>
          <w:rFonts w:ascii="仿宋_GB2312" w:eastAsia="仿宋_GB2312" w:hint="eastAsia"/>
          <w:sz w:val="32"/>
          <w:szCs w:val="32"/>
        </w:rPr>
        <w:t>简称超威半导体</w:t>
      </w:r>
      <w:proofErr w:type="gramEnd"/>
      <w:r w:rsidRPr="00B46A35">
        <w:rPr>
          <w:rFonts w:ascii="仿宋_GB2312" w:eastAsia="仿宋_GB2312" w:hint="eastAsia"/>
          <w:sz w:val="32"/>
          <w:szCs w:val="32"/>
        </w:rPr>
        <w:t>）设立合营企业成都海光集成电路设计有限公司和成都海光微电子技术有限公司（以下合称合营企业）</w:t>
      </w:r>
      <w:r w:rsidRPr="00B46A35">
        <w:rPr>
          <w:rFonts w:ascii="仿宋_GB2312" w:eastAsia="仿宋_GB2312" w:hAnsi="宋体" w:cs="宋体" w:hint="eastAsia"/>
          <w:kern w:val="0"/>
          <w:sz w:val="32"/>
          <w:szCs w:val="32"/>
        </w:rPr>
        <w:t>涉嫌未依法申报违法实施经营者集中案进行立案调查。</w:t>
      </w:r>
    </w:p>
    <w:p w:rsidR="00593A36" w:rsidRPr="00B46A35" w:rsidRDefault="00593A36" w:rsidP="00B46A35">
      <w:pPr>
        <w:ind w:firstLineChars="200" w:firstLine="640"/>
        <w:rPr>
          <w:rFonts w:ascii="仿宋_GB2312" w:eastAsia="仿宋_GB2312" w:hAnsi="simsun" w:cs="宋体" w:hint="eastAsia"/>
          <w:kern w:val="0"/>
          <w:sz w:val="32"/>
          <w:szCs w:val="32"/>
        </w:rPr>
      </w:pPr>
      <w:r w:rsidRPr="00B46A35">
        <w:rPr>
          <w:rFonts w:ascii="仿宋_GB2312" w:eastAsia="仿宋_GB2312" w:hAnsi="宋体" w:cs="宋体" w:hint="eastAsia"/>
          <w:kern w:val="0"/>
          <w:sz w:val="32"/>
          <w:szCs w:val="32"/>
        </w:rPr>
        <w:t>经查，天津海光</w:t>
      </w:r>
      <w:proofErr w:type="gramStart"/>
      <w:r w:rsidRPr="00B46A35">
        <w:rPr>
          <w:rFonts w:ascii="仿宋_GB2312" w:eastAsia="仿宋_GB2312" w:hAnsi="宋体" w:cs="宋体" w:hint="eastAsia"/>
          <w:kern w:val="0"/>
          <w:sz w:val="32"/>
          <w:szCs w:val="32"/>
        </w:rPr>
        <w:t>与超威半导体</w:t>
      </w:r>
      <w:proofErr w:type="gramEnd"/>
      <w:r w:rsidRPr="00B46A35">
        <w:rPr>
          <w:rFonts w:ascii="仿宋_GB2312" w:eastAsia="仿宋_GB2312" w:hAnsi="宋体" w:cs="宋体" w:hint="eastAsia"/>
          <w:kern w:val="0"/>
          <w:sz w:val="32"/>
          <w:szCs w:val="32"/>
        </w:rPr>
        <w:t>设立合营企业构成未依法申报违法实施的经营者集中，但不具有排除、限制竞争的效果。我部按照《行政处罚法》《</w:t>
      </w:r>
      <w:hyperlink r:id="rId5" w:tgtFrame="_blank" w:history="1">
        <w:r w:rsidRPr="00B46A35">
          <w:rPr>
            <w:rFonts w:ascii="仿宋_GB2312" w:eastAsia="仿宋_GB2312" w:hAnsi="宋体" w:cs="宋体" w:hint="eastAsia"/>
            <w:kern w:val="0"/>
            <w:sz w:val="32"/>
            <w:szCs w:val="32"/>
          </w:rPr>
          <w:t>商务部行政处罚实施办法（试行）</w:t>
        </w:r>
      </w:hyperlink>
      <w:r w:rsidRPr="00B46A35">
        <w:rPr>
          <w:rFonts w:ascii="仿宋_GB2312" w:eastAsia="仿宋_GB2312" w:hAnsi="宋体" w:cs="宋体" w:hint="eastAsia"/>
          <w:kern w:val="0"/>
          <w:sz w:val="32"/>
          <w:szCs w:val="32"/>
        </w:rPr>
        <w:t>》</w:t>
      </w:r>
      <w:r w:rsidRPr="00B46A35">
        <w:rPr>
          <w:rFonts w:ascii="仿宋_GB2312" w:eastAsia="仿宋_GB2312" w:hAnsi="宋体" w:cs="宋体" w:hint="eastAsia"/>
          <w:kern w:val="0"/>
          <w:sz w:val="32"/>
          <w:szCs w:val="32"/>
        </w:rPr>
        <w:lastRenderedPageBreak/>
        <w:t>的规定，向天津海</w:t>
      </w:r>
      <w:proofErr w:type="gramStart"/>
      <w:r w:rsidRPr="00B46A35">
        <w:rPr>
          <w:rFonts w:ascii="仿宋_GB2312" w:eastAsia="仿宋_GB2312" w:hAnsi="宋体" w:cs="宋体" w:hint="eastAsia"/>
          <w:kern w:val="0"/>
          <w:sz w:val="32"/>
          <w:szCs w:val="32"/>
        </w:rPr>
        <w:t>光和超威半导体</w:t>
      </w:r>
      <w:proofErr w:type="gramEnd"/>
      <w:r w:rsidRPr="00B46A35">
        <w:rPr>
          <w:rFonts w:ascii="仿宋_GB2312" w:eastAsia="仿宋_GB2312" w:hAnsi="宋体" w:cs="宋体" w:hint="eastAsia"/>
          <w:kern w:val="0"/>
          <w:sz w:val="32"/>
          <w:szCs w:val="32"/>
        </w:rPr>
        <w:t>送达了《商务部行政处罚告知书》，告知其拟作出行政处罚决定的事实、理由、依据、处罚内容，以及其依法享有的陈述权、申辩权和要求听证权。天津海</w:t>
      </w:r>
      <w:proofErr w:type="gramStart"/>
      <w:r w:rsidRPr="00B46A35">
        <w:rPr>
          <w:rFonts w:ascii="仿宋_GB2312" w:eastAsia="仿宋_GB2312" w:hAnsi="宋体" w:cs="宋体" w:hint="eastAsia"/>
          <w:kern w:val="0"/>
          <w:sz w:val="32"/>
          <w:szCs w:val="32"/>
        </w:rPr>
        <w:t>光和超威半导体</w:t>
      </w:r>
      <w:proofErr w:type="gramEnd"/>
      <w:r w:rsidRPr="00B46A35">
        <w:rPr>
          <w:rFonts w:ascii="仿宋_GB2312" w:eastAsia="仿宋_GB2312" w:hAnsi="宋体" w:cs="宋体" w:hint="eastAsia"/>
          <w:kern w:val="0"/>
          <w:sz w:val="32"/>
          <w:szCs w:val="32"/>
        </w:rPr>
        <w:t>在规定期限内没有提出陈述、申辩意见或要求举行听证。本案现已调查、审理终结。</w:t>
      </w:r>
    </w:p>
    <w:p w:rsidR="00593A36" w:rsidRPr="00B46A35" w:rsidRDefault="00593A36" w:rsidP="00DF364A">
      <w:pPr>
        <w:widowControl/>
        <w:textAlignment w:val="baseline"/>
        <w:rPr>
          <w:rFonts w:ascii="黑体" w:eastAsia="黑体" w:hAnsi="simsun" w:cs="宋体" w:hint="eastAsia"/>
          <w:kern w:val="0"/>
          <w:sz w:val="32"/>
          <w:szCs w:val="32"/>
        </w:rPr>
      </w:pPr>
      <w:r w:rsidRPr="00B46A35">
        <w:rPr>
          <w:rFonts w:ascii="黑体" w:eastAsia="黑体" w:hAnsi="宋体" w:cs="宋体" w:hint="eastAsia"/>
          <w:kern w:val="0"/>
          <w:sz w:val="32"/>
          <w:szCs w:val="32"/>
        </w:rPr>
        <w:t xml:space="preserve">　　一、基本情况</w:t>
      </w:r>
    </w:p>
    <w:p w:rsidR="00593A36" w:rsidRPr="00B46A35" w:rsidRDefault="00593A36" w:rsidP="00DF364A">
      <w:pPr>
        <w:widowControl/>
        <w:textAlignment w:val="baseline"/>
        <w:rPr>
          <w:rFonts w:ascii="楷体_GB2312" w:eastAsia="楷体_GB2312" w:hAnsi="simsun" w:cs="宋体" w:hint="eastAsia"/>
          <w:kern w:val="0"/>
          <w:sz w:val="32"/>
          <w:szCs w:val="32"/>
        </w:rPr>
      </w:pPr>
      <w:r w:rsidRPr="00B46A35">
        <w:rPr>
          <w:rFonts w:ascii="楷体_GB2312" w:eastAsia="楷体_GB2312" w:hAnsi="宋体" w:cs="宋体" w:hint="eastAsia"/>
          <w:b/>
          <w:bCs/>
          <w:kern w:val="0"/>
          <w:sz w:val="32"/>
          <w:szCs w:val="32"/>
          <w:bdr w:val="none" w:sz="0" w:space="0" w:color="auto" w:frame="1"/>
        </w:rPr>
        <w:t xml:space="preserve">　　（一）相关当事方。</w:t>
      </w:r>
    </w:p>
    <w:p w:rsidR="00593A36" w:rsidRPr="00B46A35" w:rsidRDefault="00593A36" w:rsidP="00DF364A">
      <w:pPr>
        <w:widowControl/>
        <w:textAlignment w:val="baseline"/>
        <w:rPr>
          <w:rFonts w:ascii="仿宋_GB2312" w:eastAsia="仿宋_GB2312" w:hAnsi="simsun" w:cs="宋体" w:hint="eastAsia"/>
          <w:kern w:val="0"/>
          <w:sz w:val="32"/>
          <w:szCs w:val="32"/>
        </w:rPr>
      </w:pPr>
      <w:r w:rsidRPr="00B46A35">
        <w:rPr>
          <w:rFonts w:ascii="仿宋_GB2312" w:eastAsia="仿宋_GB2312" w:hAnsi="宋体" w:cs="宋体" w:hint="eastAsia"/>
          <w:b/>
          <w:bCs/>
          <w:kern w:val="0"/>
          <w:sz w:val="32"/>
          <w:szCs w:val="32"/>
          <w:bdr w:val="none" w:sz="0" w:space="0" w:color="auto" w:frame="1"/>
        </w:rPr>
        <w:t xml:space="preserve">　　</w:t>
      </w:r>
      <w:r w:rsidRPr="00B46A35">
        <w:rPr>
          <w:rFonts w:ascii="楷体_GB2312" w:eastAsia="楷体_GB2312" w:hAnsi="宋体" w:cs="宋体" w:hint="eastAsia"/>
          <w:b/>
          <w:bCs/>
          <w:kern w:val="0"/>
          <w:sz w:val="32"/>
          <w:szCs w:val="32"/>
          <w:bdr w:val="none" w:sz="0" w:space="0" w:color="auto" w:frame="1"/>
        </w:rPr>
        <w:t>合营方</w:t>
      </w:r>
      <w:proofErr w:type="gramStart"/>
      <w:r w:rsidRPr="00B46A35">
        <w:rPr>
          <w:rFonts w:ascii="楷体_GB2312" w:eastAsia="楷体_GB2312" w:hAnsi="宋体" w:cs="宋体" w:hint="eastAsia"/>
          <w:b/>
          <w:bCs/>
          <w:kern w:val="0"/>
          <w:sz w:val="32"/>
          <w:szCs w:val="32"/>
          <w:bdr w:val="none" w:sz="0" w:space="0" w:color="auto" w:frame="1"/>
        </w:rPr>
        <w:t>一</w:t>
      </w:r>
      <w:proofErr w:type="gramEnd"/>
      <w:r w:rsidRPr="00B46A35">
        <w:rPr>
          <w:rFonts w:ascii="楷体_GB2312" w:eastAsia="楷体_GB2312" w:hAnsi="宋体" w:cs="宋体" w:hint="eastAsia"/>
          <w:b/>
          <w:bCs/>
          <w:kern w:val="0"/>
          <w:sz w:val="32"/>
          <w:szCs w:val="32"/>
          <w:bdr w:val="none" w:sz="0" w:space="0" w:color="auto" w:frame="1"/>
        </w:rPr>
        <w:t>：天津海光。</w:t>
      </w:r>
      <w:r w:rsidR="00F461BD" w:rsidRPr="00B46A35">
        <w:rPr>
          <w:rFonts w:ascii="仿宋_GB2312" w:eastAsia="仿宋_GB2312" w:hAnsi="宋体" w:cs="宋体" w:hint="eastAsia"/>
          <w:kern w:val="0"/>
          <w:sz w:val="32"/>
          <w:szCs w:val="32"/>
        </w:rPr>
        <w:t>天津海光于2014年在天津设立，主要在中国境内从事高新技术产业投资等（略）</w:t>
      </w:r>
      <w:r w:rsidRPr="00B46A35">
        <w:rPr>
          <w:rFonts w:ascii="仿宋_GB2312" w:eastAsia="仿宋_GB2312" w:hAnsi="宋体" w:cs="宋体" w:hint="eastAsia"/>
          <w:kern w:val="0"/>
          <w:sz w:val="32"/>
          <w:szCs w:val="32"/>
        </w:rPr>
        <w:t>。营业额（略）。</w:t>
      </w:r>
    </w:p>
    <w:p w:rsidR="00593A36" w:rsidRPr="00B46A35" w:rsidRDefault="00593A36" w:rsidP="00DF364A">
      <w:pPr>
        <w:widowControl/>
        <w:textAlignment w:val="baseline"/>
        <w:rPr>
          <w:rFonts w:ascii="仿宋_GB2312" w:eastAsia="仿宋_GB2312" w:hAnsi="simsun" w:cs="宋体" w:hint="eastAsia"/>
          <w:kern w:val="0"/>
          <w:sz w:val="32"/>
          <w:szCs w:val="32"/>
        </w:rPr>
      </w:pPr>
      <w:r w:rsidRPr="00B46A35">
        <w:rPr>
          <w:rFonts w:ascii="仿宋_GB2312" w:eastAsia="仿宋_GB2312" w:hAnsi="宋体" w:cs="宋体" w:hint="eastAsia"/>
          <w:b/>
          <w:bCs/>
          <w:kern w:val="0"/>
          <w:sz w:val="32"/>
          <w:szCs w:val="32"/>
          <w:bdr w:val="none" w:sz="0" w:space="0" w:color="auto" w:frame="1"/>
        </w:rPr>
        <w:t xml:space="preserve">　　</w:t>
      </w:r>
      <w:r w:rsidRPr="00B46A35">
        <w:rPr>
          <w:rFonts w:ascii="楷体_GB2312" w:eastAsia="楷体_GB2312" w:hAnsi="宋体" w:cs="宋体" w:hint="eastAsia"/>
          <w:b/>
          <w:bCs/>
          <w:kern w:val="0"/>
          <w:sz w:val="32"/>
          <w:szCs w:val="32"/>
          <w:bdr w:val="none" w:sz="0" w:space="0" w:color="auto" w:frame="1"/>
        </w:rPr>
        <w:t>合营方二：</w:t>
      </w:r>
      <w:proofErr w:type="gramStart"/>
      <w:r w:rsidR="00F461BD" w:rsidRPr="00B46A35">
        <w:rPr>
          <w:rFonts w:ascii="楷体_GB2312" w:eastAsia="楷体_GB2312" w:hAnsi="宋体" w:cs="宋体" w:hint="eastAsia"/>
          <w:b/>
          <w:bCs/>
          <w:kern w:val="0"/>
          <w:sz w:val="32"/>
          <w:szCs w:val="32"/>
          <w:bdr w:val="none" w:sz="0" w:space="0" w:color="auto" w:frame="1"/>
        </w:rPr>
        <w:t>超威半导体</w:t>
      </w:r>
      <w:proofErr w:type="gramEnd"/>
      <w:r w:rsidRPr="00B46A35">
        <w:rPr>
          <w:rFonts w:ascii="楷体_GB2312" w:eastAsia="楷体_GB2312" w:hAnsi="宋体" w:cs="宋体" w:hint="eastAsia"/>
          <w:b/>
          <w:bCs/>
          <w:kern w:val="0"/>
          <w:sz w:val="32"/>
          <w:szCs w:val="32"/>
          <w:bdr w:val="none" w:sz="0" w:space="0" w:color="auto" w:frame="1"/>
        </w:rPr>
        <w:t>。</w:t>
      </w:r>
      <w:proofErr w:type="gramStart"/>
      <w:r w:rsidR="00BC19D1" w:rsidRPr="00B46A35">
        <w:rPr>
          <w:rFonts w:ascii="仿宋_GB2312" w:eastAsia="仿宋_GB2312" w:hAnsi="宋体" w:cs="宋体" w:hint="eastAsia"/>
          <w:kern w:val="0"/>
          <w:sz w:val="32"/>
          <w:szCs w:val="32"/>
        </w:rPr>
        <w:t>超威</w:t>
      </w:r>
      <w:r w:rsidR="00F461BD" w:rsidRPr="00B46A35">
        <w:rPr>
          <w:rFonts w:ascii="仿宋_GB2312" w:eastAsia="仿宋_GB2312" w:hAnsi="宋体" w:cs="宋体" w:hint="eastAsia"/>
          <w:kern w:val="0"/>
          <w:sz w:val="32"/>
          <w:szCs w:val="32"/>
        </w:rPr>
        <w:t>半导体</w:t>
      </w:r>
      <w:proofErr w:type="gramEnd"/>
      <w:r w:rsidR="00F461BD" w:rsidRPr="00B46A35">
        <w:rPr>
          <w:rFonts w:ascii="仿宋_GB2312" w:eastAsia="仿宋_GB2312" w:hAnsi="宋体" w:cs="宋体" w:hint="eastAsia"/>
          <w:kern w:val="0"/>
          <w:sz w:val="32"/>
          <w:szCs w:val="32"/>
        </w:rPr>
        <w:t>于1969年在美国设立，在纳斯达克证券交易所上市，主要从事服务器处理器、图形处理器、芯片组等业务。</w:t>
      </w:r>
      <w:r w:rsidRPr="00B46A35">
        <w:rPr>
          <w:rFonts w:ascii="仿宋_GB2312" w:eastAsia="仿宋_GB2312" w:hAnsi="宋体" w:cs="宋体" w:hint="eastAsia"/>
          <w:kern w:val="0"/>
          <w:sz w:val="32"/>
          <w:szCs w:val="32"/>
        </w:rPr>
        <w:t>营业额（略）。</w:t>
      </w:r>
    </w:p>
    <w:p w:rsidR="00593A36" w:rsidRPr="00B46A35" w:rsidRDefault="00593A36" w:rsidP="00DF364A">
      <w:pPr>
        <w:widowControl/>
        <w:textAlignment w:val="baseline"/>
        <w:rPr>
          <w:rFonts w:ascii="楷体_GB2312" w:eastAsia="楷体_GB2312" w:hAnsi="宋体" w:cs="宋体"/>
          <w:b/>
          <w:bCs/>
          <w:kern w:val="0"/>
          <w:sz w:val="32"/>
          <w:szCs w:val="32"/>
          <w:bdr w:val="none" w:sz="0" w:space="0" w:color="auto" w:frame="1"/>
        </w:rPr>
      </w:pPr>
      <w:r w:rsidRPr="00B46A35">
        <w:rPr>
          <w:rFonts w:ascii="楷体_GB2312" w:eastAsia="楷体_GB2312" w:hAnsi="宋体" w:cs="宋体" w:hint="eastAsia"/>
          <w:b/>
          <w:bCs/>
          <w:kern w:val="0"/>
          <w:sz w:val="32"/>
          <w:szCs w:val="32"/>
          <w:bdr w:val="none" w:sz="0" w:space="0" w:color="auto" w:frame="1"/>
        </w:rPr>
        <w:t xml:space="preserve">　　（二）交易概况。</w:t>
      </w:r>
    </w:p>
    <w:p w:rsidR="00593A36" w:rsidRPr="00B46A35" w:rsidRDefault="00593A36" w:rsidP="00DF364A">
      <w:pPr>
        <w:widowControl/>
        <w:textAlignment w:val="baseline"/>
        <w:rPr>
          <w:rFonts w:ascii="仿宋_GB2312" w:eastAsia="仿宋_GB2312" w:hAnsi="simsun" w:cs="宋体" w:hint="eastAsia"/>
          <w:kern w:val="0"/>
          <w:sz w:val="32"/>
          <w:szCs w:val="32"/>
        </w:rPr>
      </w:pPr>
      <w:r w:rsidRPr="00B46A35">
        <w:rPr>
          <w:rFonts w:ascii="仿宋_GB2312" w:eastAsia="仿宋_GB2312" w:hAnsi="宋体" w:cs="宋体" w:hint="eastAsia"/>
          <w:kern w:val="0"/>
          <w:sz w:val="32"/>
          <w:szCs w:val="32"/>
        </w:rPr>
        <w:t xml:space="preserve">　　</w:t>
      </w:r>
      <w:r w:rsidR="00F461BD" w:rsidRPr="00B46A35">
        <w:rPr>
          <w:rFonts w:ascii="仿宋_GB2312" w:eastAsia="仿宋_GB2312" w:hAnsi="宋体" w:cs="宋体" w:hint="eastAsia"/>
          <w:kern w:val="0"/>
          <w:sz w:val="32"/>
          <w:szCs w:val="32"/>
        </w:rPr>
        <w:t>本交易为设立合营企业。2016年1月26</w:t>
      </w:r>
      <w:r w:rsidR="00FE6ADE" w:rsidRPr="00B46A35">
        <w:rPr>
          <w:rFonts w:ascii="仿宋_GB2312" w:eastAsia="仿宋_GB2312" w:hAnsi="宋体" w:cs="宋体" w:hint="eastAsia"/>
          <w:kern w:val="0"/>
          <w:sz w:val="32"/>
          <w:szCs w:val="32"/>
        </w:rPr>
        <w:t>日，天津海光</w:t>
      </w:r>
      <w:proofErr w:type="gramStart"/>
      <w:r w:rsidR="00FE6ADE" w:rsidRPr="00B46A35">
        <w:rPr>
          <w:rFonts w:ascii="仿宋_GB2312" w:eastAsia="仿宋_GB2312" w:hAnsi="宋体" w:cs="宋体" w:hint="eastAsia"/>
          <w:kern w:val="0"/>
          <w:sz w:val="32"/>
          <w:szCs w:val="32"/>
        </w:rPr>
        <w:t>与超威</w:t>
      </w:r>
      <w:r w:rsidR="00F461BD" w:rsidRPr="00B46A35">
        <w:rPr>
          <w:rFonts w:ascii="仿宋_GB2312" w:eastAsia="仿宋_GB2312" w:hAnsi="宋体" w:cs="宋体" w:hint="eastAsia"/>
          <w:kern w:val="0"/>
          <w:sz w:val="32"/>
          <w:szCs w:val="32"/>
        </w:rPr>
        <w:t>半导体</w:t>
      </w:r>
      <w:proofErr w:type="gramEnd"/>
      <w:r w:rsidR="00F461BD" w:rsidRPr="00B46A35">
        <w:rPr>
          <w:rFonts w:ascii="仿宋_GB2312" w:eastAsia="仿宋_GB2312" w:hAnsi="宋体" w:cs="宋体" w:hint="eastAsia"/>
          <w:kern w:val="0"/>
          <w:sz w:val="32"/>
          <w:szCs w:val="32"/>
        </w:rPr>
        <w:t>签署《关于设立成都</w:t>
      </w:r>
      <w:r w:rsidR="00A81EE3" w:rsidRPr="00B46A35">
        <w:rPr>
          <w:rFonts w:ascii="仿宋_GB2312" w:eastAsia="仿宋_GB2312" w:hAnsi="宋体" w:cs="宋体" w:hint="eastAsia"/>
          <w:kern w:val="0"/>
          <w:sz w:val="32"/>
          <w:szCs w:val="32"/>
        </w:rPr>
        <w:t>海光微电子技术有限公司的合资经营合同》和《关于设立成都海光集成电路设计有限公司的合资经营合同》，后于2月19日签署关于上述两个合同的修正案。天津海光</w:t>
      </w:r>
      <w:proofErr w:type="gramStart"/>
      <w:r w:rsidR="00A81EE3" w:rsidRPr="00B46A35">
        <w:rPr>
          <w:rFonts w:ascii="仿宋_GB2312" w:eastAsia="仿宋_GB2312" w:hAnsi="宋体" w:cs="宋体" w:hint="eastAsia"/>
          <w:kern w:val="0"/>
          <w:sz w:val="32"/>
          <w:szCs w:val="32"/>
        </w:rPr>
        <w:t>与超威半导体</w:t>
      </w:r>
      <w:proofErr w:type="gramEnd"/>
      <w:r w:rsidR="00A81EE3" w:rsidRPr="00B46A35">
        <w:rPr>
          <w:rFonts w:ascii="仿宋_GB2312" w:eastAsia="仿宋_GB2312" w:hAnsi="宋体" w:cs="宋体" w:hint="eastAsia"/>
          <w:kern w:val="0"/>
          <w:sz w:val="32"/>
          <w:szCs w:val="32"/>
        </w:rPr>
        <w:t>对成都海光微电子技术有限公司分别持股49%和51%，对成都海光集成电路设计有限公司分别持股70%和30%。2016年2月26日，合营企业取得营业执照。</w:t>
      </w:r>
    </w:p>
    <w:p w:rsidR="00593A36" w:rsidRPr="00B46A35" w:rsidRDefault="00593A36" w:rsidP="00DF364A">
      <w:pPr>
        <w:widowControl/>
        <w:textAlignment w:val="baseline"/>
        <w:rPr>
          <w:rFonts w:ascii="黑体" w:eastAsia="黑体" w:hAnsi="simsun" w:cs="宋体" w:hint="eastAsia"/>
          <w:kern w:val="0"/>
          <w:sz w:val="32"/>
          <w:szCs w:val="32"/>
        </w:rPr>
      </w:pPr>
      <w:r w:rsidRPr="00B46A35">
        <w:rPr>
          <w:rFonts w:ascii="黑体" w:eastAsia="黑体" w:hAnsi="宋体" w:cs="宋体" w:hint="eastAsia"/>
          <w:kern w:val="0"/>
          <w:sz w:val="32"/>
          <w:szCs w:val="32"/>
        </w:rPr>
        <w:t xml:space="preserve">　　二、违法事实及理由</w:t>
      </w:r>
    </w:p>
    <w:p w:rsidR="00593A36" w:rsidRPr="00B46A35" w:rsidRDefault="00593A36" w:rsidP="00DF364A">
      <w:pPr>
        <w:widowControl/>
        <w:textAlignment w:val="baseline"/>
        <w:rPr>
          <w:rFonts w:ascii="楷体_GB2312" w:eastAsia="楷体_GB2312" w:hAnsi="simsun" w:cs="宋体" w:hint="eastAsia"/>
          <w:kern w:val="0"/>
          <w:sz w:val="32"/>
          <w:szCs w:val="32"/>
        </w:rPr>
      </w:pPr>
      <w:r w:rsidRPr="00B46A35">
        <w:rPr>
          <w:rFonts w:ascii="楷体_GB2312" w:eastAsia="楷体_GB2312" w:hAnsi="宋体" w:cs="宋体" w:hint="eastAsia"/>
          <w:b/>
          <w:bCs/>
          <w:kern w:val="0"/>
          <w:sz w:val="32"/>
          <w:szCs w:val="32"/>
          <w:bdr w:val="none" w:sz="0" w:space="0" w:color="auto" w:frame="1"/>
        </w:rPr>
        <w:t xml:space="preserve">　　（一）本案构成未依法申报违法实施的经营者集中。</w:t>
      </w:r>
    </w:p>
    <w:p w:rsidR="00593A36" w:rsidRPr="00B46A35" w:rsidRDefault="00A81EE3" w:rsidP="00DF364A">
      <w:pPr>
        <w:widowControl/>
        <w:textAlignment w:val="baseline"/>
        <w:rPr>
          <w:rFonts w:ascii="仿宋_GB2312" w:eastAsia="仿宋_GB2312" w:hAnsi="simsun" w:cs="宋体" w:hint="eastAsia"/>
          <w:kern w:val="0"/>
          <w:sz w:val="32"/>
          <w:szCs w:val="32"/>
        </w:rPr>
      </w:pPr>
      <w:r w:rsidRPr="00B46A35">
        <w:rPr>
          <w:rFonts w:ascii="仿宋_GB2312" w:eastAsia="仿宋_GB2312" w:hAnsi="宋体" w:cs="宋体" w:hint="eastAsia"/>
          <w:kern w:val="0"/>
          <w:sz w:val="32"/>
          <w:szCs w:val="32"/>
        </w:rPr>
        <w:lastRenderedPageBreak/>
        <w:t xml:space="preserve">　　交易双方天津海</w:t>
      </w:r>
      <w:proofErr w:type="gramStart"/>
      <w:r w:rsidRPr="00B46A35">
        <w:rPr>
          <w:rFonts w:ascii="仿宋_GB2312" w:eastAsia="仿宋_GB2312" w:hAnsi="宋体" w:cs="宋体" w:hint="eastAsia"/>
          <w:kern w:val="0"/>
          <w:sz w:val="32"/>
          <w:szCs w:val="32"/>
        </w:rPr>
        <w:t>光和超威半导体</w:t>
      </w:r>
      <w:proofErr w:type="gramEnd"/>
      <w:r w:rsidRPr="00B46A35">
        <w:rPr>
          <w:rFonts w:ascii="仿宋_GB2312" w:eastAsia="仿宋_GB2312" w:hAnsi="宋体" w:cs="宋体" w:hint="eastAsia"/>
          <w:kern w:val="0"/>
          <w:sz w:val="32"/>
          <w:szCs w:val="32"/>
        </w:rPr>
        <w:t>设立合营企业</w:t>
      </w:r>
      <w:r w:rsidR="00593A36" w:rsidRPr="00B46A35">
        <w:rPr>
          <w:rFonts w:ascii="仿宋_GB2312" w:eastAsia="仿宋_GB2312" w:hAnsi="宋体" w:cs="宋体" w:hint="eastAsia"/>
          <w:kern w:val="0"/>
          <w:sz w:val="32"/>
          <w:szCs w:val="32"/>
        </w:rPr>
        <w:t>，</w:t>
      </w:r>
      <w:r w:rsidR="00FE6ADE" w:rsidRPr="00B46A35">
        <w:rPr>
          <w:rFonts w:ascii="仿宋_GB2312" w:eastAsia="仿宋_GB2312" w:hAnsi="宋体" w:cs="宋体" w:hint="eastAsia"/>
          <w:kern w:val="0"/>
          <w:sz w:val="32"/>
          <w:szCs w:val="32"/>
        </w:rPr>
        <w:t>符合</w:t>
      </w:r>
      <w:r w:rsidR="00593A36" w:rsidRPr="00B46A35">
        <w:rPr>
          <w:rFonts w:ascii="仿宋_GB2312" w:eastAsia="仿宋_GB2312" w:hAnsi="宋体" w:cs="宋体" w:hint="eastAsia"/>
          <w:kern w:val="0"/>
          <w:sz w:val="32"/>
          <w:szCs w:val="32"/>
        </w:rPr>
        <w:t>《反垄断法》第二十条第</w:t>
      </w:r>
      <w:r w:rsidR="00B46A35">
        <w:rPr>
          <w:rFonts w:ascii="仿宋_GB2312" w:eastAsia="仿宋_GB2312" w:hAnsi="宋体" w:cs="宋体" w:hint="eastAsia"/>
          <w:kern w:val="0"/>
          <w:sz w:val="32"/>
          <w:szCs w:val="32"/>
        </w:rPr>
        <w:t>三</w:t>
      </w:r>
      <w:r w:rsidRPr="00B46A35">
        <w:rPr>
          <w:rFonts w:ascii="仿宋_GB2312" w:eastAsia="仿宋_GB2312" w:hAnsi="宋体" w:cs="宋体" w:hint="eastAsia"/>
          <w:kern w:val="0"/>
          <w:sz w:val="32"/>
          <w:szCs w:val="32"/>
        </w:rPr>
        <w:t>款“</w:t>
      </w:r>
      <w:r w:rsidR="00593A36" w:rsidRPr="00B46A35">
        <w:rPr>
          <w:rFonts w:ascii="仿宋_GB2312" w:eastAsia="仿宋_GB2312" w:hAnsi="宋体" w:cs="宋体" w:hint="eastAsia"/>
          <w:kern w:val="0"/>
          <w:sz w:val="32"/>
          <w:szCs w:val="32"/>
        </w:rPr>
        <w:t>经营者</w:t>
      </w:r>
      <w:r w:rsidRPr="00B46A35">
        <w:rPr>
          <w:rFonts w:ascii="仿宋_GB2312" w:eastAsia="仿宋_GB2312" w:hAnsi="宋体" w:cs="宋体" w:hint="eastAsia"/>
          <w:kern w:val="0"/>
          <w:sz w:val="32"/>
          <w:szCs w:val="32"/>
        </w:rPr>
        <w:t>通过合同等方式取得对其他经营者的控制权或者能够对其他经营者施加决定性影响”，构成经营者集中</w:t>
      </w:r>
      <w:r w:rsidR="00593A36" w:rsidRPr="00B46A35">
        <w:rPr>
          <w:rFonts w:ascii="仿宋_GB2312" w:eastAsia="仿宋_GB2312" w:hAnsi="宋体" w:cs="宋体" w:hint="eastAsia"/>
          <w:kern w:val="0"/>
          <w:sz w:val="32"/>
          <w:szCs w:val="32"/>
        </w:rPr>
        <w:t>。</w:t>
      </w:r>
      <w:r w:rsidR="00BC19D1" w:rsidRPr="00B46A35">
        <w:rPr>
          <w:rFonts w:ascii="仿宋_GB2312" w:eastAsia="仿宋_GB2312" w:hAnsi="宋体" w:cs="宋体" w:hint="eastAsia"/>
          <w:kern w:val="0"/>
          <w:sz w:val="32"/>
          <w:szCs w:val="32"/>
        </w:rPr>
        <w:t>营业额（略）。</w:t>
      </w:r>
      <w:r w:rsidRPr="00B46A35">
        <w:rPr>
          <w:rFonts w:ascii="仿宋_GB2312" w:eastAsia="仿宋_GB2312" w:hAnsi="宋体" w:cs="宋体" w:hint="eastAsia"/>
          <w:kern w:val="0"/>
          <w:sz w:val="32"/>
          <w:szCs w:val="32"/>
        </w:rPr>
        <w:t>集中双方的营业额达到了</w:t>
      </w:r>
      <w:r w:rsidRPr="00B46A35">
        <w:rPr>
          <w:rFonts w:ascii="仿宋_GB2312" w:eastAsia="仿宋_GB2312" w:hint="eastAsia"/>
          <w:sz w:val="32"/>
          <w:szCs w:val="32"/>
        </w:rPr>
        <w:t>《国务院关于经营者集中申报标准的规定》第三条规定的申报标准，属于应当申报的情形。</w:t>
      </w:r>
      <w:bookmarkStart w:id="0" w:name="_GoBack"/>
      <w:bookmarkEnd w:id="0"/>
    </w:p>
    <w:p w:rsidR="00593A36" w:rsidRPr="00B46A35" w:rsidRDefault="00593A36" w:rsidP="00DF364A">
      <w:pPr>
        <w:widowControl/>
        <w:textAlignment w:val="baseline"/>
        <w:rPr>
          <w:rFonts w:ascii="仿宋_GB2312" w:eastAsia="仿宋_GB2312" w:hAnsi="simsun" w:cs="宋体" w:hint="eastAsia"/>
          <w:kern w:val="0"/>
          <w:sz w:val="32"/>
          <w:szCs w:val="32"/>
        </w:rPr>
      </w:pPr>
      <w:r w:rsidRPr="00B46A35">
        <w:rPr>
          <w:rFonts w:ascii="仿宋_GB2312" w:eastAsia="仿宋_GB2312" w:hAnsi="宋体" w:cs="宋体" w:hint="eastAsia"/>
          <w:kern w:val="0"/>
          <w:sz w:val="32"/>
          <w:szCs w:val="32"/>
        </w:rPr>
        <w:t xml:space="preserve">　　合营企业</w:t>
      </w:r>
      <w:r w:rsidR="00A81EE3" w:rsidRPr="00B46A35">
        <w:rPr>
          <w:rFonts w:ascii="仿宋_GB2312" w:eastAsia="仿宋_GB2312" w:hAnsi="宋体" w:cs="宋体" w:hint="eastAsia"/>
          <w:kern w:val="0"/>
          <w:sz w:val="32"/>
          <w:szCs w:val="32"/>
        </w:rPr>
        <w:t>于2016年2月26日</w:t>
      </w:r>
      <w:r w:rsidRPr="00B46A35">
        <w:rPr>
          <w:rFonts w:ascii="仿宋_GB2312" w:eastAsia="仿宋_GB2312" w:hAnsi="宋体" w:cs="宋体" w:hint="eastAsia"/>
          <w:kern w:val="0"/>
          <w:sz w:val="32"/>
          <w:szCs w:val="32"/>
        </w:rPr>
        <w:t>取得营业执照，在此之前未向我部申报，违反了《反垄断法》第二十一条，构成未依法申报</w:t>
      </w:r>
      <w:r w:rsidR="00BC19D1" w:rsidRPr="00B46A35">
        <w:rPr>
          <w:rFonts w:ascii="仿宋_GB2312" w:eastAsia="仿宋_GB2312" w:hAnsi="宋体" w:cs="宋体" w:hint="eastAsia"/>
          <w:kern w:val="0"/>
          <w:sz w:val="32"/>
          <w:szCs w:val="32"/>
        </w:rPr>
        <w:t>违法实施</w:t>
      </w:r>
      <w:r w:rsidRPr="00B46A35">
        <w:rPr>
          <w:rFonts w:ascii="仿宋_GB2312" w:eastAsia="仿宋_GB2312" w:hAnsi="宋体" w:cs="宋体" w:hint="eastAsia"/>
          <w:kern w:val="0"/>
          <w:sz w:val="32"/>
          <w:szCs w:val="32"/>
        </w:rPr>
        <w:t>经营者集中。</w:t>
      </w:r>
    </w:p>
    <w:p w:rsidR="00593A36" w:rsidRPr="00B46A35" w:rsidRDefault="00A81EE3" w:rsidP="00DF364A">
      <w:pPr>
        <w:widowControl/>
        <w:textAlignment w:val="baseline"/>
        <w:rPr>
          <w:rFonts w:ascii="楷体_GB2312" w:eastAsia="楷体_GB2312" w:hAnsi="simsun" w:cs="宋体" w:hint="eastAsia"/>
          <w:kern w:val="0"/>
          <w:sz w:val="32"/>
          <w:szCs w:val="32"/>
        </w:rPr>
      </w:pPr>
      <w:r w:rsidRPr="00B46A35">
        <w:rPr>
          <w:rFonts w:ascii="楷体_GB2312" w:eastAsia="楷体_GB2312" w:hAnsi="宋体" w:cs="宋体" w:hint="eastAsia"/>
          <w:b/>
          <w:bCs/>
          <w:kern w:val="0"/>
          <w:sz w:val="32"/>
          <w:szCs w:val="32"/>
          <w:bdr w:val="none" w:sz="0" w:space="0" w:color="auto" w:frame="1"/>
        </w:rPr>
        <w:t xml:space="preserve">　　（二）该</w:t>
      </w:r>
      <w:r w:rsidR="00593A36" w:rsidRPr="00B46A35">
        <w:rPr>
          <w:rFonts w:ascii="楷体_GB2312" w:eastAsia="楷体_GB2312" w:hAnsi="宋体" w:cs="宋体" w:hint="eastAsia"/>
          <w:b/>
          <w:bCs/>
          <w:kern w:val="0"/>
          <w:sz w:val="32"/>
          <w:szCs w:val="32"/>
          <w:bdr w:val="none" w:sz="0" w:space="0" w:color="auto" w:frame="1"/>
        </w:rPr>
        <w:t>案不具有排除、限制竞争的效果。</w:t>
      </w:r>
    </w:p>
    <w:p w:rsidR="00593A36" w:rsidRPr="00B46A35" w:rsidRDefault="00593A36" w:rsidP="00DF364A">
      <w:pPr>
        <w:widowControl/>
        <w:textAlignment w:val="baseline"/>
        <w:rPr>
          <w:rFonts w:ascii="仿宋_GB2312" w:eastAsia="仿宋_GB2312" w:hAnsi="simsun" w:cs="宋体" w:hint="eastAsia"/>
          <w:kern w:val="0"/>
          <w:sz w:val="32"/>
          <w:szCs w:val="32"/>
        </w:rPr>
      </w:pPr>
      <w:r w:rsidRPr="00B46A35">
        <w:rPr>
          <w:rFonts w:ascii="仿宋_GB2312" w:eastAsia="仿宋_GB2312" w:hAnsi="宋体" w:cs="宋体" w:hint="eastAsia"/>
          <w:kern w:val="0"/>
          <w:sz w:val="32"/>
          <w:szCs w:val="32"/>
        </w:rPr>
        <w:t xml:space="preserve">　　我部就</w:t>
      </w:r>
      <w:r w:rsidR="00A81EE3" w:rsidRPr="00B46A35">
        <w:rPr>
          <w:rFonts w:ascii="仿宋_GB2312" w:eastAsia="仿宋_GB2312" w:hAnsi="宋体" w:cs="宋体" w:hint="eastAsia"/>
          <w:kern w:val="0"/>
          <w:sz w:val="32"/>
          <w:szCs w:val="32"/>
        </w:rPr>
        <w:t>天津海</w:t>
      </w:r>
      <w:proofErr w:type="gramStart"/>
      <w:r w:rsidR="00A81EE3" w:rsidRPr="00B46A35">
        <w:rPr>
          <w:rFonts w:ascii="仿宋_GB2312" w:eastAsia="仿宋_GB2312" w:hAnsi="宋体" w:cs="宋体" w:hint="eastAsia"/>
          <w:kern w:val="0"/>
          <w:sz w:val="32"/>
          <w:szCs w:val="32"/>
        </w:rPr>
        <w:t>光和超威半导体</w:t>
      </w:r>
      <w:proofErr w:type="gramEnd"/>
      <w:r w:rsidRPr="00B46A35">
        <w:rPr>
          <w:rFonts w:ascii="仿宋_GB2312" w:eastAsia="仿宋_GB2312" w:hAnsi="宋体" w:cs="宋体" w:hint="eastAsia"/>
          <w:kern w:val="0"/>
          <w:sz w:val="32"/>
          <w:szCs w:val="32"/>
        </w:rPr>
        <w:t>设立合营企业对市场竞争的影响进行了评估。评估认为，该项经营者集中不会产生排除、限制竞争的影响。</w:t>
      </w:r>
    </w:p>
    <w:p w:rsidR="00593A36" w:rsidRPr="00B46A35" w:rsidRDefault="00593A36" w:rsidP="00DF364A">
      <w:pPr>
        <w:widowControl/>
        <w:textAlignment w:val="baseline"/>
        <w:rPr>
          <w:rFonts w:ascii="黑体" w:eastAsia="黑体" w:hAnsi="simsun" w:cs="宋体" w:hint="eastAsia"/>
          <w:kern w:val="0"/>
          <w:sz w:val="32"/>
          <w:szCs w:val="32"/>
        </w:rPr>
      </w:pPr>
      <w:r w:rsidRPr="00B46A35">
        <w:rPr>
          <w:rFonts w:ascii="黑体" w:eastAsia="黑体" w:hAnsi="宋体" w:cs="宋体" w:hint="eastAsia"/>
          <w:kern w:val="0"/>
          <w:sz w:val="32"/>
          <w:szCs w:val="32"/>
        </w:rPr>
        <w:t xml:space="preserve">　　三、行政处罚依据和决定</w:t>
      </w:r>
    </w:p>
    <w:p w:rsidR="00593A36" w:rsidRPr="00B46A35" w:rsidRDefault="00593A36" w:rsidP="00DF364A">
      <w:pPr>
        <w:widowControl/>
        <w:textAlignment w:val="baseline"/>
        <w:rPr>
          <w:rFonts w:ascii="仿宋_GB2312" w:eastAsia="仿宋_GB2312" w:hAnsi="simsun" w:cs="宋体" w:hint="eastAsia"/>
          <w:kern w:val="0"/>
          <w:sz w:val="32"/>
          <w:szCs w:val="32"/>
        </w:rPr>
      </w:pPr>
      <w:r w:rsidRPr="00B46A35">
        <w:rPr>
          <w:rFonts w:ascii="仿宋_GB2312" w:eastAsia="仿宋_GB2312" w:hAnsi="宋体" w:cs="宋体" w:hint="eastAsia"/>
          <w:kern w:val="0"/>
          <w:sz w:val="32"/>
          <w:szCs w:val="32"/>
        </w:rPr>
        <w:t xml:space="preserve">　　基于上述调查情况和评估结论，同时考虑到</w:t>
      </w:r>
      <w:r w:rsidR="00A81EE3" w:rsidRPr="00B46A35">
        <w:rPr>
          <w:rFonts w:ascii="仿宋_GB2312" w:eastAsia="仿宋_GB2312" w:hAnsi="宋体" w:cs="宋体" w:hint="eastAsia"/>
          <w:kern w:val="0"/>
          <w:sz w:val="32"/>
          <w:szCs w:val="32"/>
        </w:rPr>
        <w:t>天津海光</w:t>
      </w:r>
      <w:proofErr w:type="gramStart"/>
      <w:r w:rsidR="00BC19D1" w:rsidRPr="00B46A35">
        <w:rPr>
          <w:rFonts w:ascii="仿宋_GB2312" w:eastAsia="仿宋_GB2312" w:hAnsi="宋体" w:cs="宋体" w:hint="eastAsia"/>
          <w:kern w:val="0"/>
          <w:sz w:val="32"/>
          <w:szCs w:val="32"/>
        </w:rPr>
        <w:t>与</w:t>
      </w:r>
      <w:r w:rsidR="00A81EE3" w:rsidRPr="00B46A35">
        <w:rPr>
          <w:rFonts w:ascii="仿宋_GB2312" w:eastAsia="仿宋_GB2312" w:hAnsi="宋体" w:cs="宋体" w:hint="eastAsia"/>
          <w:kern w:val="0"/>
          <w:sz w:val="32"/>
          <w:szCs w:val="32"/>
        </w:rPr>
        <w:t>超威半导体</w:t>
      </w:r>
      <w:proofErr w:type="gramEnd"/>
      <w:r w:rsidR="00A81EE3" w:rsidRPr="00B46A35">
        <w:rPr>
          <w:rFonts w:ascii="仿宋_GB2312" w:eastAsia="仿宋_GB2312" w:hAnsi="宋体" w:cs="宋体" w:hint="eastAsia"/>
          <w:kern w:val="0"/>
          <w:sz w:val="32"/>
          <w:szCs w:val="32"/>
        </w:rPr>
        <w:t>意识到集中可能涉嫌构成未依法申报违法实施经营者集中后，主动书面报告，在调查过程中</w:t>
      </w:r>
      <w:r w:rsidR="00612976" w:rsidRPr="00B46A35">
        <w:rPr>
          <w:rFonts w:ascii="仿宋_GB2312" w:eastAsia="仿宋_GB2312" w:hAnsi="宋体" w:cs="宋体" w:hint="eastAsia"/>
          <w:kern w:val="0"/>
          <w:sz w:val="32"/>
          <w:szCs w:val="32"/>
        </w:rPr>
        <w:t>承认违法并能够</w:t>
      </w:r>
      <w:r w:rsidRPr="00B46A35">
        <w:rPr>
          <w:rFonts w:ascii="仿宋_GB2312" w:eastAsia="仿宋_GB2312" w:hAnsi="宋体" w:cs="宋体" w:hint="eastAsia"/>
          <w:kern w:val="0"/>
          <w:sz w:val="32"/>
          <w:szCs w:val="32"/>
        </w:rPr>
        <w:t>配合调查等因素，</w:t>
      </w:r>
      <w:r w:rsidR="00612976" w:rsidRPr="00B46A35">
        <w:rPr>
          <w:rFonts w:ascii="仿宋_GB2312" w:eastAsia="仿宋_GB2312" w:hAnsi="宋体" w:cs="宋体" w:hint="eastAsia"/>
          <w:kern w:val="0"/>
          <w:sz w:val="32"/>
          <w:szCs w:val="32"/>
        </w:rPr>
        <w:t>我部拟</w:t>
      </w:r>
      <w:r w:rsidRPr="00B46A35">
        <w:rPr>
          <w:rFonts w:ascii="仿宋_GB2312" w:eastAsia="仿宋_GB2312" w:hAnsi="宋体" w:cs="宋体" w:hint="eastAsia"/>
          <w:kern w:val="0"/>
          <w:sz w:val="32"/>
          <w:szCs w:val="32"/>
        </w:rPr>
        <w:t>根据《反垄断法》第四十八条、第四十九条和《暂行办法》第十三条规定，对</w:t>
      </w:r>
      <w:r w:rsidR="00612976" w:rsidRPr="00B46A35">
        <w:rPr>
          <w:rFonts w:ascii="仿宋_GB2312" w:eastAsia="仿宋_GB2312" w:hAnsi="宋体" w:cs="宋体" w:hint="eastAsia"/>
          <w:kern w:val="0"/>
          <w:sz w:val="32"/>
          <w:szCs w:val="32"/>
        </w:rPr>
        <w:t>天津海</w:t>
      </w:r>
      <w:proofErr w:type="gramStart"/>
      <w:r w:rsidR="00612976" w:rsidRPr="00B46A35">
        <w:rPr>
          <w:rFonts w:ascii="仿宋_GB2312" w:eastAsia="仿宋_GB2312" w:hAnsi="宋体" w:cs="宋体" w:hint="eastAsia"/>
          <w:kern w:val="0"/>
          <w:sz w:val="32"/>
          <w:szCs w:val="32"/>
        </w:rPr>
        <w:t>光和超威半导体</w:t>
      </w:r>
      <w:proofErr w:type="gramEnd"/>
      <w:r w:rsidRPr="00B46A35">
        <w:rPr>
          <w:rFonts w:ascii="仿宋_GB2312" w:eastAsia="仿宋_GB2312" w:hAnsi="宋体" w:cs="宋体" w:hint="eastAsia"/>
          <w:kern w:val="0"/>
          <w:sz w:val="32"/>
          <w:szCs w:val="32"/>
        </w:rPr>
        <w:t>各处以</w:t>
      </w:r>
      <w:r w:rsidR="00FE6ADE" w:rsidRPr="00B46A35">
        <w:rPr>
          <w:rFonts w:ascii="仿宋_GB2312" w:eastAsia="仿宋_GB2312" w:hAnsi="宋体" w:cs="宋体" w:hint="eastAsia"/>
          <w:kern w:val="0"/>
          <w:sz w:val="32"/>
          <w:szCs w:val="32"/>
        </w:rPr>
        <w:t>15</w:t>
      </w:r>
      <w:r w:rsidRPr="00B46A35">
        <w:rPr>
          <w:rFonts w:ascii="仿宋_GB2312" w:eastAsia="仿宋_GB2312" w:hAnsi="宋体" w:cs="宋体" w:hint="eastAsia"/>
          <w:kern w:val="0"/>
          <w:sz w:val="32"/>
          <w:szCs w:val="32"/>
        </w:rPr>
        <w:t>万元人民币罚款的行政处罚。</w:t>
      </w:r>
    </w:p>
    <w:p w:rsidR="00593A36" w:rsidRPr="00B46A35" w:rsidRDefault="00593A36" w:rsidP="00DF364A">
      <w:pPr>
        <w:widowControl/>
        <w:textAlignment w:val="baseline"/>
        <w:rPr>
          <w:rFonts w:ascii="仿宋_GB2312" w:eastAsia="仿宋_GB2312" w:hAnsi="simsun" w:cs="宋体" w:hint="eastAsia"/>
          <w:kern w:val="0"/>
          <w:sz w:val="32"/>
          <w:szCs w:val="32"/>
        </w:rPr>
      </w:pPr>
      <w:r w:rsidRPr="00B46A35">
        <w:rPr>
          <w:rFonts w:ascii="仿宋_GB2312" w:eastAsia="仿宋_GB2312" w:hAnsi="宋体" w:cs="宋体" w:hint="eastAsia"/>
          <w:kern w:val="0"/>
          <w:sz w:val="32"/>
          <w:szCs w:val="32"/>
        </w:rPr>
        <w:t xml:space="preserve">　　</w:t>
      </w:r>
      <w:r w:rsidR="00612976" w:rsidRPr="00B46A35">
        <w:rPr>
          <w:rFonts w:ascii="仿宋_GB2312" w:eastAsia="仿宋_GB2312" w:hAnsi="宋体" w:cs="宋体" w:hint="eastAsia"/>
          <w:kern w:val="0"/>
          <w:sz w:val="32"/>
          <w:szCs w:val="32"/>
        </w:rPr>
        <w:t>天津海</w:t>
      </w:r>
      <w:proofErr w:type="gramStart"/>
      <w:r w:rsidR="00612976" w:rsidRPr="00B46A35">
        <w:rPr>
          <w:rFonts w:ascii="仿宋_GB2312" w:eastAsia="仿宋_GB2312" w:hAnsi="宋体" w:cs="宋体" w:hint="eastAsia"/>
          <w:kern w:val="0"/>
          <w:sz w:val="32"/>
          <w:szCs w:val="32"/>
        </w:rPr>
        <w:t>光和超威半导体</w:t>
      </w:r>
      <w:proofErr w:type="gramEnd"/>
      <w:r w:rsidRPr="00B46A35">
        <w:rPr>
          <w:rFonts w:ascii="仿宋_GB2312" w:eastAsia="仿宋_GB2312" w:hAnsi="宋体" w:cs="宋体" w:hint="eastAsia"/>
          <w:kern w:val="0"/>
          <w:sz w:val="32"/>
          <w:szCs w:val="32"/>
        </w:rPr>
        <w:t>应当自收到本行政处罚决定书之日起15日内，按照我部在非税收入收缴管理系统中发送的缴</w:t>
      </w:r>
      <w:r w:rsidRPr="00B46A35">
        <w:rPr>
          <w:rFonts w:ascii="仿宋_GB2312" w:eastAsia="仿宋_GB2312" w:hAnsi="宋体" w:cs="宋体" w:hint="eastAsia"/>
          <w:kern w:val="0"/>
          <w:sz w:val="32"/>
          <w:szCs w:val="32"/>
        </w:rPr>
        <w:lastRenderedPageBreak/>
        <w:t>款通知要求，凭电子缴款码到代理银行办理缴款。若逾期不履行本行政处罚决定，我部将根据《行政处罚法》第五十一条的规定采取相应法律措施。</w:t>
      </w:r>
    </w:p>
    <w:p w:rsidR="00593A36" w:rsidRPr="00B46A35" w:rsidRDefault="00593A36" w:rsidP="00B46A35">
      <w:pPr>
        <w:widowControl/>
        <w:ind w:firstLineChars="200" w:firstLine="640"/>
        <w:textAlignment w:val="baseline"/>
        <w:rPr>
          <w:rFonts w:ascii="仿宋_GB2312" w:eastAsia="仿宋_GB2312" w:hAnsi="宋体" w:cs="宋体"/>
          <w:kern w:val="0"/>
          <w:sz w:val="32"/>
          <w:szCs w:val="32"/>
        </w:rPr>
      </w:pPr>
      <w:r w:rsidRPr="00B46A35">
        <w:rPr>
          <w:rFonts w:ascii="仿宋_GB2312" w:eastAsia="仿宋_GB2312" w:hAnsi="宋体" w:cs="宋体" w:hint="eastAsia"/>
          <w:kern w:val="0"/>
          <w:sz w:val="32"/>
          <w:szCs w:val="32"/>
        </w:rPr>
        <w:t>如不服本处罚决定，可以自收到本行政处罚决定书之日起60日内，向我部申请行政复议；也可以自收到本行政处罚决定书之日起6个月内，向北京市第二中级人民法院提起行政诉讼。</w:t>
      </w:r>
    </w:p>
    <w:p w:rsidR="000F249E" w:rsidRPr="00B46A35" w:rsidRDefault="000F249E" w:rsidP="00B46A35">
      <w:pPr>
        <w:widowControl/>
        <w:ind w:firstLineChars="200" w:firstLine="640"/>
        <w:textAlignment w:val="baseline"/>
        <w:rPr>
          <w:rFonts w:ascii="仿宋_GB2312" w:eastAsia="仿宋_GB2312" w:hAnsi="simsun" w:cs="宋体" w:hint="eastAsia"/>
          <w:kern w:val="0"/>
          <w:sz w:val="32"/>
          <w:szCs w:val="32"/>
        </w:rPr>
      </w:pPr>
    </w:p>
    <w:p w:rsidR="000F249E" w:rsidRPr="00B46A35" w:rsidRDefault="000F249E" w:rsidP="00B46A35">
      <w:pPr>
        <w:widowControl/>
        <w:ind w:firstLineChars="200" w:firstLine="640"/>
        <w:textAlignment w:val="baseline"/>
        <w:rPr>
          <w:rFonts w:ascii="仿宋_GB2312" w:eastAsia="仿宋_GB2312" w:hAnsi="simsun" w:cs="宋体" w:hint="eastAsia"/>
          <w:kern w:val="0"/>
          <w:sz w:val="32"/>
          <w:szCs w:val="32"/>
        </w:rPr>
      </w:pPr>
    </w:p>
    <w:p w:rsidR="00593A36" w:rsidRPr="00B46A35" w:rsidRDefault="00593A36" w:rsidP="00BC19D1">
      <w:pPr>
        <w:widowControl/>
        <w:textAlignment w:val="baseline"/>
        <w:rPr>
          <w:rFonts w:ascii="仿宋_GB2312" w:eastAsia="仿宋_GB2312" w:hAnsi="simsun" w:cs="宋体" w:hint="eastAsia"/>
          <w:kern w:val="0"/>
          <w:sz w:val="32"/>
          <w:szCs w:val="32"/>
        </w:rPr>
      </w:pPr>
      <w:r w:rsidRPr="00B46A35">
        <w:rPr>
          <w:rFonts w:ascii="仿宋_GB2312" w:eastAsia="仿宋_GB2312" w:hAnsi="宋体" w:cs="宋体" w:hint="eastAsia"/>
          <w:kern w:val="0"/>
          <w:sz w:val="32"/>
          <w:szCs w:val="32"/>
        </w:rPr>
        <w:t>                                         </w:t>
      </w:r>
      <w:r w:rsidRPr="00B46A35">
        <w:rPr>
          <w:rFonts w:ascii="仿宋_GB2312" w:eastAsia="仿宋_GB2312" w:hAnsi="宋体" w:cs="宋体" w:hint="eastAsia"/>
          <w:kern w:val="0"/>
          <w:sz w:val="32"/>
          <w:szCs w:val="32"/>
        </w:rPr>
        <w:t>商务部</w:t>
      </w:r>
    </w:p>
    <w:p w:rsidR="00593A36" w:rsidRPr="00B46A35" w:rsidRDefault="00593A36" w:rsidP="00B46A35">
      <w:pPr>
        <w:widowControl/>
        <w:ind w:right="26" w:firstLineChars="1800" w:firstLine="5760"/>
        <w:textAlignment w:val="baseline"/>
        <w:rPr>
          <w:sz w:val="32"/>
          <w:szCs w:val="32"/>
        </w:rPr>
      </w:pPr>
      <w:r w:rsidRPr="00B46A35">
        <w:rPr>
          <w:rFonts w:ascii="仿宋_GB2312" w:eastAsia="仿宋_GB2312" w:hAnsi="宋体" w:cs="宋体" w:hint="eastAsia"/>
          <w:kern w:val="0"/>
          <w:sz w:val="32"/>
          <w:szCs w:val="32"/>
        </w:rPr>
        <w:t>2018年4月</w:t>
      </w:r>
      <w:r w:rsidR="00612976" w:rsidRPr="00B46A35">
        <w:rPr>
          <w:rFonts w:ascii="仿宋_GB2312" w:eastAsia="仿宋_GB2312" w:hAnsi="宋体" w:cs="宋体" w:hint="eastAsia"/>
          <w:kern w:val="0"/>
          <w:sz w:val="32"/>
          <w:szCs w:val="32"/>
        </w:rPr>
        <w:t>26</w:t>
      </w:r>
      <w:r w:rsidRPr="00B46A35">
        <w:rPr>
          <w:rFonts w:ascii="仿宋_GB2312" w:eastAsia="仿宋_GB2312" w:hAnsi="宋体" w:cs="宋体" w:hint="eastAsia"/>
          <w:kern w:val="0"/>
          <w:sz w:val="32"/>
          <w:szCs w:val="32"/>
        </w:rPr>
        <w:t>日</w:t>
      </w:r>
    </w:p>
    <w:sectPr w:rsidR="00593A36" w:rsidRPr="00B46A35" w:rsidSect="000F249E">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36"/>
    <w:rsid w:val="000F249E"/>
    <w:rsid w:val="00593A36"/>
    <w:rsid w:val="00612976"/>
    <w:rsid w:val="007F126D"/>
    <w:rsid w:val="00A81EE3"/>
    <w:rsid w:val="00B46A35"/>
    <w:rsid w:val="00BC19D1"/>
    <w:rsid w:val="00DF364A"/>
    <w:rsid w:val="00E956C2"/>
    <w:rsid w:val="00F461BD"/>
    <w:rsid w:val="00FE6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3A36"/>
    <w:rPr>
      <w:b/>
      <w:bCs/>
    </w:rPr>
  </w:style>
  <w:style w:type="paragraph" w:styleId="a4">
    <w:name w:val="Balloon Text"/>
    <w:basedOn w:val="a"/>
    <w:link w:val="Char"/>
    <w:uiPriority w:val="99"/>
    <w:semiHidden/>
    <w:unhideWhenUsed/>
    <w:rsid w:val="000F249E"/>
    <w:rPr>
      <w:sz w:val="18"/>
      <w:szCs w:val="18"/>
    </w:rPr>
  </w:style>
  <w:style w:type="character" w:customStyle="1" w:styleId="Char">
    <w:name w:val="批注框文本 Char"/>
    <w:basedOn w:val="a0"/>
    <w:link w:val="a4"/>
    <w:uiPriority w:val="99"/>
    <w:semiHidden/>
    <w:rsid w:val="000F24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3A36"/>
    <w:rPr>
      <w:b/>
      <w:bCs/>
    </w:rPr>
  </w:style>
  <w:style w:type="paragraph" w:styleId="a4">
    <w:name w:val="Balloon Text"/>
    <w:basedOn w:val="a"/>
    <w:link w:val="Char"/>
    <w:uiPriority w:val="99"/>
    <w:semiHidden/>
    <w:unhideWhenUsed/>
    <w:rsid w:val="000F249E"/>
    <w:rPr>
      <w:sz w:val="18"/>
      <w:szCs w:val="18"/>
    </w:rPr>
  </w:style>
  <w:style w:type="character" w:customStyle="1" w:styleId="Char">
    <w:name w:val="批注框文本 Char"/>
    <w:basedOn w:val="a0"/>
    <w:link w:val="a4"/>
    <w:uiPriority w:val="99"/>
    <w:semiHidden/>
    <w:rsid w:val="000F24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4916">
      <w:bodyDiv w:val="1"/>
      <w:marLeft w:val="0"/>
      <w:marRight w:val="0"/>
      <w:marTop w:val="0"/>
      <w:marBottom w:val="0"/>
      <w:divBdr>
        <w:top w:val="none" w:sz="0" w:space="0" w:color="auto"/>
        <w:left w:val="none" w:sz="0" w:space="0" w:color="auto"/>
        <w:bottom w:val="none" w:sz="0" w:space="0" w:color="auto"/>
        <w:right w:val="none" w:sz="0" w:space="0" w:color="auto"/>
      </w:divBdr>
      <w:divsChild>
        <w:div w:id="496386015">
          <w:marLeft w:val="0"/>
          <w:marRight w:val="0"/>
          <w:marTop w:val="0"/>
          <w:marBottom w:val="0"/>
          <w:divBdr>
            <w:top w:val="none" w:sz="0" w:space="0" w:color="auto"/>
            <w:left w:val="none" w:sz="0" w:space="0" w:color="auto"/>
            <w:bottom w:val="none" w:sz="0" w:space="0" w:color="auto"/>
            <w:right w:val="none" w:sz="0" w:space="0" w:color="auto"/>
          </w:divBdr>
          <w:divsChild>
            <w:div w:id="159271291">
              <w:marLeft w:val="0"/>
              <w:marRight w:val="0"/>
              <w:marTop w:val="150"/>
              <w:marBottom w:val="0"/>
              <w:divBdr>
                <w:top w:val="none" w:sz="0" w:space="0" w:color="auto"/>
                <w:left w:val="none" w:sz="0" w:space="0" w:color="auto"/>
                <w:bottom w:val="none" w:sz="0" w:space="0" w:color="auto"/>
                <w:right w:val="none" w:sz="0" w:space="0" w:color="auto"/>
              </w:divBdr>
              <w:divsChild>
                <w:div w:id="1524241500">
                  <w:marLeft w:val="0"/>
                  <w:marRight w:val="0"/>
                  <w:marTop w:val="0"/>
                  <w:marBottom w:val="0"/>
                  <w:divBdr>
                    <w:top w:val="none" w:sz="0" w:space="0" w:color="auto"/>
                    <w:left w:val="none" w:sz="0" w:space="0" w:color="auto"/>
                    <w:bottom w:val="none" w:sz="0" w:space="0" w:color="auto"/>
                    <w:right w:val="none" w:sz="0" w:space="0" w:color="auto"/>
                  </w:divBdr>
                  <w:divsChild>
                    <w:div w:id="1994063914">
                      <w:marLeft w:val="0"/>
                      <w:marRight w:val="0"/>
                      <w:marTop w:val="0"/>
                      <w:marBottom w:val="0"/>
                      <w:divBdr>
                        <w:top w:val="none" w:sz="0" w:space="0" w:color="auto"/>
                        <w:left w:val="none" w:sz="0" w:space="0" w:color="auto"/>
                        <w:bottom w:val="none" w:sz="0" w:space="0" w:color="auto"/>
                        <w:right w:val="none" w:sz="0" w:space="0" w:color="auto"/>
                      </w:divBdr>
                      <w:divsChild>
                        <w:div w:id="7348206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le.mofcom.gov.cn/article/gkml/200804/20080497111876.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268</Words>
  <Characters>1529</Characters>
  <Application>Microsoft Office Word</Application>
  <DocSecurity>0</DocSecurity>
  <Lines>12</Lines>
  <Paragraphs>3</Paragraphs>
  <ScaleCrop>false</ScaleCrop>
  <Company>Lenovo (Beijing) Limited</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dc:creator>
  <cp:keywords/>
  <dc:description/>
  <cp:lastModifiedBy>MOF</cp:lastModifiedBy>
  <cp:revision>6</cp:revision>
  <cp:lastPrinted>2018-08-03T05:49:00Z</cp:lastPrinted>
  <dcterms:created xsi:type="dcterms:W3CDTF">2018-08-02T07:49:00Z</dcterms:created>
  <dcterms:modified xsi:type="dcterms:W3CDTF">2018-08-03T05:54:00Z</dcterms:modified>
</cp:coreProperties>
</file>