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止的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项地方标准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制修订计划项目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660"/>
        <w:gridCol w:w="4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人造石试验方法 第7部分 色度与色差的测定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国家石材产品质量监督检验中心（广东）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化妆品中间苯三酚、地乐酚、4-硝基愈创木酚和酚酞的测定  液相色谱法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广州质量监督检测研究院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牙膏中氨甲环酸含量的测定 高效液相色谱法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国家化妆品质量监督检验中心（广州）、广州质量监督检测研究院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养猪设备 生长性能测定喂料机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广东省现代农业装备研究所、广东广兴牧业机械设备有限公司、广东省标准化研究院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肠内营养泵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广东省医疗器械质量监督检验所、深圳市深科医疗器械技术开发有限公司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一次性使用无菌末梢采血针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广东省医疗器械质量监督检验所、东莞御治医疗器械有限公司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汽车电子标识应用平台总体技术要求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广东中科臻恒信息技术有限公司、广州市标准化研究院、海华电子企业（中国）有限公司、广州地理研究所、广州市交通信息指挥中心、广东中科畅行恒达信息技术有限公司、广州市鹏龙计算机科技有限公司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柔性防水层厚度现场无损测量 超声波法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广东成松科技发展有限公司、广东省建材产品质量检验中心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地理信息公共服务平台电子地图数据规范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广东省国土资源技术中心、广东省地图院，广东省国土资源测绘院，武大吉奥信息技术有限公司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水体中氯霉素的快速筛查检测  胶体金免疫层析法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水体中孔雀石绿的快速筛查检测 胶体金免疫层析法  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慈善组织管理规范</w:t>
            </w:r>
          </w:p>
        </w:tc>
        <w:tc>
          <w:tcPr>
            <w:tcW w:w="4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广东省元和社会组织服务中心、广东省华商经济发展研究院、广东省慈善总会、广东省元通企业投资管理促进中心</w:t>
            </w:r>
          </w:p>
        </w:tc>
      </w:tr>
    </w:tbl>
    <w:p>
      <w:pPr>
        <w:spacing w:after="592" w:afterLines="100"/>
        <w:rPr>
          <w:rFonts w:hint="eastAsia" w:eastAsia="黑体" w:cs="黑体"/>
          <w:color w:val="000000"/>
        </w:rPr>
      </w:pPr>
    </w:p>
    <w:p/>
    <w:p/>
    <w:sectPr>
      <w:footerReference r:id="rId3" w:type="default"/>
      <w:pgSz w:w="11907" w:h="16840"/>
      <w:pgMar w:top="2098" w:right="1474" w:bottom="1701" w:left="1588" w:header="851" w:footer="1191" w:gutter="0"/>
      <w:pgNumType w:fmt="decimal"/>
      <w:cols w:space="720" w:num="1"/>
      <w:docGrid w:type="linesAndChars" w:linePitch="59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74" w:rightChars="117" w:firstLine="217" w:firstLineChars="12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00" w:lineRule="exact"/>
                            <w:ind w:right="374" w:rightChars="117" w:firstLine="338" w:firstLineChars="121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300" w:lineRule="exact"/>
                      <w:ind w:right="374" w:rightChars="117" w:firstLine="338" w:firstLineChars="121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1C1B"/>
    <w:rsid w:val="4A6E1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2020-09-15T08:02:00Z</dcterms:created>
  <dc:creator>刘晓丽</dc:creator>
  <cp:lastModifiedBy>刘晓丽</cp:lastModifiedBy>
  <dcterms:modified xsi:type="dcterms:W3CDTF">2020-09-15T08:03:16Z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