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560" w:lineRule="exact"/>
        <w:ind w:left="0" w:leftChars="0" w:right="0"/>
        <w:jc w:val="left"/>
        <w:outlineLvl w:val="9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附件1</w:t>
      </w:r>
    </w:p>
    <w:p>
      <w:pPr>
        <w:widowControl w:val="0"/>
        <w:wordWrap/>
        <w:adjustRightInd/>
        <w:snapToGrid/>
        <w:spacing w:line="680" w:lineRule="exact"/>
        <w:ind w:left="0" w:leftChars="0" w:right="0" w:firstLine="0" w:firstLineChars="0"/>
        <w:jc w:val="center"/>
        <w:textAlignment w:val="top"/>
        <w:outlineLvl w:val="9"/>
        <w:rPr>
          <w:rFonts w:ascii="Verdana"/>
          <w:sz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本次检验项目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一、羊肉及副产品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抽检依据是农业部公告第235号《动物性食品中兽药最高残留限量》、《畜禽肉水分</w:t>
      </w:r>
      <w:bookmarkStart w:id="0" w:name="_GoBack"/>
      <w:bookmarkEnd w:id="0"/>
      <w:r>
        <w:rPr>
          <w:rFonts w:ascii="仿宋" w:hAnsi="仿宋" w:eastAsia="仿宋" w:cs="仿宋"/>
          <w:sz w:val="32"/>
          <w:szCs w:val="32"/>
          <w:lang w:val="en-US" w:eastAsia="zh-CN" w:bidi="ar-SA"/>
        </w:rPr>
        <w:t>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18394-2001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、农业部公告第2292号《发布在食品动物中停止使用洛美沙星、培氟沙星、氧氟沙星、诺氟沙星4种兽药的决定》、整顿办函[2010]50号《食品中可能违法添加的非食用物质和易滥用的食品添加剂名单(第四批)》、整顿办函[2011]1号《食品中可能违法添加的非食用物质和易滥用的食品添加剂品种名单(第五批)》、《食品安全国家标准 食品中污染物限量》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2762-2017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、农业部公告第560号《兽药地方标准废止目录》等标准及产品明示标准和指标的要求。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羊肉抽检项目包括克伦特罗、呋喃唑酮代谢物、呋喃妥因代谢物、呋喃它酮代谢物、呋喃西林代谢物、土霉素、培氟沙星、总汞(以Hg计)、总砷(以As计)、恩诺沙星(以恩诺沙星与环丙沙星之和计)、氟甲喹、氟苯尼考、氧氟沙星、氯霉素、水分、沙丁胺醇、洛美沙星、特布他林、磺胺类(总量)、莱克多巴胺、诺氟沙星、达氟沙星、金霉素、铅(以Pb计)、铬(以Cr计)、镉(以Cd计)等2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6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二、牛肉及副产品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依据是农业部公告第2292号《发布在食品动物中停止使用洛美沙星、培氟沙星、氧氟沙星、诺氟沙星4种兽药的决定》、农业部公告第235号《动物性食品中兽药最高残留限量》、整顿办函[2010]50号《食品中可能违法添加的非食用物质和易滥用的食品添加剂名单(第四批)》、《畜禽肉水分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18394-2001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、《食品安全国家标准 食品中污染物限量》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2762-2017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、农业部公告第560号《兽药地方标准废止目录》等标准及产品明示标准和指标的要求。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牛肉抽检项目包括克伦特罗、呋喃唑酮代谢物、呋喃妥因代谢物、呋喃它酮代谢物、呋喃西林代谢物、土霉素、地塞米松、培氟沙星、多西环素(强力霉素)、总汞(以Hg计)、总砷(以As计)、恩诺沙星(以恩诺沙星与环丙沙星之和计)、林可霉素、氟苯尼考、氧氟沙星、氯霉素、水分、沙丁胺醇、洛美沙星、牛源性成分、特布他林、猪源性成分、磺胺类(总量)、莱克多巴胺、诺氟沙星、达氟沙星、铅(以Pb计)、铬(以Cr计)、镉(以Cd计)等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29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三、水果制品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抽检依据是《食品安全国家标准 食品中污染物限量》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2762-2017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、《食品安全国家标准 食品添加剂使用标准》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2760-2014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）、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《食品安全国家标准 食品中致病菌限量》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29921-2013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《食品安全国家标准 食品中真菌毒素限量》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2761-2017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）、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 xml:space="preserve">《食品安全国家标准 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食品中农药最大残留限量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763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-201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6）、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 xml:space="preserve">《食品安全国家标准 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果冻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 xml:space="preserve">GB 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19299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-201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5）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等标准及产品明示标准和指标的要求。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1. 水果干制品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抽检项目包括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铅（以Pb计）、山梨酸及其钾盐（以山梨酸计）、脱氢乙酸及其钠盐（以脱氢乙酸计）、防腐剂混合使用时各自用量占其最大使用量的比例之和、糖精钠（以糖精计）、二氧化硫残留量、菌落总数、大肠菌群、霉菌、沙门氏菌、金黄色葡萄球菌等11个指标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2. 果冻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抽检项目包括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铅（以Pb计）、山梨酸及其钾盐（以山梨酸计）、苯甲酸及其钠盐（以苯甲酸计）、糖精钠（以糖精计）、甜蜜素（以环己基氨基磺酸计）、菌落总数、大肠菌群、霉菌、酵母等9个指标。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四、水产品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抽检依据是《食品安全国家标准 食品中污染物限量》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2762-2017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、农业部公告第2292号《发布在食品动物中停止使用洛美沙星、培氟沙星、氧氟沙星、诺氟沙星4种兽药的决定》、农业部公告第235号《动物性食品中兽药最高残留限量》、农业部公告第560号《兽药地方标准废止目录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、《食品安全国家标准 鲜、冻动物性水产品》（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2733-2015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等标准及产品明示标准和指标的要求。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1. 海水鱼抽检项目包括五氯酚酸钠(以五氯酚计)、呋喃唑酮代谢物、呋喃妥因代谢物、呋喃它酮代谢物、呋喃西林代谢物、土霉素、培氟沙星、孔雀石绿、己烯雌酚、恩诺沙星(以恩诺沙星与环丙沙星之和计)、氟苯尼考、氧氟沙星、氯霉素、洛美沙星、组胺、诺氟沙星、铅(以Pb计)、铬(以Cr计)、镉(以Cd计)等19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2. 海水蟹抽检项目包括呋喃唑酮代谢物、呋喃妥因代谢物、呋喃它酮代谢物、呋喃西林代谢物、土霉素、孔雀石绿、恩诺沙星(以恩诺沙星与环丙沙星之和计)、氯霉素、铅(以Pb计)、铬(以Cr计)、镉(以Cd计)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、五氯酚酸钠(以五氯酚计)、培氟沙星、氟苯尼考、氧氟沙星、洛美沙星、诺氟沙星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等1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7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3. 淡水鱼抽检项目包括五氯酚酸钠(以五氯酚计)、呋喃唑酮代谢物、呋喃妥因代谢物、呋喃它酮代谢物、呋喃西林代谢物、土霉素、地西泮、培氟沙星、孔雀石绿、己烯雌酚、恩诺沙星(以恩诺沙星与环丙沙星之和计)、氟苯尼考、氧氟沙星、氯霉素、洛美沙星、诺氟沙星、铅(以Pb计)、铬(以Cr计)、镉(以Cd计)等19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4. 淡水虾抽检项目包括五氯酚酸钠(以五氯酚计)、呋喃唑酮代谢物、呋喃妥因代谢物、呋喃它酮代谢物、呋喃西林代谢物、四环素、土霉素、培氟沙星、孔雀石绿、己烯雌酚、恩诺沙星(以恩诺沙星与环丙沙星之和计)、氟苯尼考、氧氟沙星、氯霉素、洛美沙星、诺氟沙星、金霉素、铅(以Pb计)、铬(以Cr计)、镉(以Cd计)等20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5. 海水虾抽检项目包括五氯酚酸钠(以五氯酚计)、呋喃唑酮代谢物、呋喃妥因代谢物、呋喃它酮代谢物、呋喃西林代谢物、四环素、土霉素、培氟沙星、孔雀石绿、己烯雌酚、恩诺沙星(以恩诺沙星与环丙沙星之和计)、氟苯尼考、氧氟沙星、氯霉素、洛美沙星、诺氟沙星、金霉素、铅(以Pb计)、铬(以Cr计)、镉(以Cd计)、雌二醇等21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五、水果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抽检依据是《食品安全国家标准 食品中农药最大残留限量》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2763-2016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等标准及产品明示标准和指标的要求。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1. 柑、橘(柑橘类水果)抽检项目包括三唑磷、丙溴磷、克百威、氧乐果、联苯菊酯、苯醚甲环唑等6个指标。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2. 梨(仁果类水果)抽检项目包括乐果、氯氰菊酯和高效氯氰菊酯、氰戊菊酯和S-氰戊菊酯、溴氰菊酯等4个指标。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3. 苹果(仁果类水果)抽检项目包括克百威、吡虫啉、多菌灵、敌敌畏、氟虫腈、氧乐果、氯氰菊酯和高效氯氰菊酯、氰戊菊酯和S-氰戊菊酯、苯醚甲环唑等9个指标。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4. 橙(柑橘类水果)抽检项目包括三唑磷、丙溴磷、克百威等3个指标。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5. 香蕉(热带和亚热带水果)抽检项目包括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吡唑醚菌酯、氰戊菊酯和S-氰戊菊酯、溴氰菊酯、百菌清、肟菌酯、腈苯唑、苯醚甲环唑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7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6. 猕猴桃(浆果和其他小型水果)抽检项目包括对硫磷、氯唑磷、水胺硫磷、甲基异柳磷、甲拌磷等5个指标。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六、蔬菜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抽检依据是《国家食品药品监督管理总局 农业部 国家卫生和计划生育委员会关于豆芽生产过程中禁止使用6-苄基腺嘌呤等物质的公告》（2015年第11号）、《食品安全国家标准 食品中农药最大残留限量》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2763-2016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、《豆芽卫生标准》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22556-2008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等标准及产品明示标准和指标的要求。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1. 芹菜(叶菜类蔬菜)抽检项目包括克百威、毒死蜱、氟虫腈、氧乐果、氯氟氰菊酯和高效氯氟氰菊酯、氯氰菊酯和高效氯氰菊酯、水胺硫磷、灭多威、灭线磷、甲拌磷、百菌清等11个指标。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2. 普通白菜(叶菜类蔬菜)抽检项目包括啶虫脒、毒死蜱、氟虫腈、氧乐果等4个指标。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3. 菜豆(豆类蔬菜)抽检项目包括克百威、氟虫腈、氧乐果、氯氰菊酯和高效氯氰菊酯、水胺硫磷、灭蝇胺、甲拌磷等7个指标。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4. 油麦菜(叶菜类蔬菜)抽检项目包括久效磷、对硫磷、氧乐果、水胺硫磷、灭线磷、甲基对硫磷、甲拌磷、甲胺磷等8个指标。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5. 韭菜(鳞茎类蔬菜)抽检项目包括乐果、对硫磷、毒死蜱、氧乐果、氯氟氰菊酯和高效氯氟氰菊酯、水胺硫磷、甲拌磷、腐霉利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、克百威、氟虫腈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10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6. 大白菜(叶菜类蔬菜)抽检项目包括久效磷、敌敌畏、杀螟硫磷、毒死蜱、氧乐果、水胺硫磷、灭线磷、甲拌磷等8个指标。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7. 豆芽抽检项目包括4-氯苯氧乙酸钠(以4-氯苯氧乙酸计)、6-苄基腺嘌呤(6-BA)、亚硫酸盐(以SO</w:t>
      </w:r>
      <w:r>
        <w:rPr>
          <w:rFonts w:hint="eastAsia" w:ascii="仿宋" w:hAnsi="仿宋" w:eastAsia="仿宋" w:cs="仿宋"/>
          <w:sz w:val="32"/>
          <w:szCs w:val="32"/>
          <w:vertAlign w:val="subscript"/>
          <w:lang w:val="en-US" w:eastAsia="zh-CN" w:bidi="ar-SA"/>
        </w:rPr>
        <w:t>2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计)等3个指标。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七、蜂产品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抽检依据是《食品安全国家标准 食品中污染物限量》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2762-2017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、《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蜂蜜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 xml:space="preserve">GB 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14963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-201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1）、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 xml:space="preserve">农业部公告第2292号《发布在食品动物中停止使用洛美沙星、培氟沙星、氧氟沙星、诺氟沙星4种兽药的决定》、农业部公告第235号《动物性食品中兽药最高残留限量》、《食品安全国家标准 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花粉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 xml:space="preserve">GB 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31636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-201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6）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等标准及产品明示标准和指标的要求。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检验项目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蜂蜜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抽检项目包括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铅（以Pb计）、果糖和葡萄糖、蔗糖、山梨酸及其钾盐（以山梨酸计）、菌落总数、大肠菌群、霉菌计数、嗜渗酵母计数、氯霉素、洛美沙星、培氟沙星、氧氟沙星、诺氟沙星等13个指标。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蜂花粉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抽检项目包括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铅（以Pb计）、蛋白质、水分、菌落总数、大肠菌群、霉菌等6个指标。</w:t>
      </w:r>
    </w:p>
    <w:p>
      <w:pPr>
        <w:widowControl w:val="0"/>
        <w:numPr>
          <w:ilvl w:val="0"/>
          <w:numId w:val="3"/>
        </w:numPr>
        <w:wordWrap/>
        <w:adjustRightInd/>
        <w:snapToGrid/>
        <w:spacing w:line="560" w:lineRule="exact"/>
        <w:ind w:left="0" w:leftChars="0" w:right="0" w:firstLine="643" w:firstLineChars="200"/>
        <w:outlineLvl w:val="9"/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 w:bidi="ar-SA"/>
        </w:rPr>
        <w:t>蜜饯果脯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（一）抽检依据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抽检依据是抽检依据是《食品安全国家标准 食品中污染物限量》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2762-2017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、《食品安全国家标准 食品添加剂使用标准》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2760-2014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）、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《食品安全国家标准 食品中致病菌限量》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29921-2013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《食品安全国家标准 食品中真菌毒素限量》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GB 2761-2017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）、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 xml:space="preserve">《食品安全国家标准 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蜜饯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》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（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 xml:space="preserve">GB 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14884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-201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6）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等标准及产品明示标准和指标的要求。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楷体" w:hAnsi="楷体" w:eastAsia="楷体" w:cs="楷体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 w:bidi="ar-SA"/>
        </w:rPr>
        <w:t>（二）检验项目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="0" w:leftChars="0" w:right="0" w:firstLine="640" w:firstLineChars="200"/>
        <w:outlineLvl w:val="9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蜜饯</w:t>
      </w:r>
      <w:r>
        <w:rPr>
          <w:rFonts w:ascii="仿宋" w:hAnsi="仿宋" w:eastAsia="仿宋" w:cs="仿宋"/>
          <w:sz w:val="32"/>
          <w:szCs w:val="32"/>
          <w:lang w:val="en-US" w:eastAsia="zh-CN" w:bidi="ar-SA"/>
        </w:rPr>
        <w:t>抽检项目包括</w:t>
      </w:r>
      <w:r>
        <w:rPr>
          <w:rFonts w:hint="eastAsia" w:ascii="仿宋" w:hAnsi="仿宋" w:eastAsia="仿宋" w:cs="仿宋"/>
          <w:sz w:val="32"/>
          <w:szCs w:val="32"/>
          <w:lang w:val="en-US" w:eastAsia="zh-CN" w:bidi="ar-SA"/>
        </w:rPr>
        <w:t>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合成着色剂（亮蓝、柠檬黄、日落黄、苋菜红、胭脂红）、相同色泽着色剂混合使用时各自用量占其最大使用量的比例之和、乙二胺四乙酸二钠、菌落总数、大肠菌群、霉菌、沙门氏菌、金黄色葡萄球菌等16个指标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="0" w:leftChars="0" w:right="0"/>
        <w:outlineLvl w:val="9"/>
        <w:rPr>
          <w:rFonts w:hint="eastAsia" w:ascii="Verdana" w:hAnsi="Times New Roman" w:eastAsia="宋体" w:cs="Times New Roman"/>
          <w:b/>
          <w:sz w:val="32"/>
          <w:szCs w:val="32"/>
          <w:lang w:val="en-US" w:eastAsia="zh-CN" w:bidi="ar-SA"/>
        </w:rPr>
      </w:pPr>
    </w:p>
    <w:sectPr>
      <w:headerReference r:id="rId4" w:type="default"/>
      <w:footerReference r:id="rId5" w:type="default"/>
      <w:pgSz w:w="11906" w:h="16838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  <w:r>
      <w:rPr>
        <w:rFonts w:ascii="Calibri" w:hAnsi="Calibri" w:eastAsia="宋体" w:cs="黑体"/>
        <w:sz w:val="18"/>
        <w:szCs w:val="22"/>
      </w:rPr>
      <w:pict>
        <v:shape id="文本框 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86242377">
    <w:nsid w:val="5E8C2349"/>
    <w:multiLevelType w:val="singleLevel"/>
    <w:tmpl w:val="5E8C2349"/>
    <w:lvl w:ilvl="0" w:tentative="1">
      <w:start w:val="1"/>
      <w:numFmt w:val="decimal"/>
      <w:suff w:val="space"/>
      <w:lvlText w:val="%1."/>
      <w:lvlJc w:val="left"/>
    </w:lvl>
  </w:abstractNum>
  <w:abstractNum w:abstractNumId="1586242335">
    <w:nsid w:val="5E8C231F"/>
    <w:multiLevelType w:val="singleLevel"/>
    <w:tmpl w:val="5E8C231F"/>
    <w:lvl w:ilvl="0" w:tentative="1">
      <w:start w:val="2"/>
      <w:numFmt w:val="chineseCounting"/>
      <w:suff w:val="nothing"/>
      <w:lvlText w:val="（%1）"/>
      <w:lvlJc w:val="left"/>
    </w:lvl>
  </w:abstractNum>
  <w:abstractNum w:abstractNumId="1586248063">
    <w:nsid w:val="5E8C397F"/>
    <w:multiLevelType w:val="singleLevel"/>
    <w:tmpl w:val="5E8C397F"/>
    <w:lvl w:ilvl="0" w:tentative="1">
      <w:start w:val="8"/>
      <w:numFmt w:val="chineseCounting"/>
      <w:suff w:val="nothing"/>
      <w:lvlText w:val="%1、"/>
      <w:lvlJc w:val="left"/>
    </w:lvl>
  </w:abstractNum>
  <w:num w:numId="1">
    <w:abstractNumId w:val="1586242335"/>
  </w:num>
  <w:num w:numId="2">
    <w:abstractNumId w:val="1586242377"/>
  </w:num>
  <w:num w:numId="3">
    <w:abstractNumId w:val="158624806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formatting="1" w:enforcement="1" w:cryptProviderType="rsaFull" w:cryptAlgorithmClass="hash" w:cryptAlgorithmType="typeAny" w:cryptAlgorithmSid="4" w:cryptSpinCount="0" w:hash="k5RLlCvHVfotQx/jkqk9Ui52+jg=" w:salt="Ru3+Ode67Czx76uCf1N5HA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00000"/>
    <w:rsid w:val="0ABE3DDB"/>
    <w:rsid w:val="18C57524"/>
    <w:rsid w:val="1FF134F1"/>
    <w:rsid w:val="35171DDF"/>
    <w:rsid w:val="35C833EF"/>
    <w:rsid w:val="40387EBB"/>
    <w:rsid w:val="44F13F76"/>
    <w:rsid w:val="4B225B17"/>
    <w:rsid w:val="52BE1CCD"/>
    <w:rsid w:val="54C605FA"/>
    <w:rsid w:val="593B5A21"/>
    <w:rsid w:val="65FB1F4F"/>
    <w:rsid w:val="67C809A2"/>
    <w:rsid w:val="6C3F62D9"/>
    <w:rsid w:val="6E9003AB"/>
    <w:rsid w:val="741B1EB8"/>
    <w:rsid w:val="7D3F61D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2020-04-07T06:18:00Z</dcterms:created>
  <dc:creator>Apache POI</dc:creator>
  <cp:lastModifiedBy>董廷俊</cp:lastModifiedBy>
  <dcterms:modified xsi:type="dcterms:W3CDTF">2020-04-09T07:22:47Z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