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小麦粉抽检项目包括铅、镉、黄曲霉毒素B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大米抽检项目包括铅、镉、黄曲霉毒素B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谷物碾磨加工品抽检项目包括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铅(以Pb计)、赭曲霉毒素A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二、食用油、油脂及其制品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食用植物油抽检项目包括酸价(KOH)、过氧化值、苯并[a]芘。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煎炸用油抽检项目包括酸价(KOH)、极性组分。</w:t>
      </w:r>
    </w:p>
    <w:p>
      <w:pPr>
        <w:numPr>
          <w:ilvl w:val="0"/>
          <w:numId w:val="0"/>
        </w:num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三、淀粉及淀粉制品</w:t>
      </w:r>
    </w:p>
    <w:p>
      <w:pPr>
        <w:numPr>
          <w:ilvl w:val="0"/>
          <w:numId w:val="5"/>
        </w:num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抽检依据是</w:t>
      </w:r>
      <w:r>
        <w:rPr>
          <w:rFonts w:hint="eastAsia" w:ascii="仿宋" w:hAnsi="仿宋" w:eastAsia="仿宋" w:cs="仿宋_GB2312"/>
          <w:sz w:val="32"/>
          <w:szCs w:val="32"/>
        </w:rPr>
        <w:t>GB/T 23587-2009《粉条》,GB 2760-2014《食品安全国家标准 食品添加剂使用标准》,《国家卫生计生委关于批准β-半乳糖苷酶为食品添加剂新品种等的公告（2015年第1号）》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5"/>
        </w:numPr>
        <w:ind w:firstLine="480" w:firstLineChars="1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bCs/>
          <w:sz w:val="32"/>
          <w:szCs w:val="32"/>
        </w:rPr>
        <w:t>铝的残留量(干样品，以Al计)、二氧化硫残留量(以SO₂计)。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四、食用农产品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抽检依据是GB 2763-2016《食品安全国家标准 食品中农药最大残留限量》，《食品中可能违法添加的非食用物质和易滥用的食品添加剂品种名单（第五批）》的通知（整顿办函【2011】1号）,农业部公告第235号《动物性食品中兽药最高残留限量》。</w:t>
      </w:r>
    </w:p>
    <w:p>
      <w:pPr>
        <w:numPr>
          <w:ilvl w:val="0"/>
          <w:numId w:val="6"/>
        </w:numPr>
        <w:ind w:firstLine="64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1、 叶菜类（白菜）抽检项目包括毒死蜱、氟虫腈、啶虫脒、克百威。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2、根茎类抽检项目包括敌百虫、氧乐果、六六六、滴滴涕。   </w:t>
      </w:r>
    </w:p>
    <w:p>
      <w:pPr>
        <w:numPr>
          <w:ilvl w:val="0"/>
          <w:numId w:val="0"/>
        </w:numPr>
        <w:ind w:firstLine="480" w:firstLineChars="1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3、橙类抽检项目包括丙溴磷、毒死蜱、水胺硫磷、联苯菊酯、氧乐果、克百威。  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4、柑橘类抽检项目包括丙溴磷、毒死蜱、三唑磷、联苯菊酯、氧乐果、克百威。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5、芸薹类抽检项目包括阿维菌素、氧乐果、毒死蜱、对硫磷。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6、甜瓜类抽检项目包括吡唑醚菌酯、烯酰吗啉、甲胺磷、氧乐果、克百威、醚菌酯。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7、叶菜类（芹菜）抽检项目包括毒死蜱、克百威、甲拌磷、氟虫腈、氧乐果。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8、叶菜类（菠菜）抽检项目包括毒死蜱、氧乐果、阿维菌素。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9、鳞茎类蔬菜（韭菜）抽检项目包括毒死蜱、氧乐果、克百威、甲拌磷、腐霉利。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10、其他水果（桃类）抽检项目包括多菌灵、甲胺磷、氧乐果、克百威、乐果、甲基对硫磷。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11、其他水果（荔枝）抽检项目包括多菌灵、毒死蜱、甲胺磷、甲基对硫磷、氧乐果、克百威。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12、其他水果（苹果）抽检项目包括多菌灵、毒死蜱、甲胺磷、联苯菊酯、氧乐果、克百威。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13、其他水果（梨）抽检项目包括多菌灵、毒死蜱、氧乐果、克百威、甲胺磷、联苯菊酯。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14、其他水果（葡萄）抽检项目包括多菌灵、甲基对硫磷、甲胺磷、杀扑磷、氧乐果、克百威。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15、水产（淡水鱼）抽检项目包括恩诺沙星、环丙沙星、呋喃唑酮代谢物(AOZ)、孔雀石绿、隐色孔雀石绿、氧氟沙星、氯霉素。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16、水产（淡水虾）抽检项目包括呋喃唑酮代谢物、呋喃西林代谢物、氟苯尼考、氯霉素。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17、鸡蛋抽检项目包括氟苯尼考、恩诺沙星、环丙沙星、氧氟沙星。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18、叶菜类（油麦菜）抽检项目包括氟虫腈、氧乐果、克百威。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19、瓜果类抽检项目包括甲胺磷、氧乐果、克百威、对硫磷。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20、其他水果（山竹、火龙果）抽检项目包括甲胺磷、氧乐果、克百威、辛硫磷、氟虫腈、甲拌磷。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21、香蕉抽检项目包括甲基对硫磷、吡唑醚菌酯、甲胺磷、联苯菊酯、氧乐果、克百威。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22、茄果类抽检项目包括克百威、氧乐果、甲胺磷。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23、生羊肉抽检项目包括克伦特罗、沙丁胺醇、特布他林、莱克多巴胺、恩诺沙星、环丙沙星。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24、生猪肉抽检项目包括克伦特罗、沙丁胺醇、特布他林、莱克多巴胺、氯霉素。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25、豆类（菜豆）抽检项目包括乐果、氯氰菊酯和高效氯氰菊酯、克百威。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26，豆芽抽检项目包括4-氯苯氧乙酸钠、6-苄基腺嘌呤(6-BA)、亚硫酸盐(以SO₂计)。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五、方便食品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GB 2760-2014《食品安全国家标准 食品添加剂使用标准》,GB 19640-2016《食品安全国家标准 冲调谷物制品》,GB 2762-2017《食品安全国家标准 食品中污染物限量》</w:t>
      </w:r>
    </w:p>
    <w:p>
      <w:pPr>
        <w:numPr>
          <w:ilvl w:val="0"/>
          <w:numId w:val="7"/>
        </w:numPr>
        <w:ind w:firstLine="160" w:firstLineChars="0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1、</w:t>
      </w:r>
      <w:r>
        <w:rPr>
          <w:rFonts w:ascii="仿宋" w:hAnsi="仿宋" w:eastAsia="仿宋" w:cs="仿宋_GB2312"/>
          <w:sz w:val="32"/>
          <w:szCs w:val="32"/>
        </w:rPr>
        <w:t>其他方便食品抽检项目包括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苯甲酸及其钠盐(以苯甲酸计)、山梨酸及其钾盐(以山梨酸计)、脱氢乙酸</w:t>
      </w:r>
      <w:r>
        <w:rPr>
          <w:rFonts w:hint="default" w:ascii="仿宋" w:hAnsi="仿宋" w:eastAsia="仿宋" w:cs="仿宋_GB2312"/>
          <w:sz w:val="32"/>
          <w:szCs w:val="32"/>
        </w:rPr>
        <w:t>、柠檬黄。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 2、冲调类方便食品抽检项目包括糖精钠(以糖精计)、苯甲酸、山梨酸、铅(以Pb计)。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D19CE37"/>
    <w:multiLevelType w:val="singleLevel"/>
    <w:tmpl w:val="5D19CE37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D19D020"/>
    <w:multiLevelType w:val="singleLevel"/>
    <w:tmpl w:val="5D19D020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D19D5B1"/>
    <w:multiLevelType w:val="singleLevel"/>
    <w:tmpl w:val="5D19D5B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14187BB4"/>
    <w:rsid w:val="23036CE8"/>
    <w:rsid w:val="293609AC"/>
    <w:rsid w:val="2F5E4339"/>
    <w:rsid w:val="32673D19"/>
    <w:rsid w:val="32DA12DB"/>
    <w:rsid w:val="39A61DCE"/>
    <w:rsid w:val="3A550212"/>
    <w:rsid w:val="3D0E4CF3"/>
    <w:rsid w:val="3FBFF649"/>
    <w:rsid w:val="450E0C06"/>
    <w:rsid w:val="459E4818"/>
    <w:rsid w:val="48D37826"/>
    <w:rsid w:val="4ACC3D93"/>
    <w:rsid w:val="4E6C176F"/>
    <w:rsid w:val="57CB5F14"/>
    <w:rsid w:val="59612BE8"/>
    <w:rsid w:val="5A270918"/>
    <w:rsid w:val="5F126E38"/>
    <w:rsid w:val="6067193E"/>
    <w:rsid w:val="659C75FC"/>
    <w:rsid w:val="69BD2834"/>
    <w:rsid w:val="6FFC1059"/>
    <w:rsid w:val="77060618"/>
    <w:rsid w:val="7A8041EE"/>
    <w:rsid w:val="7BCEF62A"/>
    <w:rsid w:val="7BFB6801"/>
    <w:rsid w:val="7CFE0D05"/>
    <w:rsid w:val="7EFC8563"/>
    <w:rsid w:val="B7F65321"/>
    <w:rsid w:val="FFBF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2017-02-06T01:30:00Z</dcterms:created>
  <dc:creator>lenovo</dc:creator>
  <cp:lastModifiedBy>Administrator</cp:lastModifiedBy>
  <dcterms:modified xsi:type="dcterms:W3CDTF">2019-08-02T03:42:35Z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