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2</w:t>
      </w:r>
    </w:p>
    <w:p>
      <w:pPr>
        <w:widowControl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/>
          <w:sz w:val="36"/>
          <w:szCs w:val="36"/>
        </w:rPr>
        <w:t>药审中心</w:t>
      </w:r>
      <w:r>
        <w:rPr>
          <w:rFonts w:hint="eastAsia" w:ascii="方正小标宋简体" w:eastAsia="方正小标宋简体"/>
          <w:sz w:val="36"/>
          <w:szCs w:val="36"/>
        </w:rPr>
        <w:t>审评通过</w:t>
      </w:r>
      <w:r>
        <w:rPr>
          <w:rFonts w:ascii="方正小标宋简体" w:eastAsia="方正小标宋简体"/>
          <w:sz w:val="36"/>
          <w:szCs w:val="36"/>
        </w:rPr>
        <w:t>的</w:t>
      </w:r>
      <w:r>
        <w:rPr>
          <w:rFonts w:hint="eastAsia" w:ascii="方正小标宋简体" w:eastAsia="方正小标宋简体"/>
          <w:sz w:val="36"/>
          <w:szCs w:val="36"/>
        </w:rPr>
        <w:t>进口原研药</w:t>
      </w:r>
    </w:p>
    <w:tbl>
      <w:tblPr>
        <w:tblStyle w:val="21"/>
        <w:tblW w:w="935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6"/>
        <w:gridCol w:w="3685"/>
        <w:gridCol w:w="48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tblHeader/>
          <w:jc w:val="center"/>
        </w:trPr>
        <w:tc>
          <w:tcPr>
            <w:tcW w:w="80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楷体" w:hAnsi="楷体" w:eastAsia="楷体" w:cs="宋体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b/>
                <w:bCs/>
                <w:kern w:val="0"/>
                <w:sz w:val="28"/>
                <w:szCs w:val="28"/>
              </w:rPr>
              <w:t>药品名称</w:t>
            </w:r>
          </w:p>
        </w:tc>
        <w:tc>
          <w:tcPr>
            <w:tcW w:w="4859" w:type="dxa"/>
          </w:tcPr>
          <w:p>
            <w:pPr>
              <w:widowControl/>
              <w:snapToGrid w:val="0"/>
              <w:jc w:val="center"/>
              <w:rPr>
                <w:rFonts w:ascii="楷体" w:hAnsi="楷体" w:eastAsia="楷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b/>
                <w:bCs/>
                <w:kern w:val="0"/>
                <w:sz w:val="28"/>
                <w:szCs w:val="28"/>
              </w:rPr>
              <w:t>获批时的适应症小结</w:t>
            </w:r>
          </w:p>
          <w:p>
            <w:pPr>
              <w:widowControl/>
              <w:snapToGrid w:val="0"/>
              <w:jc w:val="center"/>
              <w:rPr>
                <w:rFonts w:ascii="楷体" w:hAnsi="楷体" w:eastAsia="楷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b/>
                <w:bCs/>
                <w:kern w:val="0"/>
                <w:sz w:val="28"/>
                <w:szCs w:val="28"/>
              </w:rPr>
              <w:t>（具体详见药品说明书）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</w:t>
            </w:r>
          </w:p>
        </w:tc>
        <w:tc>
          <w:tcPr>
            <w:tcW w:w="36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注射用重组人凝血因子Ⅷ</w:t>
            </w:r>
          </w:p>
        </w:tc>
        <w:tc>
          <w:tcPr>
            <w:tcW w:w="4859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用于成人和儿童A型血友病患者出血事件的控制和预防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2</w:t>
            </w:r>
          </w:p>
        </w:tc>
        <w:tc>
          <w:tcPr>
            <w:tcW w:w="36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口服五价重配轮状病毒减毒活疫苗（Vero细胞）</w:t>
            </w:r>
          </w:p>
        </w:tc>
        <w:tc>
          <w:tcPr>
            <w:tcW w:w="4859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预防6周至32周龄婴儿疫苗相关型别的轮状病毒胃肠炎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3</w:t>
            </w:r>
          </w:p>
        </w:tc>
        <w:tc>
          <w:tcPr>
            <w:tcW w:w="36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九价人乳头瘤病毒疫苗（酿酒酵母）</w:t>
            </w:r>
          </w:p>
        </w:tc>
        <w:tc>
          <w:tcPr>
            <w:tcW w:w="4859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预防16～26岁女性疫苗相关型别的宫颈癌、癌前病变或不典型病变、及持续性感染。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4</w:t>
            </w:r>
          </w:p>
        </w:tc>
        <w:tc>
          <w:tcPr>
            <w:tcW w:w="36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棕榈帕利哌酮酯注射液</w:t>
            </w:r>
          </w:p>
        </w:tc>
        <w:tc>
          <w:tcPr>
            <w:tcW w:w="4859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精神分裂症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5</w:t>
            </w:r>
          </w:p>
        </w:tc>
        <w:tc>
          <w:tcPr>
            <w:tcW w:w="36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达芦那韦考比司他片</w:t>
            </w:r>
          </w:p>
        </w:tc>
        <w:tc>
          <w:tcPr>
            <w:tcW w:w="4859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人类免疫缺陷病毒（HIV）感染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6</w:t>
            </w:r>
          </w:p>
        </w:tc>
        <w:tc>
          <w:tcPr>
            <w:tcW w:w="36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注射用盐酸美法仑</w:t>
            </w:r>
          </w:p>
        </w:tc>
        <w:tc>
          <w:tcPr>
            <w:tcW w:w="4859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多发性骨髓瘤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7</w:t>
            </w:r>
          </w:p>
        </w:tc>
        <w:tc>
          <w:tcPr>
            <w:tcW w:w="36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注射用盐酸苯达莫司汀</w:t>
            </w:r>
          </w:p>
        </w:tc>
        <w:tc>
          <w:tcPr>
            <w:tcW w:w="4859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复发难治的惰性B细胞非霍奇金淋巴瘤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8</w:t>
            </w:r>
          </w:p>
        </w:tc>
        <w:tc>
          <w:tcPr>
            <w:tcW w:w="36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注射用全氟丁烷微球</w:t>
            </w:r>
          </w:p>
        </w:tc>
        <w:tc>
          <w:tcPr>
            <w:tcW w:w="4859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超声造影剂，检查肝脏病变。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9</w:t>
            </w:r>
          </w:p>
        </w:tc>
        <w:tc>
          <w:tcPr>
            <w:tcW w:w="36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注射用拉布立海</w:t>
            </w:r>
          </w:p>
        </w:tc>
        <w:tc>
          <w:tcPr>
            <w:tcW w:w="4859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控制儿童白血病、淋巴瘤患者的尿酸水平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10</w:t>
            </w:r>
          </w:p>
        </w:tc>
        <w:tc>
          <w:tcPr>
            <w:tcW w:w="36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注射用醋酸地加瑞克</w:t>
            </w:r>
          </w:p>
        </w:tc>
        <w:tc>
          <w:tcPr>
            <w:tcW w:w="4859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前列腺癌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11</w:t>
            </w:r>
          </w:p>
        </w:tc>
        <w:tc>
          <w:tcPr>
            <w:tcW w:w="36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依那西普注射液</w:t>
            </w:r>
          </w:p>
        </w:tc>
        <w:tc>
          <w:tcPr>
            <w:tcW w:w="4859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类风湿关节炎，强直性脊柱炎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12</w:t>
            </w:r>
          </w:p>
        </w:tc>
        <w:tc>
          <w:tcPr>
            <w:tcW w:w="36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依库珠单抗注射液</w:t>
            </w:r>
          </w:p>
        </w:tc>
        <w:tc>
          <w:tcPr>
            <w:tcW w:w="4859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阵发性睡眠性血红蛋白尿症</w:t>
            </w:r>
            <w:r>
              <w:rPr>
                <w:rFonts w:hint="eastAsia" w:eastAsia="仿宋_GB2312"/>
                <w:sz w:val="24"/>
              </w:rPr>
              <w:br w:type="textWrapping"/>
            </w:r>
            <w:r>
              <w:rPr>
                <w:rFonts w:hint="eastAsia" w:eastAsia="仿宋_GB2312"/>
                <w:sz w:val="24"/>
              </w:rPr>
              <w:t>非典型溶血尿毒症综合征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13</w:t>
            </w:r>
          </w:p>
        </w:tc>
        <w:tc>
          <w:tcPr>
            <w:tcW w:w="36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盐酸托莫西汀口服溶液</w:t>
            </w:r>
          </w:p>
        </w:tc>
        <w:tc>
          <w:tcPr>
            <w:tcW w:w="4859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注意缺陷/多动障碍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14</w:t>
            </w:r>
          </w:p>
        </w:tc>
        <w:tc>
          <w:tcPr>
            <w:tcW w:w="36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盐酸度洛西汀肠溶胶囊</w:t>
            </w:r>
          </w:p>
        </w:tc>
        <w:tc>
          <w:tcPr>
            <w:tcW w:w="4859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治疗抑郁症，焦虑障碍，慢性肌肉骨骼疼痛。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15</w:t>
            </w:r>
          </w:p>
        </w:tc>
        <w:tc>
          <w:tcPr>
            <w:tcW w:w="36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盐酸阿来替尼胶囊</w:t>
            </w:r>
          </w:p>
        </w:tc>
        <w:tc>
          <w:tcPr>
            <w:tcW w:w="4859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晚期非小细胞肺癌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16</w:t>
            </w:r>
          </w:p>
        </w:tc>
        <w:tc>
          <w:tcPr>
            <w:tcW w:w="36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乌美溴铵维兰特罗吸入粉雾剂</w:t>
            </w:r>
          </w:p>
        </w:tc>
        <w:tc>
          <w:tcPr>
            <w:tcW w:w="4859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慢性阻塞性肺病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17</w:t>
            </w:r>
          </w:p>
        </w:tc>
        <w:tc>
          <w:tcPr>
            <w:tcW w:w="36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噻托溴铵奥达特罗吸入喷雾剂</w:t>
            </w:r>
          </w:p>
        </w:tc>
        <w:tc>
          <w:tcPr>
            <w:tcW w:w="4859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慢性阻塞性肺病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18</w:t>
            </w:r>
          </w:p>
        </w:tc>
        <w:tc>
          <w:tcPr>
            <w:tcW w:w="36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塞瑞替尼胶囊</w:t>
            </w:r>
          </w:p>
        </w:tc>
        <w:tc>
          <w:tcPr>
            <w:tcW w:w="4859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晚期非小细胞肺癌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19</w:t>
            </w:r>
          </w:p>
        </w:tc>
        <w:tc>
          <w:tcPr>
            <w:tcW w:w="36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普乐沙福注射液</w:t>
            </w:r>
          </w:p>
        </w:tc>
        <w:tc>
          <w:tcPr>
            <w:tcW w:w="4859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非霍奇金淋巴瘤造血干细胞动员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20</w:t>
            </w:r>
          </w:p>
        </w:tc>
        <w:tc>
          <w:tcPr>
            <w:tcW w:w="36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哌柏西利胶囊</w:t>
            </w:r>
          </w:p>
        </w:tc>
        <w:tc>
          <w:tcPr>
            <w:tcW w:w="4859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晚期乳腺癌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21</w:t>
            </w:r>
          </w:p>
        </w:tc>
        <w:tc>
          <w:tcPr>
            <w:tcW w:w="36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帕博利珠单抗注射液</w:t>
            </w:r>
          </w:p>
        </w:tc>
        <w:tc>
          <w:tcPr>
            <w:tcW w:w="4859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晚期黑色素瘤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22</w:t>
            </w:r>
          </w:p>
        </w:tc>
        <w:tc>
          <w:tcPr>
            <w:tcW w:w="36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纳武利尤单抗注射液</w:t>
            </w:r>
          </w:p>
        </w:tc>
        <w:tc>
          <w:tcPr>
            <w:tcW w:w="4859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晚期非小细胞肺癌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23</w:t>
            </w:r>
          </w:p>
        </w:tc>
        <w:tc>
          <w:tcPr>
            <w:tcW w:w="36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来那度胺胶囊</w:t>
            </w:r>
          </w:p>
        </w:tc>
        <w:tc>
          <w:tcPr>
            <w:tcW w:w="4859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多发性骨髓瘤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24</w:t>
            </w:r>
          </w:p>
        </w:tc>
        <w:tc>
          <w:tcPr>
            <w:tcW w:w="36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糠酸氟替卡松维兰特罗吸入粉雾剂</w:t>
            </w:r>
          </w:p>
        </w:tc>
        <w:tc>
          <w:tcPr>
            <w:tcW w:w="4859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哮喘和慢性阻塞性肺病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25</w:t>
            </w:r>
          </w:p>
        </w:tc>
        <w:tc>
          <w:tcPr>
            <w:tcW w:w="36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枸橼酸伊沙佐米胶囊</w:t>
            </w:r>
          </w:p>
        </w:tc>
        <w:tc>
          <w:tcPr>
            <w:tcW w:w="4859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多发性骨髓瘤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26</w:t>
            </w:r>
          </w:p>
        </w:tc>
        <w:tc>
          <w:tcPr>
            <w:tcW w:w="36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格拉司琼透皮贴片</w:t>
            </w:r>
          </w:p>
        </w:tc>
        <w:tc>
          <w:tcPr>
            <w:tcW w:w="4859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预防化疗引起的恶心和呕吐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27</w:t>
            </w:r>
          </w:p>
        </w:tc>
        <w:tc>
          <w:tcPr>
            <w:tcW w:w="36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富马酸喹硫平缓释片</w:t>
            </w:r>
          </w:p>
        </w:tc>
        <w:tc>
          <w:tcPr>
            <w:tcW w:w="4859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治疗精神分裂症和双相情感障碍的抑郁发作。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28</w:t>
            </w:r>
          </w:p>
        </w:tc>
        <w:tc>
          <w:tcPr>
            <w:tcW w:w="36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丁丙诺啡纳洛酮舌下片</w:t>
            </w:r>
          </w:p>
        </w:tc>
        <w:tc>
          <w:tcPr>
            <w:tcW w:w="4859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用于戒毒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29</w:t>
            </w:r>
          </w:p>
        </w:tc>
        <w:tc>
          <w:tcPr>
            <w:tcW w:w="36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奥拉帕利片</w:t>
            </w:r>
          </w:p>
        </w:tc>
        <w:tc>
          <w:tcPr>
            <w:tcW w:w="4859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复发性上皮性卵巢癌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30</w:t>
            </w:r>
          </w:p>
        </w:tc>
        <w:tc>
          <w:tcPr>
            <w:tcW w:w="36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奥达特罗吸入喷雾剂</w:t>
            </w:r>
          </w:p>
        </w:tc>
        <w:tc>
          <w:tcPr>
            <w:tcW w:w="4859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慢性阻塞性肺病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31</w:t>
            </w:r>
          </w:p>
        </w:tc>
        <w:tc>
          <w:tcPr>
            <w:tcW w:w="36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艾美赛珠单抗注射液</w:t>
            </w:r>
          </w:p>
        </w:tc>
        <w:tc>
          <w:tcPr>
            <w:tcW w:w="4859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存在抑制物的A型血友病的常规预防性治疗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32</w:t>
            </w:r>
          </w:p>
        </w:tc>
        <w:tc>
          <w:tcPr>
            <w:tcW w:w="36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依洛尤单抗注射液</w:t>
            </w:r>
          </w:p>
        </w:tc>
        <w:tc>
          <w:tcPr>
            <w:tcW w:w="4859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纯合子型家族性高胆固醇血症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33</w:t>
            </w:r>
          </w:p>
        </w:tc>
        <w:tc>
          <w:tcPr>
            <w:tcW w:w="36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依托孕烯炔雌醇阴道环</w:t>
            </w:r>
          </w:p>
        </w:tc>
        <w:tc>
          <w:tcPr>
            <w:tcW w:w="4859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女性避孕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34</w:t>
            </w:r>
          </w:p>
        </w:tc>
        <w:tc>
          <w:tcPr>
            <w:tcW w:w="36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盐酸莫西沙星滴眼液</w:t>
            </w:r>
          </w:p>
        </w:tc>
        <w:tc>
          <w:tcPr>
            <w:tcW w:w="4859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敏感微生物引起的细菌性结膜炎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35</w:t>
            </w:r>
          </w:p>
        </w:tc>
        <w:tc>
          <w:tcPr>
            <w:tcW w:w="36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特立氟胺片</w:t>
            </w:r>
          </w:p>
        </w:tc>
        <w:tc>
          <w:tcPr>
            <w:tcW w:w="4859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复发型多发性硬化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36</w:t>
            </w:r>
          </w:p>
        </w:tc>
        <w:tc>
          <w:tcPr>
            <w:tcW w:w="36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培哚普利氨氯地平片（Ⅲ）</w:t>
            </w:r>
          </w:p>
        </w:tc>
        <w:tc>
          <w:tcPr>
            <w:tcW w:w="4859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单药治疗不能充分控制的高血压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37</w:t>
            </w:r>
          </w:p>
        </w:tc>
        <w:tc>
          <w:tcPr>
            <w:tcW w:w="36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培哚普利氨氯地平片（Ⅱ）</w:t>
            </w:r>
          </w:p>
        </w:tc>
        <w:tc>
          <w:tcPr>
            <w:tcW w:w="4859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单药治疗不能充分控制的高血压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38</w:t>
            </w:r>
          </w:p>
        </w:tc>
        <w:tc>
          <w:tcPr>
            <w:tcW w:w="36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培哚普利氨氯地平片（I）</w:t>
            </w:r>
          </w:p>
        </w:tc>
        <w:tc>
          <w:tcPr>
            <w:tcW w:w="4859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培哚普利和氨氯地平联合降压治疗的替代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39</w:t>
            </w:r>
          </w:p>
        </w:tc>
        <w:tc>
          <w:tcPr>
            <w:tcW w:w="36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罗替高汀贴片</w:t>
            </w:r>
          </w:p>
        </w:tc>
        <w:tc>
          <w:tcPr>
            <w:tcW w:w="4859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早期特发性帕金森病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40</w:t>
            </w:r>
          </w:p>
        </w:tc>
        <w:tc>
          <w:tcPr>
            <w:tcW w:w="36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利那洛肽胶囊</w:t>
            </w:r>
          </w:p>
        </w:tc>
        <w:tc>
          <w:tcPr>
            <w:tcW w:w="4859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成人便秘型肠易激综合征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41</w:t>
            </w:r>
          </w:p>
        </w:tc>
        <w:tc>
          <w:tcPr>
            <w:tcW w:w="36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拉莫三嗪分散片</w:t>
            </w:r>
          </w:p>
        </w:tc>
        <w:tc>
          <w:tcPr>
            <w:tcW w:w="4859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癫痫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42</w:t>
            </w:r>
          </w:p>
        </w:tc>
        <w:tc>
          <w:tcPr>
            <w:tcW w:w="36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拉考沙胺片</w:t>
            </w:r>
          </w:p>
        </w:tc>
        <w:tc>
          <w:tcPr>
            <w:tcW w:w="4859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癫痫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43</w:t>
            </w:r>
          </w:p>
        </w:tc>
        <w:tc>
          <w:tcPr>
            <w:tcW w:w="36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地诺孕素片</w:t>
            </w:r>
          </w:p>
        </w:tc>
        <w:tc>
          <w:tcPr>
            <w:tcW w:w="4859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子宫内膜异位症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44</w:t>
            </w:r>
          </w:p>
        </w:tc>
        <w:tc>
          <w:tcPr>
            <w:tcW w:w="36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艾考恩丙替片</w:t>
            </w:r>
          </w:p>
        </w:tc>
        <w:tc>
          <w:tcPr>
            <w:tcW w:w="4859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HIV-1感染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45</w:t>
            </w:r>
          </w:p>
        </w:tc>
        <w:tc>
          <w:tcPr>
            <w:tcW w:w="36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依达赛珠单抗注射液</w:t>
            </w:r>
          </w:p>
        </w:tc>
        <w:tc>
          <w:tcPr>
            <w:tcW w:w="4859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快速逆转达比加群酯 (泰毕全®) 抗凝效果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46</w:t>
            </w:r>
          </w:p>
        </w:tc>
        <w:tc>
          <w:tcPr>
            <w:tcW w:w="36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左炔诺孕酮宫内节育系统（III）</w:t>
            </w:r>
          </w:p>
        </w:tc>
        <w:tc>
          <w:tcPr>
            <w:tcW w:w="4859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避孕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47</w:t>
            </w:r>
          </w:p>
        </w:tc>
        <w:tc>
          <w:tcPr>
            <w:tcW w:w="36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小儿法罗培南钠颗粒</w:t>
            </w:r>
          </w:p>
        </w:tc>
        <w:tc>
          <w:tcPr>
            <w:tcW w:w="4859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敏感细菌所致的儿童皮肤及皮肤组织感染、淋巴管炎、肺炎等感染性疾病。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48</w:t>
            </w:r>
          </w:p>
        </w:tc>
        <w:tc>
          <w:tcPr>
            <w:tcW w:w="36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索磷布韦维帕他韦片</w:t>
            </w:r>
          </w:p>
        </w:tc>
        <w:tc>
          <w:tcPr>
            <w:tcW w:w="4859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成人慢性丙型肝炎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49</w:t>
            </w:r>
          </w:p>
        </w:tc>
        <w:tc>
          <w:tcPr>
            <w:tcW w:w="36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丙酚替诺福韦片</w:t>
            </w:r>
          </w:p>
        </w:tc>
        <w:tc>
          <w:tcPr>
            <w:tcW w:w="4859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慢性乙型肝炎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50</w:t>
            </w:r>
          </w:p>
        </w:tc>
        <w:tc>
          <w:tcPr>
            <w:tcW w:w="36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来迪派韦索磷布韦片</w:t>
            </w:r>
          </w:p>
        </w:tc>
        <w:tc>
          <w:tcPr>
            <w:tcW w:w="4859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慢性丙型肝炎病毒感染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51</w:t>
            </w:r>
          </w:p>
        </w:tc>
        <w:tc>
          <w:tcPr>
            <w:tcW w:w="36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拉替拉韦钾干混悬剂</w:t>
            </w:r>
          </w:p>
        </w:tc>
        <w:tc>
          <w:tcPr>
            <w:tcW w:w="4859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大于4周龄且体重3~20公斤婴幼儿中的HIV-1感染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52</w:t>
            </w:r>
          </w:p>
        </w:tc>
        <w:tc>
          <w:tcPr>
            <w:tcW w:w="36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甲苯磺酸艾多沙班片</w:t>
            </w:r>
          </w:p>
        </w:tc>
        <w:tc>
          <w:tcPr>
            <w:tcW w:w="4859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预防高风险人群卒中和体循环栓塞。治疗深静脉血栓和肺栓塞。预防深静脉血栓和肺栓塞复发。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53</w:t>
            </w:r>
          </w:p>
        </w:tc>
        <w:tc>
          <w:tcPr>
            <w:tcW w:w="36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恩曲他滨丙酚替诺福韦片（I）</w:t>
            </w:r>
          </w:p>
        </w:tc>
        <w:tc>
          <w:tcPr>
            <w:tcW w:w="4859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HIV-1感染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54</w:t>
            </w:r>
          </w:p>
        </w:tc>
        <w:tc>
          <w:tcPr>
            <w:tcW w:w="36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德拉马尼片</w:t>
            </w:r>
          </w:p>
        </w:tc>
        <w:tc>
          <w:tcPr>
            <w:tcW w:w="4859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成人耐多药肺结核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55</w:t>
            </w:r>
          </w:p>
        </w:tc>
        <w:tc>
          <w:tcPr>
            <w:tcW w:w="36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泊沙康唑肠溶片</w:t>
            </w:r>
          </w:p>
        </w:tc>
        <w:tc>
          <w:tcPr>
            <w:tcW w:w="4859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预防侵袭性曲霉菌和念珠菌感染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56</w:t>
            </w:r>
          </w:p>
        </w:tc>
        <w:tc>
          <w:tcPr>
            <w:tcW w:w="36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艾尔巴韦格拉瑞韦片</w:t>
            </w:r>
          </w:p>
        </w:tc>
        <w:tc>
          <w:tcPr>
            <w:tcW w:w="4859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成人慢性丙型肝炎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57</w:t>
            </w:r>
          </w:p>
        </w:tc>
        <w:tc>
          <w:tcPr>
            <w:tcW w:w="36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司来帕格片</w:t>
            </w:r>
          </w:p>
        </w:tc>
        <w:tc>
          <w:tcPr>
            <w:tcW w:w="4859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肺动脉高压（PAH，WHO第1组）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58</w:t>
            </w:r>
          </w:p>
        </w:tc>
        <w:tc>
          <w:tcPr>
            <w:tcW w:w="36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帕妥珠单抗注射液</w:t>
            </w:r>
          </w:p>
        </w:tc>
        <w:tc>
          <w:tcPr>
            <w:tcW w:w="4859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乳腺癌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59</w:t>
            </w:r>
          </w:p>
        </w:tc>
        <w:tc>
          <w:tcPr>
            <w:tcW w:w="36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甲磺酸仑伐替尼胶囊</w:t>
            </w:r>
          </w:p>
        </w:tc>
        <w:tc>
          <w:tcPr>
            <w:tcW w:w="4859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肝细胞癌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60</w:t>
            </w:r>
          </w:p>
        </w:tc>
        <w:tc>
          <w:tcPr>
            <w:tcW w:w="36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醋酸阿比特龙片</w:t>
            </w:r>
          </w:p>
        </w:tc>
        <w:tc>
          <w:tcPr>
            <w:tcW w:w="4859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前列腺癌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61</w:t>
            </w:r>
          </w:p>
        </w:tc>
        <w:tc>
          <w:tcPr>
            <w:tcW w:w="36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注射用英夫利西单抗</w:t>
            </w:r>
          </w:p>
        </w:tc>
        <w:tc>
          <w:tcPr>
            <w:tcW w:w="4859" w:type="dxa"/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成人中重度活动性溃疡性结肠炎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62</w:t>
            </w:r>
          </w:p>
        </w:tc>
        <w:tc>
          <w:tcPr>
            <w:tcW w:w="36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雷珠单抗注射液</w:t>
            </w:r>
          </w:p>
        </w:tc>
        <w:tc>
          <w:tcPr>
            <w:tcW w:w="4859" w:type="dxa"/>
            <w:vAlign w:val="center"/>
          </w:tcPr>
          <w:p>
            <w:pPr>
              <w:spacing w:before="100" w:beforeAutospacing="1" w:line="276" w:lineRule="auto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脉络膜新生血管导致的视力损害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63</w:t>
            </w:r>
          </w:p>
        </w:tc>
        <w:tc>
          <w:tcPr>
            <w:tcW w:w="36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阿柏西普眼内注射溶液</w:t>
            </w:r>
          </w:p>
        </w:tc>
        <w:tc>
          <w:tcPr>
            <w:tcW w:w="4859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新生血管性年龄相关性黄斑变性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64</w:t>
            </w:r>
          </w:p>
        </w:tc>
        <w:tc>
          <w:tcPr>
            <w:tcW w:w="36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注射用A型肉毒毒素</w:t>
            </w:r>
          </w:p>
        </w:tc>
        <w:tc>
          <w:tcPr>
            <w:tcW w:w="4859" w:type="dxa"/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暂时性改善成人中度至重度鱼尾纹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65</w:t>
            </w:r>
          </w:p>
        </w:tc>
        <w:tc>
          <w:tcPr>
            <w:tcW w:w="36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盐酸莫西沙星片</w:t>
            </w:r>
          </w:p>
        </w:tc>
        <w:tc>
          <w:tcPr>
            <w:tcW w:w="4859" w:type="dxa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轻至中度盆腔炎性疾病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66</w:t>
            </w:r>
          </w:p>
        </w:tc>
        <w:tc>
          <w:tcPr>
            <w:tcW w:w="36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多种维生素片（6）</w:t>
            </w:r>
          </w:p>
        </w:tc>
        <w:tc>
          <w:tcPr>
            <w:tcW w:w="4859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用于维生素B1、维生素B6、维生素B12需求量增加，通过饮食摄入不能满足需求的患者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67</w:t>
            </w:r>
          </w:p>
        </w:tc>
        <w:tc>
          <w:tcPr>
            <w:tcW w:w="36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10%脂肪乳（OO）/5.5%氨基酸（15）/葡萄糖（20%）注射液</w:t>
            </w:r>
          </w:p>
        </w:tc>
        <w:tc>
          <w:tcPr>
            <w:tcW w:w="4859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胃肠道外营养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68</w:t>
            </w:r>
          </w:p>
        </w:tc>
        <w:tc>
          <w:tcPr>
            <w:tcW w:w="36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盐酸帕洛诺司琼注射液</w:t>
            </w:r>
            <w:r>
              <w:rPr>
                <w:rFonts w:hint="eastAsia" w:eastAsia="仿宋_GB2312"/>
                <w:sz w:val="24"/>
                <w:vertAlign w:val="superscript"/>
              </w:rPr>
              <w:t>*</w:t>
            </w:r>
          </w:p>
        </w:tc>
        <w:tc>
          <w:tcPr>
            <w:tcW w:w="4859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预防化疗引起的恶心、呕吐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69</w:t>
            </w:r>
          </w:p>
        </w:tc>
        <w:tc>
          <w:tcPr>
            <w:tcW w:w="36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非布司他片</w:t>
            </w:r>
            <w:r>
              <w:rPr>
                <w:rFonts w:hint="eastAsia" w:eastAsia="仿宋_GB2312"/>
                <w:sz w:val="24"/>
                <w:vertAlign w:val="superscript"/>
              </w:rPr>
              <w:t>*</w:t>
            </w:r>
          </w:p>
        </w:tc>
        <w:tc>
          <w:tcPr>
            <w:tcW w:w="4859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痛风患者高尿酸血症的长期治疗</w:t>
            </w:r>
          </w:p>
        </w:tc>
      </w:tr>
    </w:tbl>
    <w:p>
      <w:pPr>
        <w:adjustRightInd w:val="0"/>
        <w:snapToGrid w:val="0"/>
        <w:ind w:firstLine="480" w:firstLineChars="200"/>
      </w:pPr>
      <w:r>
        <w:rPr>
          <w:rFonts w:hint="eastAsia" w:ascii="仿宋" w:hAnsi="仿宋" w:eastAsia="仿宋"/>
          <w:color w:val="000000"/>
          <w:sz w:val="24"/>
        </w:rPr>
        <w:t>注：“*”是指国内已有仿制品种上市的进口原研药，如盐酸帕洛诺司琼注射液等，不纳入此次的</w:t>
      </w:r>
      <w:r>
        <w:rPr>
          <w:rFonts w:hint="eastAsia" w:ascii="仿宋" w:hAnsi="仿宋" w:eastAsia="仿宋"/>
          <w:sz w:val="24"/>
        </w:rPr>
        <w:t>67个进口原研药统计范围内</w:t>
      </w:r>
      <w:r>
        <w:rPr>
          <w:rFonts w:hint="eastAsia" w:ascii="仿宋" w:hAnsi="仿宋" w:eastAsia="仿宋"/>
          <w:sz w:val="24"/>
          <w:lang w:eastAsia="zh-CN"/>
        </w:rPr>
        <w:t>。</w:t>
      </w:r>
      <w:bookmarkStart w:id="0" w:name="_GoBack"/>
      <w:bookmarkEnd w:id="0"/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right"/>
      <w:rPr>
        <w:rFonts w:ascii="仿宋" w:hAnsi="仿宋"/>
        <w:sz w:val="28"/>
        <w:szCs w:val="28"/>
      </w:rPr>
    </w:pPr>
    <w:r>
      <w:rPr>
        <w:rFonts w:hint="eastAsia" w:ascii="仿宋" w:hAnsi="仿宋"/>
        <w:sz w:val="28"/>
        <w:szCs w:val="28"/>
      </w:rPr>
      <w:t>—</w:t>
    </w:r>
    <w:r>
      <w:rPr>
        <w:rFonts w:eastAsia="仿宋_GB2312"/>
        <w:sz w:val="28"/>
        <w:szCs w:val="28"/>
      </w:rPr>
      <w:fldChar w:fldCharType="begin"/>
    </w:r>
    <w:r>
      <w:rPr>
        <w:rFonts w:eastAsia="仿宋_GB2312"/>
        <w:sz w:val="28"/>
        <w:szCs w:val="28"/>
      </w:rPr>
      <w:instrText xml:space="preserve">PAGE   \* MERGEFORMAT</w:instrText>
    </w:r>
    <w:r>
      <w:rPr>
        <w:rFonts w:eastAsia="仿宋_GB2312"/>
        <w:sz w:val="28"/>
        <w:szCs w:val="28"/>
      </w:rPr>
      <w:fldChar w:fldCharType="separate"/>
    </w:r>
    <w:r>
      <w:rPr>
        <w:rFonts w:eastAsia="仿宋_GB2312"/>
        <w:sz w:val="28"/>
        <w:szCs w:val="28"/>
        <w:lang w:val="zh-CN"/>
      </w:rPr>
      <w:t>19</w:t>
    </w:r>
    <w:r>
      <w:rPr>
        <w:rFonts w:eastAsia="仿宋_GB2312"/>
        <w:sz w:val="28"/>
        <w:szCs w:val="28"/>
      </w:rPr>
      <w:fldChar w:fldCharType="end"/>
    </w:r>
    <w:r>
      <w:rPr>
        <w:rFonts w:hint="eastAsia" w:ascii="仿宋" w:hAnsi="仿宋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rPr>
        <w:rFonts w:ascii="仿宋" w:hAnsi="仿宋"/>
        <w:sz w:val="28"/>
        <w:szCs w:val="28"/>
      </w:rPr>
    </w:pPr>
    <w:r>
      <w:rPr>
        <w:rFonts w:hint="eastAsia" w:ascii="仿宋" w:hAnsi="仿宋"/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10</w:t>
    </w:r>
    <w:r>
      <w:rPr>
        <w:sz w:val="28"/>
        <w:szCs w:val="28"/>
      </w:rPr>
      <w:fldChar w:fldCharType="end"/>
    </w:r>
    <w:r>
      <w:rPr>
        <w:rFonts w:hint="eastAsia" w:ascii="仿宋" w:hAnsi="仿宋"/>
        <w:sz w:val="28"/>
        <w:szCs w:val="28"/>
      </w:rPr>
      <w:t>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0"/>
  <w:evenAndOddHeaders w:val="1"/>
  <w:drawingGridHorizontalSpacing w:val="105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803"/>
    <w:rsid w:val="0000043E"/>
    <w:rsid w:val="0000129B"/>
    <w:rsid w:val="00001C05"/>
    <w:rsid w:val="000021A5"/>
    <w:rsid w:val="00003357"/>
    <w:rsid w:val="00003F5E"/>
    <w:rsid w:val="00004AFA"/>
    <w:rsid w:val="00005209"/>
    <w:rsid w:val="00005280"/>
    <w:rsid w:val="00006600"/>
    <w:rsid w:val="0001001A"/>
    <w:rsid w:val="0001095D"/>
    <w:rsid w:val="00010BA4"/>
    <w:rsid w:val="00014202"/>
    <w:rsid w:val="00014799"/>
    <w:rsid w:val="00015ED0"/>
    <w:rsid w:val="00016BB4"/>
    <w:rsid w:val="000202FC"/>
    <w:rsid w:val="000223DE"/>
    <w:rsid w:val="00022834"/>
    <w:rsid w:val="000230C4"/>
    <w:rsid w:val="00024168"/>
    <w:rsid w:val="000248E8"/>
    <w:rsid w:val="00025FE8"/>
    <w:rsid w:val="000278CA"/>
    <w:rsid w:val="00027A33"/>
    <w:rsid w:val="00027CB6"/>
    <w:rsid w:val="000308E8"/>
    <w:rsid w:val="00031091"/>
    <w:rsid w:val="000333DD"/>
    <w:rsid w:val="00034396"/>
    <w:rsid w:val="0003526A"/>
    <w:rsid w:val="00037AB1"/>
    <w:rsid w:val="00037CD8"/>
    <w:rsid w:val="0004096E"/>
    <w:rsid w:val="00040984"/>
    <w:rsid w:val="00043960"/>
    <w:rsid w:val="000440C2"/>
    <w:rsid w:val="0004413A"/>
    <w:rsid w:val="000457B9"/>
    <w:rsid w:val="00045EA9"/>
    <w:rsid w:val="000471BB"/>
    <w:rsid w:val="00054312"/>
    <w:rsid w:val="000557B0"/>
    <w:rsid w:val="00055DEC"/>
    <w:rsid w:val="00060E71"/>
    <w:rsid w:val="00062C49"/>
    <w:rsid w:val="0006440A"/>
    <w:rsid w:val="00064B3D"/>
    <w:rsid w:val="000653F9"/>
    <w:rsid w:val="0006603C"/>
    <w:rsid w:val="0006688A"/>
    <w:rsid w:val="000701B5"/>
    <w:rsid w:val="0007044E"/>
    <w:rsid w:val="00070829"/>
    <w:rsid w:val="00071EED"/>
    <w:rsid w:val="000721C5"/>
    <w:rsid w:val="00072EBA"/>
    <w:rsid w:val="000738D7"/>
    <w:rsid w:val="00076727"/>
    <w:rsid w:val="000769F8"/>
    <w:rsid w:val="00076EB5"/>
    <w:rsid w:val="00077AE6"/>
    <w:rsid w:val="00080117"/>
    <w:rsid w:val="00080530"/>
    <w:rsid w:val="0008086D"/>
    <w:rsid w:val="00081BF7"/>
    <w:rsid w:val="00081DFE"/>
    <w:rsid w:val="00083C82"/>
    <w:rsid w:val="000842E6"/>
    <w:rsid w:val="000851AE"/>
    <w:rsid w:val="00087459"/>
    <w:rsid w:val="00090E8C"/>
    <w:rsid w:val="00090FFE"/>
    <w:rsid w:val="000913B7"/>
    <w:rsid w:val="000916E8"/>
    <w:rsid w:val="00091702"/>
    <w:rsid w:val="00091789"/>
    <w:rsid w:val="0009213E"/>
    <w:rsid w:val="00092291"/>
    <w:rsid w:val="000945CC"/>
    <w:rsid w:val="00094CEF"/>
    <w:rsid w:val="00096BB4"/>
    <w:rsid w:val="00096BF5"/>
    <w:rsid w:val="00096D2C"/>
    <w:rsid w:val="000A0335"/>
    <w:rsid w:val="000A17DD"/>
    <w:rsid w:val="000A2156"/>
    <w:rsid w:val="000A2985"/>
    <w:rsid w:val="000A7AA5"/>
    <w:rsid w:val="000B0644"/>
    <w:rsid w:val="000B1CD1"/>
    <w:rsid w:val="000B23E4"/>
    <w:rsid w:val="000B2667"/>
    <w:rsid w:val="000B2D58"/>
    <w:rsid w:val="000B36E8"/>
    <w:rsid w:val="000B40E9"/>
    <w:rsid w:val="000B5661"/>
    <w:rsid w:val="000B6760"/>
    <w:rsid w:val="000B7062"/>
    <w:rsid w:val="000B7845"/>
    <w:rsid w:val="000C021A"/>
    <w:rsid w:val="000C1673"/>
    <w:rsid w:val="000C19A2"/>
    <w:rsid w:val="000C1D92"/>
    <w:rsid w:val="000C33BD"/>
    <w:rsid w:val="000C3C74"/>
    <w:rsid w:val="000C4A76"/>
    <w:rsid w:val="000C644F"/>
    <w:rsid w:val="000C661F"/>
    <w:rsid w:val="000C66EC"/>
    <w:rsid w:val="000D320E"/>
    <w:rsid w:val="000D60B7"/>
    <w:rsid w:val="000D689F"/>
    <w:rsid w:val="000E070D"/>
    <w:rsid w:val="000E2B7B"/>
    <w:rsid w:val="000E6878"/>
    <w:rsid w:val="000E7BA5"/>
    <w:rsid w:val="000E7FDE"/>
    <w:rsid w:val="000F19C6"/>
    <w:rsid w:val="000F3D2F"/>
    <w:rsid w:val="000F65D0"/>
    <w:rsid w:val="001002E9"/>
    <w:rsid w:val="00102764"/>
    <w:rsid w:val="00103F7E"/>
    <w:rsid w:val="00105E85"/>
    <w:rsid w:val="00105F48"/>
    <w:rsid w:val="00110B42"/>
    <w:rsid w:val="00114829"/>
    <w:rsid w:val="0011515C"/>
    <w:rsid w:val="0011540E"/>
    <w:rsid w:val="00116E4D"/>
    <w:rsid w:val="00120C83"/>
    <w:rsid w:val="00120DB8"/>
    <w:rsid w:val="00121E4E"/>
    <w:rsid w:val="00123F40"/>
    <w:rsid w:val="00124250"/>
    <w:rsid w:val="001247A2"/>
    <w:rsid w:val="001257A6"/>
    <w:rsid w:val="00127254"/>
    <w:rsid w:val="00130ABE"/>
    <w:rsid w:val="0013118A"/>
    <w:rsid w:val="00132332"/>
    <w:rsid w:val="001336A1"/>
    <w:rsid w:val="0013381A"/>
    <w:rsid w:val="00133B7C"/>
    <w:rsid w:val="0013431F"/>
    <w:rsid w:val="00136D87"/>
    <w:rsid w:val="00136EFA"/>
    <w:rsid w:val="0013707A"/>
    <w:rsid w:val="001405B0"/>
    <w:rsid w:val="00140986"/>
    <w:rsid w:val="001411CD"/>
    <w:rsid w:val="00141D59"/>
    <w:rsid w:val="00141FF0"/>
    <w:rsid w:val="00146121"/>
    <w:rsid w:val="0014615D"/>
    <w:rsid w:val="00147859"/>
    <w:rsid w:val="00147BD8"/>
    <w:rsid w:val="00150B10"/>
    <w:rsid w:val="0015157C"/>
    <w:rsid w:val="00152352"/>
    <w:rsid w:val="00156CE0"/>
    <w:rsid w:val="00160F40"/>
    <w:rsid w:val="00163844"/>
    <w:rsid w:val="00163E62"/>
    <w:rsid w:val="0016554E"/>
    <w:rsid w:val="00166FAC"/>
    <w:rsid w:val="00167002"/>
    <w:rsid w:val="0017168A"/>
    <w:rsid w:val="00172724"/>
    <w:rsid w:val="00173127"/>
    <w:rsid w:val="0017517B"/>
    <w:rsid w:val="00175AEC"/>
    <w:rsid w:val="0017611C"/>
    <w:rsid w:val="001764D6"/>
    <w:rsid w:val="00185639"/>
    <w:rsid w:val="0018571E"/>
    <w:rsid w:val="00191B33"/>
    <w:rsid w:val="001924B9"/>
    <w:rsid w:val="001934FA"/>
    <w:rsid w:val="00195978"/>
    <w:rsid w:val="00195E9E"/>
    <w:rsid w:val="001A01DA"/>
    <w:rsid w:val="001A17A9"/>
    <w:rsid w:val="001A5FB5"/>
    <w:rsid w:val="001A6618"/>
    <w:rsid w:val="001B0274"/>
    <w:rsid w:val="001B1899"/>
    <w:rsid w:val="001B4D2D"/>
    <w:rsid w:val="001B5D56"/>
    <w:rsid w:val="001B7AC5"/>
    <w:rsid w:val="001C313D"/>
    <w:rsid w:val="001C3411"/>
    <w:rsid w:val="001C43CD"/>
    <w:rsid w:val="001C5AFA"/>
    <w:rsid w:val="001C73AD"/>
    <w:rsid w:val="001D04CD"/>
    <w:rsid w:val="001D1925"/>
    <w:rsid w:val="001D1DB2"/>
    <w:rsid w:val="001D22A8"/>
    <w:rsid w:val="001E11BC"/>
    <w:rsid w:val="001E1691"/>
    <w:rsid w:val="001E2720"/>
    <w:rsid w:val="001E5299"/>
    <w:rsid w:val="001E64A0"/>
    <w:rsid w:val="001F092F"/>
    <w:rsid w:val="001F1F78"/>
    <w:rsid w:val="001F781A"/>
    <w:rsid w:val="00201338"/>
    <w:rsid w:val="002030E3"/>
    <w:rsid w:val="002030EA"/>
    <w:rsid w:val="00204B13"/>
    <w:rsid w:val="00205337"/>
    <w:rsid w:val="00210DD5"/>
    <w:rsid w:val="0021146F"/>
    <w:rsid w:val="00211679"/>
    <w:rsid w:val="00212037"/>
    <w:rsid w:val="00212479"/>
    <w:rsid w:val="00213912"/>
    <w:rsid w:val="002152D6"/>
    <w:rsid w:val="00217D87"/>
    <w:rsid w:val="00222D7E"/>
    <w:rsid w:val="0022673E"/>
    <w:rsid w:val="00230820"/>
    <w:rsid w:val="002313F4"/>
    <w:rsid w:val="00231CBF"/>
    <w:rsid w:val="002325B9"/>
    <w:rsid w:val="00232C07"/>
    <w:rsid w:val="00232F78"/>
    <w:rsid w:val="00233607"/>
    <w:rsid w:val="002367FE"/>
    <w:rsid w:val="00236B2C"/>
    <w:rsid w:val="0023773A"/>
    <w:rsid w:val="00237BE7"/>
    <w:rsid w:val="00240104"/>
    <w:rsid w:val="002409EC"/>
    <w:rsid w:val="002409F1"/>
    <w:rsid w:val="00242B14"/>
    <w:rsid w:val="002442AE"/>
    <w:rsid w:val="00244AFE"/>
    <w:rsid w:val="00245228"/>
    <w:rsid w:val="00250C4C"/>
    <w:rsid w:val="00250D40"/>
    <w:rsid w:val="00253C12"/>
    <w:rsid w:val="00254DB2"/>
    <w:rsid w:val="00255B5F"/>
    <w:rsid w:val="00257E90"/>
    <w:rsid w:val="00257FA3"/>
    <w:rsid w:val="002607E8"/>
    <w:rsid w:val="002625FF"/>
    <w:rsid w:val="0026477D"/>
    <w:rsid w:val="00264DDF"/>
    <w:rsid w:val="0026663A"/>
    <w:rsid w:val="002705E2"/>
    <w:rsid w:val="00270E34"/>
    <w:rsid w:val="00271027"/>
    <w:rsid w:val="00271052"/>
    <w:rsid w:val="00271708"/>
    <w:rsid w:val="00271816"/>
    <w:rsid w:val="00271D28"/>
    <w:rsid w:val="0028047C"/>
    <w:rsid w:val="00280FD7"/>
    <w:rsid w:val="00282C67"/>
    <w:rsid w:val="00283378"/>
    <w:rsid w:val="00286180"/>
    <w:rsid w:val="002900B1"/>
    <w:rsid w:val="0029046C"/>
    <w:rsid w:val="0029051F"/>
    <w:rsid w:val="00291595"/>
    <w:rsid w:val="002927FF"/>
    <w:rsid w:val="002931DD"/>
    <w:rsid w:val="002938EE"/>
    <w:rsid w:val="00294410"/>
    <w:rsid w:val="002946DA"/>
    <w:rsid w:val="00294F03"/>
    <w:rsid w:val="0029697F"/>
    <w:rsid w:val="002A016A"/>
    <w:rsid w:val="002A4809"/>
    <w:rsid w:val="002A5330"/>
    <w:rsid w:val="002B04FA"/>
    <w:rsid w:val="002B0C9C"/>
    <w:rsid w:val="002B14A4"/>
    <w:rsid w:val="002B153D"/>
    <w:rsid w:val="002B35BB"/>
    <w:rsid w:val="002B4244"/>
    <w:rsid w:val="002B4BF3"/>
    <w:rsid w:val="002C0035"/>
    <w:rsid w:val="002C18DA"/>
    <w:rsid w:val="002C1C98"/>
    <w:rsid w:val="002C3DF6"/>
    <w:rsid w:val="002C4AE9"/>
    <w:rsid w:val="002C61EE"/>
    <w:rsid w:val="002C636F"/>
    <w:rsid w:val="002C7548"/>
    <w:rsid w:val="002D17D4"/>
    <w:rsid w:val="002D2174"/>
    <w:rsid w:val="002D30C3"/>
    <w:rsid w:val="002D355C"/>
    <w:rsid w:val="002D4A3B"/>
    <w:rsid w:val="002D515D"/>
    <w:rsid w:val="002D5715"/>
    <w:rsid w:val="002D7250"/>
    <w:rsid w:val="002D7CC2"/>
    <w:rsid w:val="002E0444"/>
    <w:rsid w:val="002E264C"/>
    <w:rsid w:val="002E32AA"/>
    <w:rsid w:val="002E4ACF"/>
    <w:rsid w:val="002F25A6"/>
    <w:rsid w:val="002F434B"/>
    <w:rsid w:val="002F4455"/>
    <w:rsid w:val="00302648"/>
    <w:rsid w:val="00302BCA"/>
    <w:rsid w:val="00302C20"/>
    <w:rsid w:val="00302D42"/>
    <w:rsid w:val="00302D7C"/>
    <w:rsid w:val="00302DA9"/>
    <w:rsid w:val="003031F9"/>
    <w:rsid w:val="00304B0E"/>
    <w:rsid w:val="00304CAA"/>
    <w:rsid w:val="00307211"/>
    <w:rsid w:val="0031016D"/>
    <w:rsid w:val="00310FB2"/>
    <w:rsid w:val="0031298A"/>
    <w:rsid w:val="00313D71"/>
    <w:rsid w:val="00315888"/>
    <w:rsid w:val="00316B76"/>
    <w:rsid w:val="0031797F"/>
    <w:rsid w:val="003211DA"/>
    <w:rsid w:val="00321734"/>
    <w:rsid w:val="003222D5"/>
    <w:rsid w:val="00323260"/>
    <w:rsid w:val="003248E1"/>
    <w:rsid w:val="00324E45"/>
    <w:rsid w:val="00325A8C"/>
    <w:rsid w:val="00325FF8"/>
    <w:rsid w:val="00326978"/>
    <w:rsid w:val="00326D0F"/>
    <w:rsid w:val="0032789C"/>
    <w:rsid w:val="0033029E"/>
    <w:rsid w:val="00330938"/>
    <w:rsid w:val="00332441"/>
    <w:rsid w:val="00332A74"/>
    <w:rsid w:val="00333531"/>
    <w:rsid w:val="0033404F"/>
    <w:rsid w:val="00334A29"/>
    <w:rsid w:val="00334C83"/>
    <w:rsid w:val="00335A9D"/>
    <w:rsid w:val="003368D5"/>
    <w:rsid w:val="00337610"/>
    <w:rsid w:val="0033763A"/>
    <w:rsid w:val="0034067E"/>
    <w:rsid w:val="00340B5C"/>
    <w:rsid w:val="003422D6"/>
    <w:rsid w:val="00342D70"/>
    <w:rsid w:val="00343705"/>
    <w:rsid w:val="00346051"/>
    <w:rsid w:val="00346C53"/>
    <w:rsid w:val="00346FFD"/>
    <w:rsid w:val="00347107"/>
    <w:rsid w:val="00347715"/>
    <w:rsid w:val="00350A45"/>
    <w:rsid w:val="0035190C"/>
    <w:rsid w:val="00351F7C"/>
    <w:rsid w:val="003537B5"/>
    <w:rsid w:val="003556CC"/>
    <w:rsid w:val="00355E38"/>
    <w:rsid w:val="00356010"/>
    <w:rsid w:val="00360B5A"/>
    <w:rsid w:val="00363059"/>
    <w:rsid w:val="00363B06"/>
    <w:rsid w:val="0036404F"/>
    <w:rsid w:val="003641D1"/>
    <w:rsid w:val="003649F7"/>
    <w:rsid w:val="00366FFD"/>
    <w:rsid w:val="00367299"/>
    <w:rsid w:val="00370131"/>
    <w:rsid w:val="00370621"/>
    <w:rsid w:val="00370C6F"/>
    <w:rsid w:val="00371BA3"/>
    <w:rsid w:val="00371FB4"/>
    <w:rsid w:val="0037413B"/>
    <w:rsid w:val="00376991"/>
    <w:rsid w:val="00377A25"/>
    <w:rsid w:val="00377C47"/>
    <w:rsid w:val="003802D3"/>
    <w:rsid w:val="00381299"/>
    <w:rsid w:val="00385399"/>
    <w:rsid w:val="003858F5"/>
    <w:rsid w:val="00387835"/>
    <w:rsid w:val="00387CAE"/>
    <w:rsid w:val="00387EEC"/>
    <w:rsid w:val="00390F03"/>
    <w:rsid w:val="00390F98"/>
    <w:rsid w:val="00392B21"/>
    <w:rsid w:val="00393298"/>
    <w:rsid w:val="00395F54"/>
    <w:rsid w:val="003969C1"/>
    <w:rsid w:val="00396B86"/>
    <w:rsid w:val="0039730F"/>
    <w:rsid w:val="0039785A"/>
    <w:rsid w:val="003A1871"/>
    <w:rsid w:val="003A19EF"/>
    <w:rsid w:val="003A3706"/>
    <w:rsid w:val="003A3DFA"/>
    <w:rsid w:val="003A46E8"/>
    <w:rsid w:val="003A5090"/>
    <w:rsid w:val="003B0B2C"/>
    <w:rsid w:val="003B0FDF"/>
    <w:rsid w:val="003B1A9E"/>
    <w:rsid w:val="003B30CD"/>
    <w:rsid w:val="003B4DEA"/>
    <w:rsid w:val="003B52E3"/>
    <w:rsid w:val="003B57A9"/>
    <w:rsid w:val="003B76B2"/>
    <w:rsid w:val="003C2620"/>
    <w:rsid w:val="003C3C87"/>
    <w:rsid w:val="003C3DAF"/>
    <w:rsid w:val="003C5869"/>
    <w:rsid w:val="003C65C8"/>
    <w:rsid w:val="003C6E91"/>
    <w:rsid w:val="003C71CD"/>
    <w:rsid w:val="003C7701"/>
    <w:rsid w:val="003C7880"/>
    <w:rsid w:val="003D009C"/>
    <w:rsid w:val="003D03AB"/>
    <w:rsid w:val="003D0B37"/>
    <w:rsid w:val="003D167D"/>
    <w:rsid w:val="003D1915"/>
    <w:rsid w:val="003D1BC8"/>
    <w:rsid w:val="003D245B"/>
    <w:rsid w:val="003D523B"/>
    <w:rsid w:val="003D6592"/>
    <w:rsid w:val="003D666B"/>
    <w:rsid w:val="003D6A72"/>
    <w:rsid w:val="003E1317"/>
    <w:rsid w:val="003E1CB9"/>
    <w:rsid w:val="003E459B"/>
    <w:rsid w:val="003E54E1"/>
    <w:rsid w:val="003E5632"/>
    <w:rsid w:val="003E688B"/>
    <w:rsid w:val="003E771F"/>
    <w:rsid w:val="003E7E84"/>
    <w:rsid w:val="003F0498"/>
    <w:rsid w:val="003F1D07"/>
    <w:rsid w:val="003F2684"/>
    <w:rsid w:val="003F2F89"/>
    <w:rsid w:val="003F465E"/>
    <w:rsid w:val="003F4773"/>
    <w:rsid w:val="003F6B78"/>
    <w:rsid w:val="003F7645"/>
    <w:rsid w:val="004003D7"/>
    <w:rsid w:val="00401700"/>
    <w:rsid w:val="00402549"/>
    <w:rsid w:val="0040350C"/>
    <w:rsid w:val="004104C3"/>
    <w:rsid w:val="00411C81"/>
    <w:rsid w:val="00412312"/>
    <w:rsid w:val="004138D9"/>
    <w:rsid w:val="00413A64"/>
    <w:rsid w:val="004140BE"/>
    <w:rsid w:val="004147DF"/>
    <w:rsid w:val="0041492D"/>
    <w:rsid w:val="0041540F"/>
    <w:rsid w:val="004208E7"/>
    <w:rsid w:val="00423648"/>
    <w:rsid w:val="004243D5"/>
    <w:rsid w:val="00424AF3"/>
    <w:rsid w:val="00426698"/>
    <w:rsid w:val="00427029"/>
    <w:rsid w:val="0042738C"/>
    <w:rsid w:val="00431B10"/>
    <w:rsid w:val="00432206"/>
    <w:rsid w:val="00433A73"/>
    <w:rsid w:val="004341EC"/>
    <w:rsid w:val="00435AEE"/>
    <w:rsid w:val="004362F2"/>
    <w:rsid w:val="00437E9F"/>
    <w:rsid w:val="004406B4"/>
    <w:rsid w:val="004427F1"/>
    <w:rsid w:val="00444230"/>
    <w:rsid w:val="004446A8"/>
    <w:rsid w:val="00445471"/>
    <w:rsid w:val="004465B7"/>
    <w:rsid w:val="0045061F"/>
    <w:rsid w:val="0045208C"/>
    <w:rsid w:val="00454243"/>
    <w:rsid w:val="00455750"/>
    <w:rsid w:val="0045693D"/>
    <w:rsid w:val="00456AE4"/>
    <w:rsid w:val="0045704F"/>
    <w:rsid w:val="0045799F"/>
    <w:rsid w:val="00462404"/>
    <w:rsid w:val="00463EF5"/>
    <w:rsid w:val="004642D6"/>
    <w:rsid w:val="00466231"/>
    <w:rsid w:val="0047103D"/>
    <w:rsid w:val="00471C95"/>
    <w:rsid w:val="00472367"/>
    <w:rsid w:val="00472549"/>
    <w:rsid w:val="00472A66"/>
    <w:rsid w:val="0047396D"/>
    <w:rsid w:val="00476D4D"/>
    <w:rsid w:val="004805FB"/>
    <w:rsid w:val="004811AA"/>
    <w:rsid w:val="004811BF"/>
    <w:rsid w:val="00481374"/>
    <w:rsid w:val="0048145E"/>
    <w:rsid w:val="00484BEB"/>
    <w:rsid w:val="00484C67"/>
    <w:rsid w:val="00485E98"/>
    <w:rsid w:val="004909D7"/>
    <w:rsid w:val="004913B3"/>
    <w:rsid w:val="00492980"/>
    <w:rsid w:val="00495FFA"/>
    <w:rsid w:val="00496207"/>
    <w:rsid w:val="004965CE"/>
    <w:rsid w:val="0049666F"/>
    <w:rsid w:val="004976C4"/>
    <w:rsid w:val="004A1F29"/>
    <w:rsid w:val="004A56D9"/>
    <w:rsid w:val="004A5836"/>
    <w:rsid w:val="004B0D35"/>
    <w:rsid w:val="004B0D54"/>
    <w:rsid w:val="004B2640"/>
    <w:rsid w:val="004B5566"/>
    <w:rsid w:val="004B5836"/>
    <w:rsid w:val="004B665F"/>
    <w:rsid w:val="004B7FD8"/>
    <w:rsid w:val="004C14D5"/>
    <w:rsid w:val="004C2234"/>
    <w:rsid w:val="004C259E"/>
    <w:rsid w:val="004C36ED"/>
    <w:rsid w:val="004C43B0"/>
    <w:rsid w:val="004C4B39"/>
    <w:rsid w:val="004C512B"/>
    <w:rsid w:val="004C5F7C"/>
    <w:rsid w:val="004C7011"/>
    <w:rsid w:val="004D0AF8"/>
    <w:rsid w:val="004D0DE0"/>
    <w:rsid w:val="004D1ADA"/>
    <w:rsid w:val="004D3D09"/>
    <w:rsid w:val="004D469B"/>
    <w:rsid w:val="004D6440"/>
    <w:rsid w:val="004D6907"/>
    <w:rsid w:val="004D77A4"/>
    <w:rsid w:val="004D7C09"/>
    <w:rsid w:val="004E0204"/>
    <w:rsid w:val="004E095B"/>
    <w:rsid w:val="004E39A5"/>
    <w:rsid w:val="004E4432"/>
    <w:rsid w:val="004E4C57"/>
    <w:rsid w:val="004E5C5D"/>
    <w:rsid w:val="004E5FAC"/>
    <w:rsid w:val="004F1A7D"/>
    <w:rsid w:val="004F2F69"/>
    <w:rsid w:val="004F45E0"/>
    <w:rsid w:val="004F49C8"/>
    <w:rsid w:val="004F5397"/>
    <w:rsid w:val="004F64AD"/>
    <w:rsid w:val="004F6B56"/>
    <w:rsid w:val="004F70B1"/>
    <w:rsid w:val="004F70F6"/>
    <w:rsid w:val="004F762B"/>
    <w:rsid w:val="004F7A08"/>
    <w:rsid w:val="0050229E"/>
    <w:rsid w:val="005027AB"/>
    <w:rsid w:val="00502B07"/>
    <w:rsid w:val="00503CA8"/>
    <w:rsid w:val="005052FA"/>
    <w:rsid w:val="0050724A"/>
    <w:rsid w:val="00507768"/>
    <w:rsid w:val="00507C90"/>
    <w:rsid w:val="0051121F"/>
    <w:rsid w:val="005128B0"/>
    <w:rsid w:val="0051501D"/>
    <w:rsid w:val="005151FB"/>
    <w:rsid w:val="005154EB"/>
    <w:rsid w:val="00516235"/>
    <w:rsid w:val="00517915"/>
    <w:rsid w:val="00522485"/>
    <w:rsid w:val="00522C05"/>
    <w:rsid w:val="005252E2"/>
    <w:rsid w:val="00526B0E"/>
    <w:rsid w:val="0053148D"/>
    <w:rsid w:val="0053541D"/>
    <w:rsid w:val="00535D39"/>
    <w:rsid w:val="0053704D"/>
    <w:rsid w:val="00541164"/>
    <w:rsid w:val="005413C7"/>
    <w:rsid w:val="00542741"/>
    <w:rsid w:val="00542AFB"/>
    <w:rsid w:val="0054301F"/>
    <w:rsid w:val="005445B0"/>
    <w:rsid w:val="00550A6D"/>
    <w:rsid w:val="005510F6"/>
    <w:rsid w:val="005527FF"/>
    <w:rsid w:val="00553983"/>
    <w:rsid w:val="0055415E"/>
    <w:rsid w:val="0055487F"/>
    <w:rsid w:val="00554F6C"/>
    <w:rsid w:val="00556A90"/>
    <w:rsid w:val="00563239"/>
    <w:rsid w:val="00565069"/>
    <w:rsid w:val="005660CE"/>
    <w:rsid w:val="005662D3"/>
    <w:rsid w:val="00566627"/>
    <w:rsid w:val="00567142"/>
    <w:rsid w:val="005674EB"/>
    <w:rsid w:val="005675D1"/>
    <w:rsid w:val="0057061B"/>
    <w:rsid w:val="00572425"/>
    <w:rsid w:val="00572F78"/>
    <w:rsid w:val="00575BCE"/>
    <w:rsid w:val="00580661"/>
    <w:rsid w:val="00580672"/>
    <w:rsid w:val="005815CD"/>
    <w:rsid w:val="0058207C"/>
    <w:rsid w:val="00583F9E"/>
    <w:rsid w:val="005842E0"/>
    <w:rsid w:val="005844CA"/>
    <w:rsid w:val="00590750"/>
    <w:rsid w:val="005914A0"/>
    <w:rsid w:val="00593E0F"/>
    <w:rsid w:val="005950D8"/>
    <w:rsid w:val="005964B4"/>
    <w:rsid w:val="00597FF4"/>
    <w:rsid w:val="005A3362"/>
    <w:rsid w:val="005A4256"/>
    <w:rsid w:val="005A427E"/>
    <w:rsid w:val="005A4668"/>
    <w:rsid w:val="005A4B00"/>
    <w:rsid w:val="005A61A7"/>
    <w:rsid w:val="005A756F"/>
    <w:rsid w:val="005A7D60"/>
    <w:rsid w:val="005B0556"/>
    <w:rsid w:val="005B09CB"/>
    <w:rsid w:val="005B1B59"/>
    <w:rsid w:val="005B39B4"/>
    <w:rsid w:val="005B3CFB"/>
    <w:rsid w:val="005B4358"/>
    <w:rsid w:val="005B4FE0"/>
    <w:rsid w:val="005B5548"/>
    <w:rsid w:val="005B6CDC"/>
    <w:rsid w:val="005B7C24"/>
    <w:rsid w:val="005C013B"/>
    <w:rsid w:val="005C246F"/>
    <w:rsid w:val="005C2853"/>
    <w:rsid w:val="005C37D6"/>
    <w:rsid w:val="005C3821"/>
    <w:rsid w:val="005C430D"/>
    <w:rsid w:val="005C4FEF"/>
    <w:rsid w:val="005C51A3"/>
    <w:rsid w:val="005C550B"/>
    <w:rsid w:val="005C6579"/>
    <w:rsid w:val="005C748C"/>
    <w:rsid w:val="005C76AF"/>
    <w:rsid w:val="005D0579"/>
    <w:rsid w:val="005D0AD0"/>
    <w:rsid w:val="005D1BEF"/>
    <w:rsid w:val="005D31DD"/>
    <w:rsid w:val="005D325B"/>
    <w:rsid w:val="005D39AA"/>
    <w:rsid w:val="005D4A38"/>
    <w:rsid w:val="005D6CD8"/>
    <w:rsid w:val="005E05BD"/>
    <w:rsid w:val="005E19EE"/>
    <w:rsid w:val="005E3A63"/>
    <w:rsid w:val="005E4CD5"/>
    <w:rsid w:val="005E699F"/>
    <w:rsid w:val="005E7FB1"/>
    <w:rsid w:val="005F16CD"/>
    <w:rsid w:val="005F2071"/>
    <w:rsid w:val="005F2129"/>
    <w:rsid w:val="005F51F8"/>
    <w:rsid w:val="005F5B1A"/>
    <w:rsid w:val="005F62E2"/>
    <w:rsid w:val="005F6A5B"/>
    <w:rsid w:val="005F7389"/>
    <w:rsid w:val="005F7DDD"/>
    <w:rsid w:val="005F7ED7"/>
    <w:rsid w:val="00600B87"/>
    <w:rsid w:val="00601EF3"/>
    <w:rsid w:val="00602B21"/>
    <w:rsid w:val="00602E38"/>
    <w:rsid w:val="00605DA3"/>
    <w:rsid w:val="0060755C"/>
    <w:rsid w:val="0060798E"/>
    <w:rsid w:val="006107BC"/>
    <w:rsid w:val="006122CD"/>
    <w:rsid w:val="00612F38"/>
    <w:rsid w:val="006135A7"/>
    <w:rsid w:val="006142F4"/>
    <w:rsid w:val="00616848"/>
    <w:rsid w:val="00617B6F"/>
    <w:rsid w:val="00620140"/>
    <w:rsid w:val="0062153E"/>
    <w:rsid w:val="006226E5"/>
    <w:rsid w:val="0062286D"/>
    <w:rsid w:val="00622957"/>
    <w:rsid w:val="00622C6B"/>
    <w:rsid w:val="00624381"/>
    <w:rsid w:val="006243D8"/>
    <w:rsid w:val="00625109"/>
    <w:rsid w:val="00625F18"/>
    <w:rsid w:val="0063011B"/>
    <w:rsid w:val="0063243D"/>
    <w:rsid w:val="006336E5"/>
    <w:rsid w:val="0063469F"/>
    <w:rsid w:val="00637A3A"/>
    <w:rsid w:val="006402C1"/>
    <w:rsid w:val="00641CE0"/>
    <w:rsid w:val="006434CB"/>
    <w:rsid w:val="00643606"/>
    <w:rsid w:val="006459A1"/>
    <w:rsid w:val="00645A2C"/>
    <w:rsid w:val="00645A48"/>
    <w:rsid w:val="00645D02"/>
    <w:rsid w:val="0064646D"/>
    <w:rsid w:val="00647548"/>
    <w:rsid w:val="006475BC"/>
    <w:rsid w:val="0065072A"/>
    <w:rsid w:val="0065460C"/>
    <w:rsid w:val="00654F2B"/>
    <w:rsid w:val="0065505A"/>
    <w:rsid w:val="0065577E"/>
    <w:rsid w:val="00655981"/>
    <w:rsid w:val="0065629F"/>
    <w:rsid w:val="006566F0"/>
    <w:rsid w:val="00657803"/>
    <w:rsid w:val="0066080C"/>
    <w:rsid w:val="00664117"/>
    <w:rsid w:val="006671B5"/>
    <w:rsid w:val="00667CAF"/>
    <w:rsid w:val="00667E9E"/>
    <w:rsid w:val="006712D4"/>
    <w:rsid w:val="0067148D"/>
    <w:rsid w:val="006718F7"/>
    <w:rsid w:val="00674A47"/>
    <w:rsid w:val="006758EA"/>
    <w:rsid w:val="006770CE"/>
    <w:rsid w:val="0068334E"/>
    <w:rsid w:val="006839AE"/>
    <w:rsid w:val="006909C2"/>
    <w:rsid w:val="006931F5"/>
    <w:rsid w:val="00694536"/>
    <w:rsid w:val="00694FD0"/>
    <w:rsid w:val="006959FD"/>
    <w:rsid w:val="00697787"/>
    <w:rsid w:val="00697E33"/>
    <w:rsid w:val="006A13DD"/>
    <w:rsid w:val="006A1D7A"/>
    <w:rsid w:val="006A2C40"/>
    <w:rsid w:val="006A3018"/>
    <w:rsid w:val="006A5A25"/>
    <w:rsid w:val="006B0C0E"/>
    <w:rsid w:val="006B1695"/>
    <w:rsid w:val="006B272F"/>
    <w:rsid w:val="006B5137"/>
    <w:rsid w:val="006B573A"/>
    <w:rsid w:val="006B576A"/>
    <w:rsid w:val="006B71B7"/>
    <w:rsid w:val="006B7A10"/>
    <w:rsid w:val="006B7B32"/>
    <w:rsid w:val="006C2F7F"/>
    <w:rsid w:val="006C343C"/>
    <w:rsid w:val="006C3F9D"/>
    <w:rsid w:val="006C48CF"/>
    <w:rsid w:val="006C4CA0"/>
    <w:rsid w:val="006C6349"/>
    <w:rsid w:val="006C74DF"/>
    <w:rsid w:val="006D0A0C"/>
    <w:rsid w:val="006D0E92"/>
    <w:rsid w:val="006D10A8"/>
    <w:rsid w:val="006D1BFC"/>
    <w:rsid w:val="006D2834"/>
    <w:rsid w:val="006D5972"/>
    <w:rsid w:val="006D62EF"/>
    <w:rsid w:val="006D6B7C"/>
    <w:rsid w:val="006E287F"/>
    <w:rsid w:val="006E3A87"/>
    <w:rsid w:val="006E3AC5"/>
    <w:rsid w:val="006E3C8D"/>
    <w:rsid w:val="006E3EBD"/>
    <w:rsid w:val="006E3F95"/>
    <w:rsid w:val="006E40A2"/>
    <w:rsid w:val="006E4B40"/>
    <w:rsid w:val="006E5363"/>
    <w:rsid w:val="006E7752"/>
    <w:rsid w:val="006F0242"/>
    <w:rsid w:val="006F22C3"/>
    <w:rsid w:val="006F2ACD"/>
    <w:rsid w:val="006F3B0F"/>
    <w:rsid w:val="006F410C"/>
    <w:rsid w:val="006F48A6"/>
    <w:rsid w:val="006F50F7"/>
    <w:rsid w:val="006F5179"/>
    <w:rsid w:val="006F52E5"/>
    <w:rsid w:val="006F6720"/>
    <w:rsid w:val="00700445"/>
    <w:rsid w:val="0070055D"/>
    <w:rsid w:val="00700AB9"/>
    <w:rsid w:val="0070123F"/>
    <w:rsid w:val="00703A5E"/>
    <w:rsid w:val="007040E6"/>
    <w:rsid w:val="007045DE"/>
    <w:rsid w:val="00704E90"/>
    <w:rsid w:val="00706030"/>
    <w:rsid w:val="00706110"/>
    <w:rsid w:val="00707C49"/>
    <w:rsid w:val="00707FC3"/>
    <w:rsid w:val="00714E77"/>
    <w:rsid w:val="00717472"/>
    <w:rsid w:val="00720507"/>
    <w:rsid w:val="00720518"/>
    <w:rsid w:val="00720B9B"/>
    <w:rsid w:val="00721C73"/>
    <w:rsid w:val="0072274E"/>
    <w:rsid w:val="0072279E"/>
    <w:rsid w:val="00723030"/>
    <w:rsid w:val="00724CC8"/>
    <w:rsid w:val="0072505B"/>
    <w:rsid w:val="007254C4"/>
    <w:rsid w:val="007254E3"/>
    <w:rsid w:val="00725ADE"/>
    <w:rsid w:val="00726D6A"/>
    <w:rsid w:val="00727406"/>
    <w:rsid w:val="00727F65"/>
    <w:rsid w:val="007307B1"/>
    <w:rsid w:val="007314F6"/>
    <w:rsid w:val="00733A0B"/>
    <w:rsid w:val="00733BFB"/>
    <w:rsid w:val="007345BE"/>
    <w:rsid w:val="00736336"/>
    <w:rsid w:val="00736CA0"/>
    <w:rsid w:val="00737267"/>
    <w:rsid w:val="00737AB3"/>
    <w:rsid w:val="00740179"/>
    <w:rsid w:val="00741A45"/>
    <w:rsid w:val="00742328"/>
    <w:rsid w:val="00742D43"/>
    <w:rsid w:val="00742D7C"/>
    <w:rsid w:val="00742F91"/>
    <w:rsid w:val="00746597"/>
    <w:rsid w:val="00750C6B"/>
    <w:rsid w:val="00756340"/>
    <w:rsid w:val="007569B2"/>
    <w:rsid w:val="00757C9A"/>
    <w:rsid w:val="00762179"/>
    <w:rsid w:val="00763B0C"/>
    <w:rsid w:val="007646C7"/>
    <w:rsid w:val="00767A92"/>
    <w:rsid w:val="00767E0E"/>
    <w:rsid w:val="00771D59"/>
    <w:rsid w:val="0077236E"/>
    <w:rsid w:val="00772BF7"/>
    <w:rsid w:val="00773DF7"/>
    <w:rsid w:val="00775633"/>
    <w:rsid w:val="00777868"/>
    <w:rsid w:val="00777CDD"/>
    <w:rsid w:val="00781064"/>
    <w:rsid w:val="00784796"/>
    <w:rsid w:val="0078575D"/>
    <w:rsid w:val="0078677B"/>
    <w:rsid w:val="0078762D"/>
    <w:rsid w:val="007910FA"/>
    <w:rsid w:val="00791312"/>
    <w:rsid w:val="00791628"/>
    <w:rsid w:val="00792A8C"/>
    <w:rsid w:val="007938F4"/>
    <w:rsid w:val="00794265"/>
    <w:rsid w:val="00794F7D"/>
    <w:rsid w:val="00795086"/>
    <w:rsid w:val="00795CEB"/>
    <w:rsid w:val="007A2EB3"/>
    <w:rsid w:val="007A3B3D"/>
    <w:rsid w:val="007A412B"/>
    <w:rsid w:val="007A46A4"/>
    <w:rsid w:val="007A4EF2"/>
    <w:rsid w:val="007A6911"/>
    <w:rsid w:val="007A6DF5"/>
    <w:rsid w:val="007B24F4"/>
    <w:rsid w:val="007B35D3"/>
    <w:rsid w:val="007B5B69"/>
    <w:rsid w:val="007B67FA"/>
    <w:rsid w:val="007C10BD"/>
    <w:rsid w:val="007C11F7"/>
    <w:rsid w:val="007C242B"/>
    <w:rsid w:val="007C35C2"/>
    <w:rsid w:val="007C4B87"/>
    <w:rsid w:val="007C50A2"/>
    <w:rsid w:val="007C6B3D"/>
    <w:rsid w:val="007C6D44"/>
    <w:rsid w:val="007C7E0D"/>
    <w:rsid w:val="007D00C9"/>
    <w:rsid w:val="007D0959"/>
    <w:rsid w:val="007D254E"/>
    <w:rsid w:val="007D2F63"/>
    <w:rsid w:val="007D3CFC"/>
    <w:rsid w:val="007D56A1"/>
    <w:rsid w:val="007D5E08"/>
    <w:rsid w:val="007D6C4E"/>
    <w:rsid w:val="007E0BB8"/>
    <w:rsid w:val="007E1D5B"/>
    <w:rsid w:val="007E3157"/>
    <w:rsid w:val="007E503D"/>
    <w:rsid w:val="007E5B2C"/>
    <w:rsid w:val="007E637F"/>
    <w:rsid w:val="007E6437"/>
    <w:rsid w:val="007E7B35"/>
    <w:rsid w:val="007F2C4E"/>
    <w:rsid w:val="007F53B7"/>
    <w:rsid w:val="007F57CF"/>
    <w:rsid w:val="008006CA"/>
    <w:rsid w:val="0080138A"/>
    <w:rsid w:val="00802907"/>
    <w:rsid w:val="00804A0A"/>
    <w:rsid w:val="00805009"/>
    <w:rsid w:val="008052DA"/>
    <w:rsid w:val="00805B53"/>
    <w:rsid w:val="00807A68"/>
    <w:rsid w:val="0081072F"/>
    <w:rsid w:val="00810898"/>
    <w:rsid w:val="008113F9"/>
    <w:rsid w:val="00813651"/>
    <w:rsid w:val="00813FB6"/>
    <w:rsid w:val="00824A3A"/>
    <w:rsid w:val="0082531E"/>
    <w:rsid w:val="008259C0"/>
    <w:rsid w:val="0082690C"/>
    <w:rsid w:val="008269F3"/>
    <w:rsid w:val="00827D3C"/>
    <w:rsid w:val="0083118A"/>
    <w:rsid w:val="00831C31"/>
    <w:rsid w:val="0083353A"/>
    <w:rsid w:val="0083367C"/>
    <w:rsid w:val="00834B43"/>
    <w:rsid w:val="00834C27"/>
    <w:rsid w:val="00835055"/>
    <w:rsid w:val="00835198"/>
    <w:rsid w:val="0083598E"/>
    <w:rsid w:val="00835B00"/>
    <w:rsid w:val="00835D1B"/>
    <w:rsid w:val="00836BBC"/>
    <w:rsid w:val="00841852"/>
    <w:rsid w:val="00842A4B"/>
    <w:rsid w:val="00842AAB"/>
    <w:rsid w:val="00842EFC"/>
    <w:rsid w:val="00843BDF"/>
    <w:rsid w:val="008443FA"/>
    <w:rsid w:val="00844553"/>
    <w:rsid w:val="008452A8"/>
    <w:rsid w:val="00847520"/>
    <w:rsid w:val="008507F7"/>
    <w:rsid w:val="008514A7"/>
    <w:rsid w:val="00851712"/>
    <w:rsid w:val="00851938"/>
    <w:rsid w:val="00851FBF"/>
    <w:rsid w:val="00856AAA"/>
    <w:rsid w:val="00856F59"/>
    <w:rsid w:val="0085745E"/>
    <w:rsid w:val="0086115E"/>
    <w:rsid w:val="00861FC1"/>
    <w:rsid w:val="00862663"/>
    <w:rsid w:val="00862F4C"/>
    <w:rsid w:val="00862F66"/>
    <w:rsid w:val="00863235"/>
    <w:rsid w:val="00863D81"/>
    <w:rsid w:val="008648AB"/>
    <w:rsid w:val="00867040"/>
    <w:rsid w:val="008710AE"/>
    <w:rsid w:val="00871235"/>
    <w:rsid w:val="00872566"/>
    <w:rsid w:val="0087274A"/>
    <w:rsid w:val="00872FE0"/>
    <w:rsid w:val="008731D7"/>
    <w:rsid w:val="008732F1"/>
    <w:rsid w:val="00873D94"/>
    <w:rsid w:val="00874347"/>
    <w:rsid w:val="00874956"/>
    <w:rsid w:val="008752D3"/>
    <w:rsid w:val="0087544D"/>
    <w:rsid w:val="008766BE"/>
    <w:rsid w:val="0087701A"/>
    <w:rsid w:val="00877DA1"/>
    <w:rsid w:val="008800A2"/>
    <w:rsid w:val="00881783"/>
    <w:rsid w:val="00882F91"/>
    <w:rsid w:val="00883E47"/>
    <w:rsid w:val="00884546"/>
    <w:rsid w:val="0088750A"/>
    <w:rsid w:val="0089109F"/>
    <w:rsid w:val="00891CD6"/>
    <w:rsid w:val="00894E63"/>
    <w:rsid w:val="008965A5"/>
    <w:rsid w:val="008978A5"/>
    <w:rsid w:val="008A1BE6"/>
    <w:rsid w:val="008A45B5"/>
    <w:rsid w:val="008A6AFA"/>
    <w:rsid w:val="008A744A"/>
    <w:rsid w:val="008A7E5E"/>
    <w:rsid w:val="008B02E7"/>
    <w:rsid w:val="008B545D"/>
    <w:rsid w:val="008B5898"/>
    <w:rsid w:val="008B69DF"/>
    <w:rsid w:val="008B6EB3"/>
    <w:rsid w:val="008B6FEE"/>
    <w:rsid w:val="008B771D"/>
    <w:rsid w:val="008C08C3"/>
    <w:rsid w:val="008C1629"/>
    <w:rsid w:val="008C2146"/>
    <w:rsid w:val="008C3259"/>
    <w:rsid w:val="008C336F"/>
    <w:rsid w:val="008C3C24"/>
    <w:rsid w:val="008C3D1E"/>
    <w:rsid w:val="008C45B7"/>
    <w:rsid w:val="008C5F12"/>
    <w:rsid w:val="008C633C"/>
    <w:rsid w:val="008C7A57"/>
    <w:rsid w:val="008D098A"/>
    <w:rsid w:val="008D1A1F"/>
    <w:rsid w:val="008D2481"/>
    <w:rsid w:val="008D388D"/>
    <w:rsid w:val="008D44EA"/>
    <w:rsid w:val="008D5178"/>
    <w:rsid w:val="008D5C35"/>
    <w:rsid w:val="008D7763"/>
    <w:rsid w:val="008D7FB4"/>
    <w:rsid w:val="008E3310"/>
    <w:rsid w:val="008E4C24"/>
    <w:rsid w:val="008E5D9A"/>
    <w:rsid w:val="008E6949"/>
    <w:rsid w:val="008F205E"/>
    <w:rsid w:val="008F35D3"/>
    <w:rsid w:val="008F3BBD"/>
    <w:rsid w:val="008F6EB6"/>
    <w:rsid w:val="008F729E"/>
    <w:rsid w:val="008F7C79"/>
    <w:rsid w:val="00900F94"/>
    <w:rsid w:val="0090229D"/>
    <w:rsid w:val="00902924"/>
    <w:rsid w:val="00902FB0"/>
    <w:rsid w:val="00903D60"/>
    <w:rsid w:val="009042A0"/>
    <w:rsid w:val="00904EC5"/>
    <w:rsid w:val="00907143"/>
    <w:rsid w:val="00910E55"/>
    <w:rsid w:val="00912D39"/>
    <w:rsid w:val="009138DC"/>
    <w:rsid w:val="00914E2A"/>
    <w:rsid w:val="00915FA6"/>
    <w:rsid w:val="00916430"/>
    <w:rsid w:val="009165F7"/>
    <w:rsid w:val="009225C2"/>
    <w:rsid w:val="00923525"/>
    <w:rsid w:val="00924B17"/>
    <w:rsid w:val="00924DC3"/>
    <w:rsid w:val="009258B5"/>
    <w:rsid w:val="00925B3D"/>
    <w:rsid w:val="00925E64"/>
    <w:rsid w:val="0092641D"/>
    <w:rsid w:val="00927E85"/>
    <w:rsid w:val="0093097F"/>
    <w:rsid w:val="00931732"/>
    <w:rsid w:val="00933290"/>
    <w:rsid w:val="0093465D"/>
    <w:rsid w:val="00934703"/>
    <w:rsid w:val="009362E0"/>
    <w:rsid w:val="00937B69"/>
    <w:rsid w:val="00941792"/>
    <w:rsid w:val="009422AA"/>
    <w:rsid w:val="00942AE2"/>
    <w:rsid w:val="00944697"/>
    <w:rsid w:val="00944CB0"/>
    <w:rsid w:val="00945D3C"/>
    <w:rsid w:val="00947D13"/>
    <w:rsid w:val="00950F2E"/>
    <w:rsid w:val="00953ED9"/>
    <w:rsid w:val="00954885"/>
    <w:rsid w:val="00955D24"/>
    <w:rsid w:val="009564AE"/>
    <w:rsid w:val="00960595"/>
    <w:rsid w:val="00962AAA"/>
    <w:rsid w:val="009631D7"/>
    <w:rsid w:val="00963203"/>
    <w:rsid w:val="00963673"/>
    <w:rsid w:val="00964489"/>
    <w:rsid w:val="00964DD6"/>
    <w:rsid w:val="0096533B"/>
    <w:rsid w:val="00965AA4"/>
    <w:rsid w:val="00967774"/>
    <w:rsid w:val="00967815"/>
    <w:rsid w:val="00971573"/>
    <w:rsid w:val="009716F8"/>
    <w:rsid w:val="00972DF0"/>
    <w:rsid w:val="00974A04"/>
    <w:rsid w:val="00974B65"/>
    <w:rsid w:val="00976A91"/>
    <w:rsid w:val="00976B68"/>
    <w:rsid w:val="0097705F"/>
    <w:rsid w:val="00977E59"/>
    <w:rsid w:val="0098182C"/>
    <w:rsid w:val="00981D55"/>
    <w:rsid w:val="009824DB"/>
    <w:rsid w:val="00982F75"/>
    <w:rsid w:val="00983E61"/>
    <w:rsid w:val="0098528E"/>
    <w:rsid w:val="00986553"/>
    <w:rsid w:val="009914A4"/>
    <w:rsid w:val="0099492F"/>
    <w:rsid w:val="00997012"/>
    <w:rsid w:val="009A2E31"/>
    <w:rsid w:val="009A464B"/>
    <w:rsid w:val="009A6059"/>
    <w:rsid w:val="009A6104"/>
    <w:rsid w:val="009B0281"/>
    <w:rsid w:val="009B1700"/>
    <w:rsid w:val="009B2618"/>
    <w:rsid w:val="009B345C"/>
    <w:rsid w:val="009B34E6"/>
    <w:rsid w:val="009B4CF0"/>
    <w:rsid w:val="009B5887"/>
    <w:rsid w:val="009B5A67"/>
    <w:rsid w:val="009B661C"/>
    <w:rsid w:val="009B71C2"/>
    <w:rsid w:val="009C0335"/>
    <w:rsid w:val="009C0803"/>
    <w:rsid w:val="009C0CF7"/>
    <w:rsid w:val="009C30FB"/>
    <w:rsid w:val="009C34C7"/>
    <w:rsid w:val="009C3B21"/>
    <w:rsid w:val="009C4880"/>
    <w:rsid w:val="009C5F15"/>
    <w:rsid w:val="009C60E9"/>
    <w:rsid w:val="009C66BD"/>
    <w:rsid w:val="009C745E"/>
    <w:rsid w:val="009C7C0B"/>
    <w:rsid w:val="009C7F30"/>
    <w:rsid w:val="009D07F8"/>
    <w:rsid w:val="009D2BF3"/>
    <w:rsid w:val="009D3610"/>
    <w:rsid w:val="009D56DB"/>
    <w:rsid w:val="009D57B4"/>
    <w:rsid w:val="009D591B"/>
    <w:rsid w:val="009D6E7F"/>
    <w:rsid w:val="009D71F5"/>
    <w:rsid w:val="009E0B26"/>
    <w:rsid w:val="009E4890"/>
    <w:rsid w:val="009E52FF"/>
    <w:rsid w:val="009E69FF"/>
    <w:rsid w:val="009E6B07"/>
    <w:rsid w:val="009E6B8B"/>
    <w:rsid w:val="009F095C"/>
    <w:rsid w:val="009F1197"/>
    <w:rsid w:val="009F3E2B"/>
    <w:rsid w:val="009F3F12"/>
    <w:rsid w:val="009F4296"/>
    <w:rsid w:val="009F4D5E"/>
    <w:rsid w:val="009F64A1"/>
    <w:rsid w:val="009F7703"/>
    <w:rsid w:val="009F792B"/>
    <w:rsid w:val="00A0509A"/>
    <w:rsid w:val="00A0524A"/>
    <w:rsid w:val="00A06B2C"/>
    <w:rsid w:val="00A12DA5"/>
    <w:rsid w:val="00A13409"/>
    <w:rsid w:val="00A13C3E"/>
    <w:rsid w:val="00A140FA"/>
    <w:rsid w:val="00A16B1C"/>
    <w:rsid w:val="00A224D5"/>
    <w:rsid w:val="00A22BEA"/>
    <w:rsid w:val="00A23CA2"/>
    <w:rsid w:val="00A246C8"/>
    <w:rsid w:val="00A266BD"/>
    <w:rsid w:val="00A27A0F"/>
    <w:rsid w:val="00A27BC2"/>
    <w:rsid w:val="00A27CA4"/>
    <w:rsid w:val="00A33159"/>
    <w:rsid w:val="00A33229"/>
    <w:rsid w:val="00A33A32"/>
    <w:rsid w:val="00A33ED8"/>
    <w:rsid w:val="00A3547C"/>
    <w:rsid w:val="00A362D5"/>
    <w:rsid w:val="00A37862"/>
    <w:rsid w:val="00A37975"/>
    <w:rsid w:val="00A37D35"/>
    <w:rsid w:val="00A37F3D"/>
    <w:rsid w:val="00A40EBD"/>
    <w:rsid w:val="00A420AA"/>
    <w:rsid w:val="00A42365"/>
    <w:rsid w:val="00A427C6"/>
    <w:rsid w:val="00A42D5E"/>
    <w:rsid w:val="00A438D7"/>
    <w:rsid w:val="00A4475B"/>
    <w:rsid w:val="00A4617E"/>
    <w:rsid w:val="00A472EC"/>
    <w:rsid w:val="00A47626"/>
    <w:rsid w:val="00A504CD"/>
    <w:rsid w:val="00A52A22"/>
    <w:rsid w:val="00A532B7"/>
    <w:rsid w:val="00A5347B"/>
    <w:rsid w:val="00A55F66"/>
    <w:rsid w:val="00A601E8"/>
    <w:rsid w:val="00A61CBF"/>
    <w:rsid w:val="00A61DFC"/>
    <w:rsid w:val="00A621B9"/>
    <w:rsid w:val="00A62798"/>
    <w:rsid w:val="00A64029"/>
    <w:rsid w:val="00A65A6C"/>
    <w:rsid w:val="00A70000"/>
    <w:rsid w:val="00A70ED6"/>
    <w:rsid w:val="00A72AE1"/>
    <w:rsid w:val="00A72B71"/>
    <w:rsid w:val="00A72E17"/>
    <w:rsid w:val="00A72FC4"/>
    <w:rsid w:val="00A733CF"/>
    <w:rsid w:val="00A7381D"/>
    <w:rsid w:val="00A76655"/>
    <w:rsid w:val="00A7698D"/>
    <w:rsid w:val="00A771A8"/>
    <w:rsid w:val="00A81E99"/>
    <w:rsid w:val="00A81F2E"/>
    <w:rsid w:val="00A83111"/>
    <w:rsid w:val="00A8542C"/>
    <w:rsid w:val="00A8569A"/>
    <w:rsid w:val="00A860EB"/>
    <w:rsid w:val="00A87974"/>
    <w:rsid w:val="00A87A2C"/>
    <w:rsid w:val="00A90C62"/>
    <w:rsid w:val="00A91465"/>
    <w:rsid w:val="00A91E5F"/>
    <w:rsid w:val="00A92950"/>
    <w:rsid w:val="00A92A36"/>
    <w:rsid w:val="00A92BF9"/>
    <w:rsid w:val="00A938C1"/>
    <w:rsid w:val="00A94495"/>
    <w:rsid w:val="00A945D2"/>
    <w:rsid w:val="00A95B4F"/>
    <w:rsid w:val="00A95B92"/>
    <w:rsid w:val="00A95E62"/>
    <w:rsid w:val="00A96E7A"/>
    <w:rsid w:val="00A978B7"/>
    <w:rsid w:val="00AA2070"/>
    <w:rsid w:val="00AA39EE"/>
    <w:rsid w:val="00AB03DA"/>
    <w:rsid w:val="00AB2946"/>
    <w:rsid w:val="00AB2DE8"/>
    <w:rsid w:val="00AB30C3"/>
    <w:rsid w:val="00AB3758"/>
    <w:rsid w:val="00AB3C95"/>
    <w:rsid w:val="00AB47C3"/>
    <w:rsid w:val="00AB6411"/>
    <w:rsid w:val="00AB730C"/>
    <w:rsid w:val="00AB740E"/>
    <w:rsid w:val="00AC29DA"/>
    <w:rsid w:val="00AC2B10"/>
    <w:rsid w:val="00AC37F5"/>
    <w:rsid w:val="00AC458B"/>
    <w:rsid w:val="00AC473F"/>
    <w:rsid w:val="00AC4986"/>
    <w:rsid w:val="00AC5AF8"/>
    <w:rsid w:val="00AC5BA3"/>
    <w:rsid w:val="00AC66B5"/>
    <w:rsid w:val="00AC6A9D"/>
    <w:rsid w:val="00AD08B8"/>
    <w:rsid w:val="00AD0DFD"/>
    <w:rsid w:val="00AD2043"/>
    <w:rsid w:val="00AD26B7"/>
    <w:rsid w:val="00AD3589"/>
    <w:rsid w:val="00AD3FC1"/>
    <w:rsid w:val="00AD4584"/>
    <w:rsid w:val="00AD788B"/>
    <w:rsid w:val="00AE014A"/>
    <w:rsid w:val="00AE44E6"/>
    <w:rsid w:val="00AE4A38"/>
    <w:rsid w:val="00AE52D0"/>
    <w:rsid w:val="00AE6053"/>
    <w:rsid w:val="00AE6550"/>
    <w:rsid w:val="00AE70B1"/>
    <w:rsid w:val="00AF4660"/>
    <w:rsid w:val="00AF4670"/>
    <w:rsid w:val="00B0300D"/>
    <w:rsid w:val="00B0338E"/>
    <w:rsid w:val="00B0588C"/>
    <w:rsid w:val="00B0604C"/>
    <w:rsid w:val="00B07402"/>
    <w:rsid w:val="00B12CF0"/>
    <w:rsid w:val="00B135DE"/>
    <w:rsid w:val="00B158D5"/>
    <w:rsid w:val="00B17962"/>
    <w:rsid w:val="00B17B12"/>
    <w:rsid w:val="00B22F56"/>
    <w:rsid w:val="00B23681"/>
    <w:rsid w:val="00B23A8F"/>
    <w:rsid w:val="00B2574C"/>
    <w:rsid w:val="00B25A6A"/>
    <w:rsid w:val="00B27B42"/>
    <w:rsid w:val="00B27DAA"/>
    <w:rsid w:val="00B27DAD"/>
    <w:rsid w:val="00B3040B"/>
    <w:rsid w:val="00B315E8"/>
    <w:rsid w:val="00B31D9E"/>
    <w:rsid w:val="00B33028"/>
    <w:rsid w:val="00B33291"/>
    <w:rsid w:val="00B363B3"/>
    <w:rsid w:val="00B37DD9"/>
    <w:rsid w:val="00B4163F"/>
    <w:rsid w:val="00B41F2C"/>
    <w:rsid w:val="00B41FD5"/>
    <w:rsid w:val="00B4239E"/>
    <w:rsid w:val="00B45BED"/>
    <w:rsid w:val="00B46150"/>
    <w:rsid w:val="00B4655C"/>
    <w:rsid w:val="00B47550"/>
    <w:rsid w:val="00B52902"/>
    <w:rsid w:val="00B5325C"/>
    <w:rsid w:val="00B5461F"/>
    <w:rsid w:val="00B5539D"/>
    <w:rsid w:val="00B5546F"/>
    <w:rsid w:val="00B56B9C"/>
    <w:rsid w:val="00B61B67"/>
    <w:rsid w:val="00B6287E"/>
    <w:rsid w:val="00B62880"/>
    <w:rsid w:val="00B66667"/>
    <w:rsid w:val="00B66861"/>
    <w:rsid w:val="00B67C88"/>
    <w:rsid w:val="00B67F14"/>
    <w:rsid w:val="00B71DE6"/>
    <w:rsid w:val="00B71F2E"/>
    <w:rsid w:val="00B72A30"/>
    <w:rsid w:val="00B7526E"/>
    <w:rsid w:val="00B75286"/>
    <w:rsid w:val="00B76C1B"/>
    <w:rsid w:val="00B77D2F"/>
    <w:rsid w:val="00B80E69"/>
    <w:rsid w:val="00B82543"/>
    <w:rsid w:val="00B846AE"/>
    <w:rsid w:val="00B85FF1"/>
    <w:rsid w:val="00B8620B"/>
    <w:rsid w:val="00B944B5"/>
    <w:rsid w:val="00B95B31"/>
    <w:rsid w:val="00B97F5E"/>
    <w:rsid w:val="00BA2269"/>
    <w:rsid w:val="00BA28FA"/>
    <w:rsid w:val="00BA3D97"/>
    <w:rsid w:val="00BA5294"/>
    <w:rsid w:val="00BA618C"/>
    <w:rsid w:val="00BA6807"/>
    <w:rsid w:val="00BA6FD8"/>
    <w:rsid w:val="00BA7860"/>
    <w:rsid w:val="00BA7D02"/>
    <w:rsid w:val="00BB074E"/>
    <w:rsid w:val="00BB20FA"/>
    <w:rsid w:val="00BB30C3"/>
    <w:rsid w:val="00BB349C"/>
    <w:rsid w:val="00BB4A4A"/>
    <w:rsid w:val="00BB63E7"/>
    <w:rsid w:val="00BC27C9"/>
    <w:rsid w:val="00BC3115"/>
    <w:rsid w:val="00BC4457"/>
    <w:rsid w:val="00BC4AF3"/>
    <w:rsid w:val="00BC54CF"/>
    <w:rsid w:val="00BC5C01"/>
    <w:rsid w:val="00BC62D4"/>
    <w:rsid w:val="00BC6839"/>
    <w:rsid w:val="00BC7E29"/>
    <w:rsid w:val="00BD1240"/>
    <w:rsid w:val="00BD1923"/>
    <w:rsid w:val="00BD19A7"/>
    <w:rsid w:val="00BD2334"/>
    <w:rsid w:val="00BD282E"/>
    <w:rsid w:val="00BD3744"/>
    <w:rsid w:val="00BD3CC1"/>
    <w:rsid w:val="00BD3D19"/>
    <w:rsid w:val="00BD3E7F"/>
    <w:rsid w:val="00BD60E5"/>
    <w:rsid w:val="00BD69F0"/>
    <w:rsid w:val="00BD6DF5"/>
    <w:rsid w:val="00BE13E1"/>
    <w:rsid w:val="00BE2EC8"/>
    <w:rsid w:val="00BE3764"/>
    <w:rsid w:val="00BE41AA"/>
    <w:rsid w:val="00BE448E"/>
    <w:rsid w:val="00BE497A"/>
    <w:rsid w:val="00BF38BD"/>
    <w:rsid w:val="00BF38D7"/>
    <w:rsid w:val="00BF464B"/>
    <w:rsid w:val="00BF58EC"/>
    <w:rsid w:val="00BF7FD8"/>
    <w:rsid w:val="00C015B3"/>
    <w:rsid w:val="00C01611"/>
    <w:rsid w:val="00C01BED"/>
    <w:rsid w:val="00C03805"/>
    <w:rsid w:val="00C11B11"/>
    <w:rsid w:val="00C12660"/>
    <w:rsid w:val="00C12A2F"/>
    <w:rsid w:val="00C13B56"/>
    <w:rsid w:val="00C149E8"/>
    <w:rsid w:val="00C164EB"/>
    <w:rsid w:val="00C213F7"/>
    <w:rsid w:val="00C2244B"/>
    <w:rsid w:val="00C26341"/>
    <w:rsid w:val="00C27102"/>
    <w:rsid w:val="00C30019"/>
    <w:rsid w:val="00C3058B"/>
    <w:rsid w:val="00C35DF7"/>
    <w:rsid w:val="00C370A5"/>
    <w:rsid w:val="00C37781"/>
    <w:rsid w:val="00C4000B"/>
    <w:rsid w:val="00C40496"/>
    <w:rsid w:val="00C40A8C"/>
    <w:rsid w:val="00C46BB0"/>
    <w:rsid w:val="00C47B47"/>
    <w:rsid w:val="00C505A9"/>
    <w:rsid w:val="00C52576"/>
    <w:rsid w:val="00C53275"/>
    <w:rsid w:val="00C53573"/>
    <w:rsid w:val="00C53B2D"/>
    <w:rsid w:val="00C5529F"/>
    <w:rsid w:val="00C554EC"/>
    <w:rsid w:val="00C5580B"/>
    <w:rsid w:val="00C55DB9"/>
    <w:rsid w:val="00C562CB"/>
    <w:rsid w:val="00C56F93"/>
    <w:rsid w:val="00C61BF7"/>
    <w:rsid w:val="00C6404D"/>
    <w:rsid w:val="00C64D7F"/>
    <w:rsid w:val="00C65F1C"/>
    <w:rsid w:val="00C668F3"/>
    <w:rsid w:val="00C66C22"/>
    <w:rsid w:val="00C7242D"/>
    <w:rsid w:val="00C72CA7"/>
    <w:rsid w:val="00C73C35"/>
    <w:rsid w:val="00C74489"/>
    <w:rsid w:val="00C75289"/>
    <w:rsid w:val="00C75684"/>
    <w:rsid w:val="00C7631D"/>
    <w:rsid w:val="00C777FB"/>
    <w:rsid w:val="00C801B0"/>
    <w:rsid w:val="00C80EC6"/>
    <w:rsid w:val="00C8160F"/>
    <w:rsid w:val="00C8162E"/>
    <w:rsid w:val="00C8196D"/>
    <w:rsid w:val="00C82442"/>
    <w:rsid w:val="00C8268E"/>
    <w:rsid w:val="00C8611F"/>
    <w:rsid w:val="00C8656C"/>
    <w:rsid w:val="00C90909"/>
    <w:rsid w:val="00C92D20"/>
    <w:rsid w:val="00C93575"/>
    <w:rsid w:val="00C93B78"/>
    <w:rsid w:val="00C94D55"/>
    <w:rsid w:val="00C94E75"/>
    <w:rsid w:val="00C950A8"/>
    <w:rsid w:val="00C95726"/>
    <w:rsid w:val="00C95C0A"/>
    <w:rsid w:val="00C96266"/>
    <w:rsid w:val="00C96519"/>
    <w:rsid w:val="00C96952"/>
    <w:rsid w:val="00C96D27"/>
    <w:rsid w:val="00C97623"/>
    <w:rsid w:val="00C976D4"/>
    <w:rsid w:val="00CA08FF"/>
    <w:rsid w:val="00CA2DC7"/>
    <w:rsid w:val="00CA3A32"/>
    <w:rsid w:val="00CB14C9"/>
    <w:rsid w:val="00CB1506"/>
    <w:rsid w:val="00CB1913"/>
    <w:rsid w:val="00CB23B4"/>
    <w:rsid w:val="00CB426F"/>
    <w:rsid w:val="00CB43BA"/>
    <w:rsid w:val="00CB6B49"/>
    <w:rsid w:val="00CC05E5"/>
    <w:rsid w:val="00CC15AA"/>
    <w:rsid w:val="00CC17B3"/>
    <w:rsid w:val="00CC4245"/>
    <w:rsid w:val="00CC539B"/>
    <w:rsid w:val="00CC7409"/>
    <w:rsid w:val="00CD037E"/>
    <w:rsid w:val="00CD2432"/>
    <w:rsid w:val="00CD4683"/>
    <w:rsid w:val="00CD4954"/>
    <w:rsid w:val="00CD590C"/>
    <w:rsid w:val="00CD5D20"/>
    <w:rsid w:val="00CD60DE"/>
    <w:rsid w:val="00CD70D7"/>
    <w:rsid w:val="00CD7F8C"/>
    <w:rsid w:val="00CE013A"/>
    <w:rsid w:val="00CE03DC"/>
    <w:rsid w:val="00CE2BB4"/>
    <w:rsid w:val="00CE3688"/>
    <w:rsid w:val="00CE4E29"/>
    <w:rsid w:val="00CE5F3B"/>
    <w:rsid w:val="00CE6718"/>
    <w:rsid w:val="00CF15AD"/>
    <w:rsid w:val="00CF193C"/>
    <w:rsid w:val="00CF2422"/>
    <w:rsid w:val="00CF3058"/>
    <w:rsid w:val="00CF4CDE"/>
    <w:rsid w:val="00D00665"/>
    <w:rsid w:val="00D01C06"/>
    <w:rsid w:val="00D0371C"/>
    <w:rsid w:val="00D05FA9"/>
    <w:rsid w:val="00D0708B"/>
    <w:rsid w:val="00D0798A"/>
    <w:rsid w:val="00D07BE5"/>
    <w:rsid w:val="00D10D2A"/>
    <w:rsid w:val="00D1155F"/>
    <w:rsid w:val="00D1172E"/>
    <w:rsid w:val="00D12F25"/>
    <w:rsid w:val="00D143D4"/>
    <w:rsid w:val="00D14ED8"/>
    <w:rsid w:val="00D15001"/>
    <w:rsid w:val="00D150AD"/>
    <w:rsid w:val="00D16648"/>
    <w:rsid w:val="00D16C46"/>
    <w:rsid w:val="00D20884"/>
    <w:rsid w:val="00D20910"/>
    <w:rsid w:val="00D22901"/>
    <w:rsid w:val="00D22AAC"/>
    <w:rsid w:val="00D23362"/>
    <w:rsid w:val="00D27709"/>
    <w:rsid w:val="00D27A8B"/>
    <w:rsid w:val="00D27BEB"/>
    <w:rsid w:val="00D32721"/>
    <w:rsid w:val="00D32D45"/>
    <w:rsid w:val="00D339FC"/>
    <w:rsid w:val="00D3666A"/>
    <w:rsid w:val="00D401FE"/>
    <w:rsid w:val="00D40597"/>
    <w:rsid w:val="00D41F6B"/>
    <w:rsid w:val="00D46419"/>
    <w:rsid w:val="00D46B8B"/>
    <w:rsid w:val="00D47832"/>
    <w:rsid w:val="00D479E5"/>
    <w:rsid w:val="00D5023D"/>
    <w:rsid w:val="00D50EF5"/>
    <w:rsid w:val="00D52DA7"/>
    <w:rsid w:val="00D5399E"/>
    <w:rsid w:val="00D53C50"/>
    <w:rsid w:val="00D5681F"/>
    <w:rsid w:val="00D601F4"/>
    <w:rsid w:val="00D62FF9"/>
    <w:rsid w:val="00D63C6A"/>
    <w:rsid w:val="00D64664"/>
    <w:rsid w:val="00D64B0E"/>
    <w:rsid w:val="00D6666F"/>
    <w:rsid w:val="00D66D1A"/>
    <w:rsid w:val="00D70DCC"/>
    <w:rsid w:val="00D7137C"/>
    <w:rsid w:val="00D72764"/>
    <w:rsid w:val="00D73FBE"/>
    <w:rsid w:val="00D745CD"/>
    <w:rsid w:val="00D755A2"/>
    <w:rsid w:val="00D75D0F"/>
    <w:rsid w:val="00D75E0B"/>
    <w:rsid w:val="00D7789B"/>
    <w:rsid w:val="00D802AD"/>
    <w:rsid w:val="00D81B9C"/>
    <w:rsid w:val="00D81DAE"/>
    <w:rsid w:val="00D8515C"/>
    <w:rsid w:val="00D85838"/>
    <w:rsid w:val="00D85C5B"/>
    <w:rsid w:val="00D87F91"/>
    <w:rsid w:val="00D9057B"/>
    <w:rsid w:val="00D91373"/>
    <w:rsid w:val="00D9579B"/>
    <w:rsid w:val="00D966A4"/>
    <w:rsid w:val="00D96E76"/>
    <w:rsid w:val="00D97833"/>
    <w:rsid w:val="00DA07C6"/>
    <w:rsid w:val="00DA1CD5"/>
    <w:rsid w:val="00DA2AAB"/>
    <w:rsid w:val="00DA3743"/>
    <w:rsid w:val="00DA4052"/>
    <w:rsid w:val="00DA5363"/>
    <w:rsid w:val="00DA6316"/>
    <w:rsid w:val="00DA6809"/>
    <w:rsid w:val="00DB19ED"/>
    <w:rsid w:val="00DB22FA"/>
    <w:rsid w:val="00DB237C"/>
    <w:rsid w:val="00DB2C88"/>
    <w:rsid w:val="00DB48B2"/>
    <w:rsid w:val="00DB5E67"/>
    <w:rsid w:val="00DB67CF"/>
    <w:rsid w:val="00DC219A"/>
    <w:rsid w:val="00DC3A4C"/>
    <w:rsid w:val="00DC657B"/>
    <w:rsid w:val="00DC69FC"/>
    <w:rsid w:val="00DC6F5C"/>
    <w:rsid w:val="00DD0AD6"/>
    <w:rsid w:val="00DD114B"/>
    <w:rsid w:val="00DD19B4"/>
    <w:rsid w:val="00DD2C0A"/>
    <w:rsid w:val="00DD3CB4"/>
    <w:rsid w:val="00DD4D5B"/>
    <w:rsid w:val="00DD5870"/>
    <w:rsid w:val="00DE015B"/>
    <w:rsid w:val="00DE1C24"/>
    <w:rsid w:val="00DE2F0C"/>
    <w:rsid w:val="00DE3044"/>
    <w:rsid w:val="00DE4047"/>
    <w:rsid w:val="00DE4C78"/>
    <w:rsid w:val="00DE7E3F"/>
    <w:rsid w:val="00DE7E82"/>
    <w:rsid w:val="00DF00F0"/>
    <w:rsid w:val="00DF05DD"/>
    <w:rsid w:val="00DF3892"/>
    <w:rsid w:val="00DF3E71"/>
    <w:rsid w:val="00DF4652"/>
    <w:rsid w:val="00DF4BFA"/>
    <w:rsid w:val="00DF5A1E"/>
    <w:rsid w:val="00DF773A"/>
    <w:rsid w:val="00DF79D0"/>
    <w:rsid w:val="00E0034B"/>
    <w:rsid w:val="00E0143F"/>
    <w:rsid w:val="00E0251F"/>
    <w:rsid w:val="00E0257C"/>
    <w:rsid w:val="00E02B6E"/>
    <w:rsid w:val="00E0427D"/>
    <w:rsid w:val="00E04E71"/>
    <w:rsid w:val="00E06A38"/>
    <w:rsid w:val="00E07397"/>
    <w:rsid w:val="00E07530"/>
    <w:rsid w:val="00E108A4"/>
    <w:rsid w:val="00E10F89"/>
    <w:rsid w:val="00E120F1"/>
    <w:rsid w:val="00E13544"/>
    <w:rsid w:val="00E15E85"/>
    <w:rsid w:val="00E163EA"/>
    <w:rsid w:val="00E168EA"/>
    <w:rsid w:val="00E176F2"/>
    <w:rsid w:val="00E24429"/>
    <w:rsid w:val="00E248E8"/>
    <w:rsid w:val="00E25B87"/>
    <w:rsid w:val="00E2677D"/>
    <w:rsid w:val="00E26B8A"/>
    <w:rsid w:val="00E270A2"/>
    <w:rsid w:val="00E27AFA"/>
    <w:rsid w:val="00E305BB"/>
    <w:rsid w:val="00E30936"/>
    <w:rsid w:val="00E3195F"/>
    <w:rsid w:val="00E31B19"/>
    <w:rsid w:val="00E3223C"/>
    <w:rsid w:val="00E32BE8"/>
    <w:rsid w:val="00E33F72"/>
    <w:rsid w:val="00E37568"/>
    <w:rsid w:val="00E4023C"/>
    <w:rsid w:val="00E478E5"/>
    <w:rsid w:val="00E47DA9"/>
    <w:rsid w:val="00E54AC4"/>
    <w:rsid w:val="00E555F2"/>
    <w:rsid w:val="00E57535"/>
    <w:rsid w:val="00E57C6D"/>
    <w:rsid w:val="00E610E5"/>
    <w:rsid w:val="00E61DC7"/>
    <w:rsid w:val="00E6514A"/>
    <w:rsid w:val="00E677F2"/>
    <w:rsid w:val="00E709C5"/>
    <w:rsid w:val="00E70E3F"/>
    <w:rsid w:val="00E73B01"/>
    <w:rsid w:val="00E7495C"/>
    <w:rsid w:val="00E74EA3"/>
    <w:rsid w:val="00E751B1"/>
    <w:rsid w:val="00E753C1"/>
    <w:rsid w:val="00E76D50"/>
    <w:rsid w:val="00E82375"/>
    <w:rsid w:val="00E866E3"/>
    <w:rsid w:val="00E8684C"/>
    <w:rsid w:val="00E90E25"/>
    <w:rsid w:val="00E912EF"/>
    <w:rsid w:val="00E91B37"/>
    <w:rsid w:val="00E92C4A"/>
    <w:rsid w:val="00E9429B"/>
    <w:rsid w:val="00E94780"/>
    <w:rsid w:val="00E95C20"/>
    <w:rsid w:val="00E9664C"/>
    <w:rsid w:val="00E97FAE"/>
    <w:rsid w:val="00EA2702"/>
    <w:rsid w:val="00EA2B85"/>
    <w:rsid w:val="00EA3BEC"/>
    <w:rsid w:val="00EA6187"/>
    <w:rsid w:val="00EB0137"/>
    <w:rsid w:val="00EB3BFA"/>
    <w:rsid w:val="00EB4641"/>
    <w:rsid w:val="00EB710A"/>
    <w:rsid w:val="00EB7A63"/>
    <w:rsid w:val="00EB7F07"/>
    <w:rsid w:val="00EC1701"/>
    <w:rsid w:val="00EC2AE2"/>
    <w:rsid w:val="00EC4D2A"/>
    <w:rsid w:val="00EC7E4E"/>
    <w:rsid w:val="00ED27DF"/>
    <w:rsid w:val="00ED3AB1"/>
    <w:rsid w:val="00ED3B8C"/>
    <w:rsid w:val="00ED4135"/>
    <w:rsid w:val="00ED426E"/>
    <w:rsid w:val="00ED441A"/>
    <w:rsid w:val="00EE045E"/>
    <w:rsid w:val="00EE1610"/>
    <w:rsid w:val="00EE27F7"/>
    <w:rsid w:val="00EE3BDD"/>
    <w:rsid w:val="00EE5DEA"/>
    <w:rsid w:val="00EE678C"/>
    <w:rsid w:val="00EF0FCA"/>
    <w:rsid w:val="00EF64D8"/>
    <w:rsid w:val="00EF7993"/>
    <w:rsid w:val="00EF7F2E"/>
    <w:rsid w:val="00F0092B"/>
    <w:rsid w:val="00F06078"/>
    <w:rsid w:val="00F06B90"/>
    <w:rsid w:val="00F06D61"/>
    <w:rsid w:val="00F07C1B"/>
    <w:rsid w:val="00F1077C"/>
    <w:rsid w:val="00F120ED"/>
    <w:rsid w:val="00F13771"/>
    <w:rsid w:val="00F13B60"/>
    <w:rsid w:val="00F1521D"/>
    <w:rsid w:val="00F15253"/>
    <w:rsid w:val="00F1714E"/>
    <w:rsid w:val="00F214A8"/>
    <w:rsid w:val="00F2172B"/>
    <w:rsid w:val="00F23EB9"/>
    <w:rsid w:val="00F25F8D"/>
    <w:rsid w:val="00F27E57"/>
    <w:rsid w:val="00F30962"/>
    <w:rsid w:val="00F31158"/>
    <w:rsid w:val="00F3280D"/>
    <w:rsid w:val="00F3290E"/>
    <w:rsid w:val="00F32D99"/>
    <w:rsid w:val="00F33804"/>
    <w:rsid w:val="00F340D4"/>
    <w:rsid w:val="00F36A63"/>
    <w:rsid w:val="00F37473"/>
    <w:rsid w:val="00F404A0"/>
    <w:rsid w:val="00F42DE8"/>
    <w:rsid w:val="00F42E7A"/>
    <w:rsid w:val="00F43864"/>
    <w:rsid w:val="00F454DE"/>
    <w:rsid w:val="00F45E6C"/>
    <w:rsid w:val="00F461D4"/>
    <w:rsid w:val="00F46423"/>
    <w:rsid w:val="00F525FA"/>
    <w:rsid w:val="00F54707"/>
    <w:rsid w:val="00F54C83"/>
    <w:rsid w:val="00F55A0D"/>
    <w:rsid w:val="00F57CAD"/>
    <w:rsid w:val="00F61764"/>
    <w:rsid w:val="00F624C9"/>
    <w:rsid w:val="00F62D34"/>
    <w:rsid w:val="00F656E4"/>
    <w:rsid w:val="00F65E79"/>
    <w:rsid w:val="00F6699E"/>
    <w:rsid w:val="00F71324"/>
    <w:rsid w:val="00F73773"/>
    <w:rsid w:val="00F757AA"/>
    <w:rsid w:val="00F75E85"/>
    <w:rsid w:val="00F779C9"/>
    <w:rsid w:val="00F8023E"/>
    <w:rsid w:val="00F83CC6"/>
    <w:rsid w:val="00F8590E"/>
    <w:rsid w:val="00F85B41"/>
    <w:rsid w:val="00F85BDC"/>
    <w:rsid w:val="00F85D54"/>
    <w:rsid w:val="00F86869"/>
    <w:rsid w:val="00F90715"/>
    <w:rsid w:val="00F9150B"/>
    <w:rsid w:val="00F917D3"/>
    <w:rsid w:val="00F95EA8"/>
    <w:rsid w:val="00FA3D17"/>
    <w:rsid w:val="00FA3FF0"/>
    <w:rsid w:val="00FA4DA2"/>
    <w:rsid w:val="00FA5884"/>
    <w:rsid w:val="00FA59B8"/>
    <w:rsid w:val="00FA6323"/>
    <w:rsid w:val="00FA657B"/>
    <w:rsid w:val="00FA6E22"/>
    <w:rsid w:val="00FA7A8A"/>
    <w:rsid w:val="00FB174A"/>
    <w:rsid w:val="00FB1D7C"/>
    <w:rsid w:val="00FB25A5"/>
    <w:rsid w:val="00FB2838"/>
    <w:rsid w:val="00FB38AC"/>
    <w:rsid w:val="00FB4ED4"/>
    <w:rsid w:val="00FB7E95"/>
    <w:rsid w:val="00FC0140"/>
    <w:rsid w:val="00FC101F"/>
    <w:rsid w:val="00FC3F8A"/>
    <w:rsid w:val="00FC4AA0"/>
    <w:rsid w:val="00FC6F63"/>
    <w:rsid w:val="00FC7067"/>
    <w:rsid w:val="00FC7274"/>
    <w:rsid w:val="00FD0653"/>
    <w:rsid w:val="00FD0E43"/>
    <w:rsid w:val="00FD106D"/>
    <w:rsid w:val="00FD3E4A"/>
    <w:rsid w:val="00FD41B7"/>
    <w:rsid w:val="00FD50BB"/>
    <w:rsid w:val="00FD668F"/>
    <w:rsid w:val="00FD67BF"/>
    <w:rsid w:val="00FD7BCB"/>
    <w:rsid w:val="00FE0669"/>
    <w:rsid w:val="00FE13FE"/>
    <w:rsid w:val="00FE2EF4"/>
    <w:rsid w:val="00FE3652"/>
    <w:rsid w:val="00FE57DA"/>
    <w:rsid w:val="00FF05FD"/>
    <w:rsid w:val="00FF0E2B"/>
    <w:rsid w:val="00FF3679"/>
    <w:rsid w:val="00FF403A"/>
    <w:rsid w:val="00FF44A8"/>
    <w:rsid w:val="00FF44F1"/>
    <w:rsid w:val="00FF4C42"/>
    <w:rsid w:val="00FF4C43"/>
    <w:rsid w:val="00FF55C0"/>
    <w:rsid w:val="00FF5B08"/>
    <w:rsid w:val="00FF5B51"/>
    <w:rsid w:val="00FF64B9"/>
    <w:rsid w:val="00FF7024"/>
    <w:rsid w:val="2EE021EE"/>
    <w:rsid w:val="33B14FD8"/>
    <w:rsid w:val="37290B97"/>
    <w:rsid w:val="433840B1"/>
    <w:rsid w:val="6E0E10FB"/>
    <w:rsid w:val="76BE75E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qFormat="1"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qFormat="1"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3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4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2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subject"/>
    <w:basedOn w:val="5"/>
    <w:next w:val="5"/>
    <w:link w:val="33"/>
    <w:semiHidden/>
    <w:unhideWhenUsed/>
    <w:qFormat/>
    <w:uiPriority w:val="99"/>
    <w:rPr>
      <w:b/>
      <w:bCs/>
    </w:rPr>
  </w:style>
  <w:style w:type="paragraph" w:styleId="5">
    <w:name w:val="annotation text"/>
    <w:basedOn w:val="1"/>
    <w:link w:val="32"/>
    <w:semiHidden/>
    <w:unhideWhenUsed/>
    <w:qFormat/>
    <w:uiPriority w:val="99"/>
    <w:pPr>
      <w:jc w:val="left"/>
    </w:pPr>
  </w:style>
  <w:style w:type="paragraph" w:styleId="6">
    <w:name w:val="Body Text"/>
    <w:basedOn w:val="1"/>
    <w:link w:val="25"/>
    <w:qFormat/>
    <w:uiPriority w:val="0"/>
    <w:pPr>
      <w:spacing w:after="120"/>
    </w:pPr>
    <w:rPr>
      <w:szCs w:val="20"/>
      <w:lang w:val="zh-CN"/>
    </w:rPr>
  </w:style>
  <w:style w:type="paragraph" w:styleId="7">
    <w:name w:val="toc 3"/>
    <w:basedOn w:val="1"/>
    <w:next w:val="1"/>
    <w:unhideWhenUsed/>
    <w:qFormat/>
    <w:uiPriority w:val="39"/>
    <w:pPr>
      <w:widowControl/>
      <w:spacing w:after="100" w:line="276" w:lineRule="auto"/>
      <w:ind w:left="440"/>
      <w:jc w:val="left"/>
    </w:pPr>
    <w:rPr>
      <w:rFonts w:asciiTheme="minorHAnsi" w:hAnsiTheme="minorHAnsi" w:eastAsiaTheme="minorEastAsia" w:cstheme="minorBidi"/>
      <w:kern w:val="0"/>
      <w:sz w:val="22"/>
      <w:szCs w:val="22"/>
    </w:rPr>
  </w:style>
  <w:style w:type="paragraph" w:styleId="8">
    <w:name w:val="Balloon Text"/>
    <w:basedOn w:val="1"/>
    <w:link w:val="26"/>
    <w:unhideWhenUsed/>
    <w:qFormat/>
    <w:uiPriority w:val="99"/>
    <w:rPr>
      <w:sz w:val="18"/>
      <w:szCs w:val="18"/>
    </w:rPr>
  </w:style>
  <w:style w:type="paragraph" w:styleId="9">
    <w:name w:val="footer"/>
    <w:basedOn w:val="1"/>
    <w:link w:val="2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8"/>
    <w:unhideWhenUsed/>
    <w:qFormat/>
    <w:uiPriority w:val="99"/>
    <w:pPr>
      <w:tabs>
        <w:tab w:val="center" w:pos="4153"/>
        <w:tab w:val="right" w:pos="8306"/>
      </w:tabs>
      <w:adjustRightInd w:val="0"/>
      <w:snapToGrid w:val="0"/>
      <w:ind w:firstLine="200" w:firstLineChars="200"/>
      <w:jc w:val="center"/>
    </w:pPr>
    <w:rPr>
      <w:rFonts w:eastAsiaTheme="minorEastAsia" w:cstheme="minorBidi"/>
      <w:sz w:val="18"/>
      <w:szCs w:val="18"/>
    </w:rPr>
  </w:style>
  <w:style w:type="paragraph" w:styleId="11">
    <w:name w:val="toc 1"/>
    <w:basedOn w:val="1"/>
    <w:next w:val="1"/>
    <w:unhideWhenUsed/>
    <w:qFormat/>
    <w:uiPriority w:val="39"/>
    <w:pPr>
      <w:widowControl/>
      <w:tabs>
        <w:tab w:val="right" w:leader="dot" w:pos="8296"/>
      </w:tabs>
      <w:snapToGrid w:val="0"/>
      <w:spacing w:after="100" w:line="276" w:lineRule="auto"/>
      <w:jc w:val="left"/>
    </w:pPr>
    <w:rPr>
      <w:rFonts w:asciiTheme="minorHAnsi" w:hAnsiTheme="minorHAnsi" w:eastAsiaTheme="minorEastAsia" w:cstheme="minorBidi"/>
      <w:kern w:val="0"/>
      <w:sz w:val="22"/>
      <w:szCs w:val="22"/>
    </w:rPr>
  </w:style>
  <w:style w:type="paragraph" w:styleId="12">
    <w:name w:val="footnote text"/>
    <w:basedOn w:val="1"/>
    <w:link w:val="31"/>
    <w:semiHidden/>
    <w:unhideWhenUsed/>
    <w:qFormat/>
    <w:uiPriority w:val="99"/>
    <w:pPr>
      <w:snapToGrid w:val="0"/>
      <w:jc w:val="left"/>
    </w:pPr>
    <w:rPr>
      <w:sz w:val="18"/>
      <w:szCs w:val="18"/>
    </w:rPr>
  </w:style>
  <w:style w:type="paragraph" w:styleId="13">
    <w:name w:val="toc 2"/>
    <w:basedOn w:val="1"/>
    <w:next w:val="1"/>
    <w:unhideWhenUsed/>
    <w:qFormat/>
    <w:uiPriority w:val="39"/>
    <w:pPr>
      <w:widowControl/>
      <w:tabs>
        <w:tab w:val="right" w:leader="dot" w:pos="8296"/>
      </w:tabs>
      <w:spacing w:after="100" w:line="276" w:lineRule="auto"/>
      <w:ind w:left="220"/>
      <w:jc w:val="left"/>
    </w:pPr>
    <w:rPr>
      <w:rFonts w:eastAsia="楷体_GB2312"/>
      <w:kern w:val="0"/>
      <w:sz w:val="30"/>
      <w:szCs w:val="30"/>
    </w:rPr>
  </w:style>
  <w:style w:type="paragraph" w:styleId="14">
    <w:name w:val="Normal (Web)"/>
    <w:basedOn w:val="1"/>
    <w:unhideWhenUsed/>
    <w:qFormat/>
    <w:uiPriority w:val="99"/>
    <w:pPr>
      <w:widowControl/>
      <w:jc w:val="left"/>
    </w:pPr>
    <w:rPr>
      <w:rFonts w:ascii="宋体" w:hAnsi="宋体" w:cs="宋体"/>
      <w:kern w:val="0"/>
      <w:sz w:val="24"/>
    </w:rPr>
  </w:style>
  <w:style w:type="character" w:styleId="16">
    <w:name w:val="page number"/>
    <w:basedOn w:val="15"/>
    <w:qFormat/>
    <w:uiPriority w:val="0"/>
  </w:style>
  <w:style w:type="character" w:styleId="17">
    <w:name w:val="FollowedHyperlink"/>
    <w:basedOn w:val="15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8">
    <w:name w:val="Hyperlink"/>
    <w:basedOn w:val="1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9">
    <w:name w:val="annotation reference"/>
    <w:basedOn w:val="15"/>
    <w:semiHidden/>
    <w:unhideWhenUsed/>
    <w:qFormat/>
    <w:uiPriority w:val="99"/>
    <w:rPr>
      <w:sz w:val="21"/>
      <w:szCs w:val="21"/>
    </w:rPr>
  </w:style>
  <w:style w:type="character" w:styleId="20">
    <w:name w:val="footnote reference"/>
    <w:basedOn w:val="15"/>
    <w:semiHidden/>
    <w:unhideWhenUsed/>
    <w:qFormat/>
    <w:uiPriority w:val="99"/>
    <w:rPr>
      <w:vertAlign w:val="superscript"/>
    </w:rPr>
  </w:style>
  <w:style w:type="table" w:styleId="22">
    <w:name w:val="Table Grid"/>
    <w:basedOn w:val="21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标题 1 Char"/>
    <w:basedOn w:val="15"/>
    <w:link w:val="2"/>
    <w:qFormat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24">
    <w:name w:val="标题 2 Char"/>
    <w:basedOn w:val="15"/>
    <w:link w:val="3"/>
    <w:qFormat/>
    <w:uiPriority w:val="9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customStyle="1" w:styleId="25">
    <w:name w:val="正文文本 Char"/>
    <w:basedOn w:val="15"/>
    <w:link w:val="6"/>
    <w:qFormat/>
    <w:uiPriority w:val="0"/>
    <w:rPr>
      <w:rFonts w:ascii="Times New Roman" w:hAnsi="Times New Roman" w:eastAsia="宋体" w:cs="Times New Roman"/>
      <w:szCs w:val="20"/>
      <w:lang w:val="zh-CN" w:eastAsia="zh-CN"/>
    </w:rPr>
  </w:style>
  <w:style w:type="character" w:customStyle="1" w:styleId="26">
    <w:name w:val="批注框文本 Char"/>
    <w:basedOn w:val="15"/>
    <w:link w:val="8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7">
    <w:name w:val="页脚 Char"/>
    <w:basedOn w:val="15"/>
    <w:link w:val="9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8">
    <w:name w:val="页眉 Char"/>
    <w:basedOn w:val="15"/>
    <w:link w:val="10"/>
    <w:qFormat/>
    <w:uiPriority w:val="99"/>
    <w:rPr>
      <w:sz w:val="18"/>
      <w:szCs w:val="18"/>
    </w:rPr>
  </w:style>
  <w:style w:type="paragraph" w:styleId="29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  <w:style w:type="paragraph" w:customStyle="1" w:styleId="30">
    <w:name w:val="TOC 标题1"/>
    <w:basedOn w:val="2"/>
    <w:next w:val="1"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color w:val="376092" w:themeColor="accent1" w:themeShade="BF"/>
      <w:kern w:val="0"/>
      <w:sz w:val="28"/>
      <w:szCs w:val="28"/>
    </w:rPr>
  </w:style>
  <w:style w:type="character" w:customStyle="1" w:styleId="31">
    <w:name w:val="脚注文本 Char"/>
    <w:basedOn w:val="15"/>
    <w:link w:val="12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32">
    <w:name w:val="批注文字 Char"/>
    <w:basedOn w:val="15"/>
    <w:link w:val="5"/>
    <w:semiHidden/>
    <w:qFormat/>
    <w:uiPriority w:val="99"/>
    <w:rPr>
      <w:rFonts w:ascii="Times New Roman" w:hAnsi="Times New Roman" w:eastAsia="宋体" w:cs="Times New Roman"/>
      <w:kern w:val="2"/>
      <w:sz w:val="21"/>
      <w:szCs w:val="24"/>
    </w:rPr>
  </w:style>
  <w:style w:type="character" w:customStyle="1" w:styleId="33">
    <w:name w:val="批注主题 Char"/>
    <w:basedOn w:val="32"/>
    <w:link w:val="4"/>
    <w:semiHidden/>
    <w:qFormat/>
    <w:uiPriority w:val="99"/>
    <w:rPr>
      <w:rFonts w:ascii="Times New Roman" w:hAnsi="Times New Roman" w:eastAsia="宋体" w:cs="Times New Roman"/>
      <w:b/>
      <w:bCs/>
      <w:kern w:val="2"/>
      <w:sz w:val="21"/>
      <w:szCs w:val="24"/>
    </w:rPr>
  </w:style>
  <w:style w:type="paragraph" w:customStyle="1" w:styleId="34">
    <w:name w:val="修订1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35">
    <w:name w:val="TOC Heading"/>
    <w:basedOn w:val="2"/>
    <w:next w:val="1"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color w:val="376092" w:themeColor="accent1" w:themeShade="BF"/>
      <w:kern w:val="0"/>
      <w:sz w:val="28"/>
      <w:szCs w:val="28"/>
    </w:rPr>
  </w:style>
  <w:style w:type="paragraph" w:customStyle="1" w:styleId="36">
    <w:name w:val="Revision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802DC60-E22D-4B7B-AC30-55DB05800A4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F506D5E5.dotm</Template>
  <Pages>1</Pages>
  <Words>4833</Words>
  <Characters>27550</Characters>
  <Lines>229</Lines>
  <Paragraphs>64</Paragraphs>
  <TotalTime>8</TotalTime>
  <ScaleCrop>false</ScaleCrop>
  <LinksUpToDate>false</LinksUpToDate>
  <CharactersWithSpaces>32319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2019-06-04T06:24:00Z</dcterms:created>
  <dc:creator>安娜01</dc:creator>
  <cp:lastModifiedBy>wxl</cp:lastModifiedBy>
  <cp:lastPrinted>2019-03-12T01:04:00Z</cp:lastPrinted>
  <dcterms:modified xsi:type="dcterms:W3CDTF">2019-07-01T11:13:39Z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